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F5A605">
      <w:pPr>
        <w:rPr>
          <w:rFonts w:ascii="仿宋_GB2312" w:hAnsi="仿宋_GB2312" w:eastAsia="仿宋_GB2312" w:cs="仿宋_GB2312"/>
          <w:color w:val="auto"/>
          <w:sz w:val="36"/>
          <w:szCs w:val="36"/>
        </w:rPr>
      </w:pPr>
    </w:p>
    <w:p w14:paraId="457990A2">
      <w:pPr>
        <w:rPr>
          <w:rFonts w:ascii="仿宋_GB2312" w:hAnsi="仿宋_GB2312" w:eastAsia="仿宋_GB2312" w:cs="仿宋_GB2312"/>
          <w:color w:val="auto"/>
          <w:sz w:val="36"/>
          <w:szCs w:val="36"/>
        </w:rPr>
      </w:pPr>
    </w:p>
    <w:p w14:paraId="73A0C4F6">
      <w:pPr>
        <w:rPr>
          <w:rFonts w:ascii="仿宋_GB2312" w:hAnsi="仿宋_GB2312" w:eastAsia="仿宋_GB2312" w:cs="仿宋_GB2312"/>
          <w:color w:val="auto"/>
          <w:sz w:val="36"/>
          <w:szCs w:val="36"/>
        </w:rPr>
      </w:pPr>
    </w:p>
    <w:p w14:paraId="3EC626BE">
      <w:pPr>
        <w:rPr>
          <w:rFonts w:ascii="仿宋_GB2312" w:hAnsi="仿宋_GB2312" w:eastAsia="仿宋_GB2312" w:cs="仿宋_GB2312"/>
          <w:color w:val="auto"/>
          <w:sz w:val="36"/>
          <w:szCs w:val="36"/>
        </w:rPr>
      </w:pPr>
    </w:p>
    <w:p w14:paraId="52E6E1E0">
      <w:pPr>
        <w:rPr>
          <w:rFonts w:hint="eastAsia" w:ascii="仿宋_GB2312" w:hAnsi="仿宋_GB2312" w:eastAsia="仿宋_GB2312" w:cs="仿宋_GB2312"/>
          <w:color w:val="auto"/>
          <w:sz w:val="36"/>
          <w:szCs w:val="36"/>
        </w:rPr>
      </w:pPr>
    </w:p>
    <w:p w14:paraId="7648E36D">
      <w:pPr>
        <w:adjustRightInd w:val="0"/>
        <w:snapToGrid w:val="0"/>
        <w:jc w:val="center"/>
        <w:outlineLvl w:val="0"/>
        <w:rPr>
          <w:rFonts w:hint="eastAsia" w:ascii="方正小标宋_GBK" w:eastAsia="方正小标宋_GBK"/>
          <w:bCs/>
          <w:color w:val="auto"/>
          <w:sz w:val="72"/>
          <w:szCs w:val="72"/>
        </w:rPr>
      </w:pPr>
      <w:r>
        <w:rPr>
          <w:rFonts w:hint="eastAsia" w:ascii="方正小标宋_GBK" w:eastAsia="方正小标宋_GBK"/>
          <w:bCs/>
          <w:color w:val="auto"/>
          <w:sz w:val="72"/>
          <w:szCs w:val="72"/>
        </w:rPr>
        <w:t>建设项目环境影响报告表</w:t>
      </w:r>
    </w:p>
    <w:p w14:paraId="74F35DE2">
      <w:pPr>
        <w:adjustRightInd w:val="0"/>
        <w:snapToGrid w:val="0"/>
        <w:spacing w:before="192" w:beforeLines="80"/>
        <w:jc w:val="center"/>
        <w:rPr>
          <w:rFonts w:hint="eastAsia" w:ascii="楷体_GB2312" w:eastAsia="楷体_GB2312"/>
          <w:bCs/>
          <w:color w:val="auto"/>
          <w:sz w:val="48"/>
          <w:szCs w:val="48"/>
        </w:rPr>
      </w:pPr>
      <w:r>
        <w:rPr>
          <w:rFonts w:hint="eastAsia" w:ascii="楷体_GB2312" w:eastAsia="楷体_GB2312"/>
          <w:bCs/>
          <w:color w:val="auto"/>
          <w:sz w:val="48"/>
          <w:szCs w:val="48"/>
        </w:rPr>
        <w:t>（污染影响类）</w:t>
      </w:r>
    </w:p>
    <w:p w14:paraId="64A10C3E">
      <w:pPr>
        <w:adjustRightInd w:val="0"/>
        <w:snapToGrid w:val="0"/>
        <w:spacing w:line="288" w:lineRule="auto"/>
        <w:jc w:val="center"/>
        <w:rPr>
          <w:rFonts w:ascii="华文仿宋" w:hAnsi="华文仿宋" w:eastAsia="华文仿宋" w:cs="华文仿宋"/>
          <w:color w:val="auto"/>
          <w:kern w:val="44"/>
          <w:sz w:val="44"/>
          <w:szCs w:val="44"/>
        </w:rPr>
      </w:pPr>
    </w:p>
    <w:p w14:paraId="501C643D">
      <w:pPr>
        <w:jc w:val="center"/>
        <w:rPr>
          <w:rFonts w:eastAsia="仿宋"/>
          <w:color w:val="auto"/>
          <w:sz w:val="52"/>
          <w:szCs w:val="52"/>
        </w:rPr>
      </w:pPr>
    </w:p>
    <w:p w14:paraId="7918B6EF">
      <w:pPr>
        <w:ind w:firstLine="1040"/>
        <w:rPr>
          <w:rFonts w:eastAsia="仿宋"/>
          <w:color w:val="auto"/>
          <w:sz w:val="44"/>
          <w:szCs w:val="44"/>
        </w:rPr>
      </w:pPr>
    </w:p>
    <w:p w14:paraId="072114B3">
      <w:pPr>
        <w:ind w:firstLine="1040"/>
        <w:rPr>
          <w:rFonts w:eastAsia="仿宋"/>
          <w:color w:val="auto"/>
          <w:sz w:val="44"/>
          <w:szCs w:val="44"/>
        </w:rPr>
      </w:pPr>
    </w:p>
    <w:p w14:paraId="28E51A0B">
      <w:pPr>
        <w:pStyle w:val="10"/>
        <w:rPr>
          <w:rFonts w:eastAsia="仿宋"/>
          <w:color w:val="auto"/>
          <w:sz w:val="44"/>
          <w:szCs w:val="44"/>
        </w:rPr>
      </w:pPr>
    </w:p>
    <w:p w14:paraId="18C3BC2D">
      <w:pPr>
        <w:pStyle w:val="10"/>
        <w:rPr>
          <w:rFonts w:eastAsia="仿宋"/>
          <w:color w:val="auto"/>
          <w:sz w:val="44"/>
          <w:szCs w:val="44"/>
        </w:rPr>
      </w:pPr>
    </w:p>
    <w:p w14:paraId="39B161C7">
      <w:pPr>
        <w:pStyle w:val="10"/>
        <w:rPr>
          <w:rFonts w:eastAsia="仿宋"/>
          <w:color w:val="auto"/>
          <w:sz w:val="44"/>
          <w:szCs w:val="44"/>
        </w:rPr>
      </w:pPr>
    </w:p>
    <w:p w14:paraId="73144603">
      <w:pPr>
        <w:pStyle w:val="10"/>
        <w:rPr>
          <w:rFonts w:eastAsia="仿宋"/>
          <w:color w:val="auto"/>
          <w:sz w:val="44"/>
          <w:szCs w:val="44"/>
        </w:rPr>
      </w:pPr>
    </w:p>
    <w:tbl>
      <w:tblPr>
        <w:tblStyle w:val="26"/>
        <w:tblpPr w:leftFromText="180" w:rightFromText="180" w:vertAnchor="text" w:horzAnchor="page" w:tblpX="1492" w:tblpY="473"/>
        <w:tblOverlap w:val="never"/>
        <w:tblW w:w="0" w:type="auto"/>
        <w:tblInd w:w="0" w:type="dxa"/>
        <w:tblLayout w:type="autofit"/>
        <w:tblCellMar>
          <w:top w:w="0" w:type="dxa"/>
          <w:left w:w="108" w:type="dxa"/>
          <w:bottom w:w="0" w:type="dxa"/>
          <w:right w:w="108" w:type="dxa"/>
        </w:tblCellMar>
      </w:tblPr>
      <w:tblGrid>
        <w:gridCol w:w="3158"/>
        <w:gridCol w:w="5902"/>
      </w:tblGrid>
      <w:tr w14:paraId="217C6476">
        <w:tc>
          <w:tcPr>
            <w:tcW w:w="3158" w:type="dxa"/>
            <w:noWrap w:val="0"/>
            <w:vAlign w:val="top"/>
          </w:tcPr>
          <w:p w14:paraId="1E43E184">
            <w:pPr>
              <w:pStyle w:val="10"/>
              <w:keepNext w:val="0"/>
              <w:keepLines w:val="0"/>
              <w:suppressLineNumbers w:val="0"/>
              <w:spacing w:before="0" w:beforeAutospacing="0" w:after="0" w:afterAutospacing="0"/>
              <w:ind w:left="0" w:leftChars="0" w:right="0" w:rightChars="0"/>
              <w:jc w:val="left"/>
              <w:rPr>
                <w:rFonts w:hint="default" w:ascii="Times New Roman" w:hAnsi="Times New Roman" w:eastAsia="仿宋" w:cs="Times New Roman"/>
                <w:color w:val="auto"/>
                <w:sz w:val="44"/>
                <w:szCs w:val="44"/>
              </w:rPr>
            </w:pPr>
            <w:r>
              <w:rPr>
                <w:rFonts w:hint="eastAsia" w:ascii="仿宋_GB2312" w:hAnsi="Times New Roman" w:eastAsia="仿宋_GB2312" w:cs="Times New Roman"/>
                <w:color w:val="auto"/>
                <w:sz w:val="36"/>
                <w:szCs w:val="36"/>
              </w:rPr>
              <w:t>项  目  名  称：</w:t>
            </w:r>
          </w:p>
        </w:tc>
        <w:tc>
          <w:tcPr>
            <w:tcW w:w="5902" w:type="dxa"/>
            <w:noWrap w:val="0"/>
            <w:vAlign w:val="top"/>
          </w:tcPr>
          <w:p w14:paraId="37FA75FE">
            <w:pPr>
              <w:pStyle w:val="10"/>
              <w:keepNext w:val="0"/>
              <w:keepLines w:val="0"/>
              <w:suppressLineNumbers w:val="0"/>
              <w:spacing w:before="0" w:beforeAutospacing="0" w:after="0" w:afterAutospacing="0"/>
              <w:ind w:left="0" w:leftChars="0" w:right="0" w:rightChars="0"/>
              <w:rPr>
                <w:rFonts w:hint="default" w:ascii="Times New Roman" w:hAnsi="Times New Roman" w:eastAsia="仿宋" w:cs="Times New Roman"/>
                <w:color w:val="auto"/>
                <w:sz w:val="36"/>
                <w:szCs w:val="36"/>
              </w:rPr>
            </w:pPr>
            <w:r>
              <w:rPr>
                <w:rFonts w:hint="eastAsia" w:ascii="仿宋_GB2312" w:hAnsi="Times New Roman" w:eastAsia="仿宋_GB2312" w:cs="Times New Roman"/>
                <w:color w:val="auto"/>
                <w:sz w:val="36"/>
                <w:szCs w:val="36"/>
                <w:u w:val="single"/>
              </w:rPr>
              <w:t xml:space="preserve">    </w:t>
            </w:r>
            <w:r>
              <w:rPr>
                <w:rFonts w:hint="eastAsia" w:ascii="仿宋_GB2312" w:hAnsi="Times New Roman" w:eastAsia="仿宋_GB2312" w:cs="Times New Roman"/>
                <w:color w:val="auto"/>
                <w:sz w:val="36"/>
                <w:szCs w:val="36"/>
                <w:u w:val="single"/>
                <w:lang w:val="en-US" w:eastAsia="zh-CN"/>
              </w:rPr>
              <w:t>唐都纸品本册印制改扩建项目</w:t>
            </w:r>
            <w:r>
              <w:rPr>
                <w:rFonts w:hint="eastAsia" w:ascii="仿宋_GB2312" w:hAnsi="Times New Roman" w:eastAsia="仿宋_GB2312" w:cs="Times New Roman"/>
                <w:color w:val="auto"/>
                <w:sz w:val="36"/>
                <w:szCs w:val="36"/>
                <w:u w:val="single"/>
              </w:rPr>
              <w:t xml:space="preserve">      </w:t>
            </w:r>
          </w:p>
        </w:tc>
      </w:tr>
      <w:tr w14:paraId="00AC8516">
        <w:tblPrEx>
          <w:tblCellMar>
            <w:top w:w="0" w:type="dxa"/>
            <w:left w:w="108" w:type="dxa"/>
            <w:bottom w:w="0" w:type="dxa"/>
            <w:right w:w="108" w:type="dxa"/>
          </w:tblCellMar>
        </w:tblPrEx>
        <w:tc>
          <w:tcPr>
            <w:tcW w:w="3158" w:type="dxa"/>
            <w:noWrap w:val="0"/>
            <w:vAlign w:val="top"/>
          </w:tcPr>
          <w:p w14:paraId="7764954C">
            <w:pPr>
              <w:pStyle w:val="10"/>
              <w:keepNext w:val="0"/>
              <w:keepLines w:val="0"/>
              <w:suppressLineNumbers w:val="0"/>
              <w:spacing w:before="0" w:beforeAutospacing="0" w:after="0" w:afterAutospacing="0"/>
              <w:ind w:left="0" w:leftChars="0" w:right="0" w:rightChars="0"/>
              <w:jc w:val="left"/>
              <w:rPr>
                <w:rFonts w:hint="default" w:ascii="Times New Roman" w:hAnsi="Times New Roman" w:eastAsia="仿宋" w:cs="Times New Roman"/>
                <w:color w:val="auto"/>
                <w:sz w:val="44"/>
                <w:szCs w:val="44"/>
              </w:rPr>
            </w:pPr>
            <w:r>
              <w:rPr>
                <w:rFonts w:hint="eastAsia" w:ascii="仿宋_GB2312" w:hAnsi="Times New Roman" w:eastAsia="仿宋_GB2312" w:cs="Times New Roman"/>
                <w:color w:val="auto"/>
                <w:sz w:val="36"/>
                <w:szCs w:val="36"/>
              </w:rPr>
              <w:t>建设单位（盖章）：</w:t>
            </w:r>
          </w:p>
        </w:tc>
        <w:tc>
          <w:tcPr>
            <w:tcW w:w="5902" w:type="dxa"/>
            <w:noWrap w:val="0"/>
            <w:vAlign w:val="top"/>
          </w:tcPr>
          <w:p w14:paraId="3E579464">
            <w:pPr>
              <w:pStyle w:val="10"/>
              <w:keepNext w:val="0"/>
              <w:keepLines w:val="0"/>
              <w:suppressLineNumbers w:val="0"/>
              <w:spacing w:before="0" w:beforeAutospacing="0" w:after="0" w:afterAutospacing="0"/>
              <w:ind w:left="0" w:leftChars="0" w:right="0" w:rightChars="0"/>
              <w:rPr>
                <w:rFonts w:hint="default" w:ascii="Times New Roman" w:hAnsi="Times New Roman" w:eastAsia="仿宋" w:cs="Times New Roman"/>
                <w:color w:val="auto"/>
                <w:sz w:val="36"/>
                <w:szCs w:val="36"/>
              </w:rPr>
            </w:pPr>
            <w:r>
              <w:rPr>
                <w:rFonts w:hint="eastAsia" w:ascii="仿宋_GB2312" w:hAnsi="Times New Roman" w:eastAsia="仿宋_GB2312" w:cs="Times New Roman"/>
                <w:color w:val="auto"/>
                <w:sz w:val="36"/>
                <w:szCs w:val="36"/>
                <w:u w:val="single"/>
              </w:rPr>
              <w:t xml:space="preserve">     </w:t>
            </w:r>
            <w:r>
              <w:rPr>
                <w:rFonts w:hint="eastAsia" w:ascii="仿宋_GB2312" w:hAnsi="Times New Roman" w:eastAsia="仿宋_GB2312" w:cs="Times New Roman"/>
                <w:color w:val="auto"/>
                <w:sz w:val="36"/>
                <w:szCs w:val="36"/>
                <w:u w:val="single"/>
                <w:lang w:eastAsia="zh-CN"/>
              </w:rPr>
              <w:t>西安唐都纸品有限责任公司</w:t>
            </w:r>
            <w:r>
              <w:rPr>
                <w:rFonts w:hint="eastAsia" w:ascii="仿宋_GB2312" w:hAnsi="Times New Roman" w:eastAsia="仿宋_GB2312" w:cs="Times New Roman"/>
                <w:color w:val="auto"/>
                <w:sz w:val="36"/>
                <w:szCs w:val="36"/>
                <w:u w:val="single"/>
              </w:rPr>
              <w:t xml:space="preserve">     </w:t>
            </w:r>
          </w:p>
        </w:tc>
      </w:tr>
      <w:tr w14:paraId="74822152">
        <w:tblPrEx>
          <w:tblCellMar>
            <w:top w:w="0" w:type="dxa"/>
            <w:left w:w="108" w:type="dxa"/>
            <w:bottom w:w="0" w:type="dxa"/>
            <w:right w:w="108" w:type="dxa"/>
          </w:tblCellMar>
        </w:tblPrEx>
        <w:tc>
          <w:tcPr>
            <w:tcW w:w="3158" w:type="dxa"/>
            <w:noWrap w:val="0"/>
            <w:vAlign w:val="top"/>
          </w:tcPr>
          <w:p w14:paraId="09D23598">
            <w:pPr>
              <w:pStyle w:val="10"/>
              <w:keepNext w:val="0"/>
              <w:keepLines w:val="0"/>
              <w:suppressLineNumbers w:val="0"/>
              <w:spacing w:before="0" w:beforeAutospacing="0" w:after="0" w:afterAutospacing="0"/>
              <w:ind w:left="0" w:leftChars="0" w:right="0" w:rightChars="0"/>
              <w:jc w:val="left"/>
              <w:rPr>
                <w:rFonts w:hint="default" w:ascii="Times New Roman" w:hAnsi="Times New Roman" w:eastAsia="仿宋" w:cs="Times New Roman"/>
                <w:color w:val="auto"/>
                <w:sz w:val="44"/>
                <w:szCs w:val="44"/>
              </w:rPr>
            </w:pPr>
            <w:r>
              <w:rPr>
                <w:rFonts w:hint="eastAsia" w:ascii="仿宋_GB2312" w:hAnsi="Times New Roman" w:eastAsia="仿宋_GB2312" w:cs="Times New Roman"/>
                <w:color w:val="auto"/>
                <w:sz w:val="36"/>
                <w:szCs w:val="36"/>
              </w:rPr>
              <w:t>编  制  日  期：</w:t>
            </w:r>
          </w:p>
        </w:tc>
        <w:tc>
          <w:tcPr>
            <w:tcW w:w="5902" w:type="dxa"/>
            <w:noWrap w:val="0"/>
            <w:vAlign w:val="top"/>
          </w:tcPr>
          <w:p w14:paraId="6D7DA573">
            <w:pPr>
              <w:pStyle w:val="10"/>
              <w:keepNext w:val="0"/>
              <w:keepLines w:val="0"/>
              <w:suppressLineNumbers w:val="0"/>
              <w:spacing w:before="0" w:beforeAutospacing="0" w:after="0" w:afterAutospacing="0"/>
              <w:ind w:left="0" w:leftChars="0" w:right="0" w:rightChars="0"/>
              <w:rPr>
                <w:rFonts w:hint="default" w:ascii="Times New Roman" w:hAnsi="Times New Roman" w:eastAsia="仿宋" w:cs="Times New Roman"/>
                <w:color w:val="auto"/>
                <w:sz w:val="36"/>
                <w:szCs w:val="36"/>
              </w:rPr>
            </w:pPr>
            <w:r>
              <w:rPr>
                <w:rFonts w:hint="eastAsia" w:ascii="仿宋_GB2312" w:hAnsi="Times New Roman" w:eastAsia="仿宋_GB2312" w:cs="Times New Roman"/>
                <w:color w:val="auto"/>
                <w:sz w:val="36"/>
                <w:szCs w:val="36"/>
                <w:u w:val="single"/>
              </w:rPr>
              <w:t xml:space="preserve"> </w:t>
            </w:r>
            <w:r>
              <w:rPr>
                <w:rFonts w:hint="default" w:ascii="仿宋_GB2312" w:hAnsi="Times New Roman" w:eastAsia="仿宋_GB2312" w:cs="Times New Roman"/>
                <w:color w:val="auto"/>
                <w:sz w:val="36"/>
                <w:szCs w:val="36"/>
                <w:u w:val="single"/>
              </w:rPr>
              <w:t xml:space="preserve"> </w:t>
            </w:r>
            <w:r>
              <w:rPr>
                <w:rFonts w:hint="eastAsia" w:ascii="仿宋_GB2312" w:hAnsi="Times New Roman" w:eastAsia="仿宋_GB2312" w:cs="Times New Roman"/>
                <w:color w:val="auto"/>
                <w:sz w:val="36"/>
                <w:szCs w:val="36"/>
                <w:u w:val="single"/>
              </w:rPr>
              <w:t xml:space="preserve">      </w:t>
            </w:r>
            <w:r>
              <w:rPr>
                <w:rFonts w:hint="default" w:ascii="仿宋_GB2312" w:hAnsi="Times New Roman" w:eastAsia="仿宋_GB2312" w:cs="Times New Roman"/>
                <w:color w:val="auto"/>
                <w:sz w:val="36"/>
                <w:szCs w:val="36"/>
                <w:u w:val="single"/>
              </w:rPr>
              <w:t xml:space="preserve"> </w:t>
            </w:r>
            <w:r>
              <w:rPr>
                <w:rFonts w:hint="eastAsia" w:ascii="仿宋_GB2312" w:hAnsi="Times New Roman" w:eastAsia="仿宋_GB2312" w:cs="Times New Roman"/>
                <w:color w:val="auto"/>
                <w:sz w:val="36"/>
                <w:szCs w:val="36"/>
                <w:u w:val="single"/>
              </w:rPr>
              <w:t xml:space="preserve">  2024年</w:t>
            </w:r>
            <w:r>
              <w:rPr>
                <w:rFonts w:hint="eastAsia" w:ascii="仿宋_GB2312" w:eastAsia="仿宋_GB2312" w:cs="Times New Roman"/>
                <w:color w:val="auto"/>
                <w:sz w:val="36"/>
                <w:szCs w:val="36"/>
                <w:u w:val="single"/>
                <w:lang w:val="en-US" w:eastAsia="zh-CN"/>
              </w:rPr>
              <w:t>9</w:t>
            </w:r>
            <w:r>
              <w:rPr>
                <w:rFonts w:hint="eastAsia" w:ascii="仿宋_GB2312" w:hAnsi="Times New Roman" w:eastAsia="仿宋_GB2312" w:cs="Times New Roman"/>
                <w:color w:val="auto"/>
                <w:sz w:val="36"/>
                <w:szCs w:val="36"/>
                <w:u w:val="single"/>
              </w:rPr>
              <w:t xml:space="preserve">月           </w:t>
            </w:r>
          </w:p>
        </w:tc>
      </w:tr>
    </w:tbl>
    <w:p w14:paraId="285574BC">
      <w:pPr>
        <w:pStyle w:val="10"/>
        <w:rPr>
          <w:rFonts w:eastAsia="仿宋"/>
          <w:color w:val="auto"/>
          <w:sz w:val="44"/>
          <w:szCs w:val="44"/>
        </w:rPr>
      </w:pPr>
    </w:p>
    <w:p w14:paraId="6CD9A18C">
      <w:pPr>
        <w:adjustRightInd w:val="0"/>
        <w:snapToGrid w:val="0"/>
        <w:spacing w:line="288" w:lineRule="auto"/>
        <w:ind w:firstLine="1040"/>
        <w:rPr>
          <w:rFonts w:ascii="仿宋_GB2312" w:eastAsia="仿宋_GB2312"/>
          <w:color w:val="auto"/>
          <w:sz w:val="36"/>
          <w:szCs w:val="36"/>
          <w:u w:val="single"/>
        </w:rPr>
      </w:pPr>
      <w:bookmarkStart w:id="0" w:name="_Hlk57884087"/>
    </w:p>
    <w:p w14:paraId="032071AC">
      <w:pPr>
        <w:adjustRightInd w:val="0"/>
        <w:snapToGrid w:val="0"/>
        <w:spacing w:line="288" w:lineRule="auto"/>
        <w:ind w:firstLine="1040"/>
        <w:rPr>
          <w:rFonts w:hint="eastAsia" w:ascii="仿宋_GB2312" w:eastAsia="仿宋_GB2312"/>
          <w:color w:val="auto"/>
          <w:sz w:val="36"/>
          <w:szCs w:val="36"/>
        </w:rPr>
      </w:pPr>
    </w:p>
    <w:bookmarkEnd w:id="0"/>
    <w:p w14:paraId="0A6E0C8C">
      <w:pPr>
        <w:adjustRightInd w:val="0"/>
        <w:snapToGrid w:val="0"/>
        <w:spacing w:line="288" w:lineRule="auto"/>
        <w:jc w:val="center"/>
        <w:outlineLvl w:val="0"/>
        <w:rPr>
          <w:rFonts w:hint="eastAsia" w:ascii="楷体_GB2312" w:eastAsia="楷体_GB2312"/>
          <w:color w:val="auto"/>
          <w:sz w:val="36"/>
          <w:szCs w:val="36"/>
        </w:rPr>
      </w:pPr>
      <w:r>
        <w:rPr>
          <w:rFonts w:hint="eastAsia" w:ascii="楷体_GB2312" w:eastAsia="楷体_GB2312"/>
          <w:color w:val="auto"/>
          <w:sz w:val="36"/>
          <w:szCs w:val="36"/>
        </w:rPr>
        <w:t>中华人民共和国生态环境部制</w:t>
      </w:r>
    </w:p>
    <w:p w14:paraId="37DE8FB6">
      <w:pPr>
        <w:adjustRightInd w:val="0"/>
        <w:snapToGrid w:val="0"/>
        <w:spacing w:line="288" w:lineRule="auto"/>
        <w:ind w:firstLine="1040"/>
        <w:rPr>
          <w:rFonts w:ascii="仿宋_GB2312" w:eastAsia="仿宋_GB2312"/>
          <w:color w:val="auto"/>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decimal" w:start="3"/>
          <w:cols w:space="720" w:num="1"/>
          <w:docGrid w:linePitch="312" w:charSpace="0"/>
        </w:sectPr>
      </w:pPr>
    </w:p>
    <w:p w14:paraId="7606C933">
      <w:pPr>
        <w:pStyle w:val="9"/>
        <w:rPr>
          <w:color w:val="auto"/>
        </w:rPr>
        <w:sectPr>
          <w:pgSz w:w="11906" w:h="16838"/>
          <w:pgMar w:top="1701" w:right="1531" w:bottom="1701" w:left="1531" w:header="851" w:footer="1077" w:gutter="0"/>
          <w:pgBorders>
            <w:top w:val="none" w:sz="0" w:space="0"/>
            <w:left w:val="none" w:sz="0" w:space="0"/>
            <w:bottom w:val="none" w:sz="0" w:space="0"/>
            <w:right w:val="none" w:sz="0" w:space="0"/>
          </w:pgBorders>
          <w:pgNumType w:fmt="decimal" w:start="3"/>
          <w:cols w:space="720" w:num="1"/>
          <w:docGrid w:linePitch="312" w:charSpace="0"/>
        </w:sectPr>
      </w:pPr>
    </w:p>
    <w:p w14:paraId="190F2084">
      <w:pPr>
        <w:pStyle w:val="9"/>
        <w:rPr>
          <w:color w:val="auto"/>
        </w:rPr>
      </w:pPr>
    </w:p>
    <w:p w14:paraId="65AA1736">
      <w:pPr>
        <w:pStyle w:val="23"/>
        <w:spacing w:before="0" w:beforeAutospacing="0" w:after="0" w:afterAutospacing="0" w:line="360" w:lineRule="auto"/>
        <w:jc w:val="center"/>
        <w:outlineLvl w:val="0"/>
        <w:rPr>
          <w:rFonts w:hint="eastAsia" w:cs="宋体"/>
          <w:b/>
          <w:bCs/>
          <w:snapToGrid w:val="0"/>
          <w:color w:val="auto"/>
          <w:sz w:val="30"/>
          <w:szCs w:val="30"/>
        </w:rPr>
      </w:pPr>
      <w:r>
        <w:rPr>
          <w:rFonts w:hint="eastAsia" w:cs="宋体"/>
          <w:b/>
          <w:bCs/>
          <w:snapToGrid w:val="0"/>
          <w:color w:val="auto"/>
          <w:sz w:val="30"/>
          <w:szCs w:val="30"/>
        </w:rPr>
        <w:t>一、建设项目基本情况</w:t>
      </w:r>
    </w:p>
    <w:tbl>
      <w:tblPr>
        <w:tblStyle w:val="26"/>
        <w:tblW w:w="887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
        <w:gridCol w:w="1551"/>
        <w:gridCol w:w="1804"/>
        <w:gridCol w:w="2330"/>
        <w:gridCol w:w="3182"/>
        <w:gridCol w:w="3"/>
      </w:tblGrid>
      <w:tr w14:paraId="648BB8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554" w:type="dxa"/>
            <w:gridSpan w:val="2"/>
            <w:noWrap w:val="0"/>
            <w:tcMar>
              <w:top w:w="16" w:type="dxa"/>
              <w:left w:w="16" w:type="dxa"/>
              <w:right w:w="16" w:type="dxa"/>
            </w:tcMar>
            <w:vAlign w:val="center"/>
          </w:tcPr>
          <w:p w14:paraId="2DF77A3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建设项目名称</w:t>
            </w:r>
          </w:p>
        </w:tc>
        <w:tc>
          <w:tcPr>
            <w:tcW w:w="7316" w:type="dxa"/>
            <w:gridSpan w:val="3"/>
            <w:noWrap w:val="0"/>
            <w:vAlign w:val="center"/>
          </w:tcPr>
          <w:p w14:paraId="75C07F2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lang w:eastAsia="zh-CN"/>
              </w:rPr>
              <w:t>唐都纸品本册印制改扩建项目</w:t>
            </w:r>
          </w:p>
        </w:tc>
      </w:tr>
      <w:tr w14:paraId="478A6B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554" w:type="dxa"/>
            <w:gridSpan w:val="2"/>
            <w:noWrap w:val="0"/>
            <w:tcMar>
              <w:top w:w="16" w:type="dxa"/>
              <w:left w:w="16" w:type="dxa"/>
              <w:right w:w="16" w:type="dxa"/>
            </w:tcMar>
            <w:vAlign w:val="center"/>
          </w:tcPr>
          <w:p w14:paraId="539C12B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项目代码</w:t>
            </w:r>
          </w:p>
        </w:tc>
        <w:tc>
          <w:tcPr>
            <w:tcW w:w="7316" w:type="dxa"/>
            <w:gridSpan w:val="3"/>
            <w:noWrap w:val="0"/>
            <w:vAlign w:val="center"/>
          </w:tcPr>
          <w:p w14:paraId="2EAF300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2407-611203-04-01-557312</w:t>
            </w:r>
          </w:p>
        </w:tc>
      </w:tr>
      <w:tr w14:paraId="43B880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554" w:type="dxa"/>
            <w:gridSpan w:val="2"/>
            <w:noWrap w:val="0"/>
            <w:tcMar>
              <w:top w:w="16" w:type="dxa"/>
              <w:left w:w="16" w:type="dxa"/>
              <w:right w:w="16" w:type="dxa"/>
            </w:tcMar>
            <w:vAlign w:val="center"/>
          </w:tcPr>
          <w:p w14:paraId="520CD71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建设单位联系人</w:t>
            </w:r>
          </w:p>
        </w:tc>
        <w:tc>
          <w:tcPr>
            <w:tcW w:w="1804" w:type="dxa"/>
            <w:noWrap w:val="0"/>
            <w:vAlign w:val="center"/>
          </w:tcPr>
          <w:p w14:paraId="354C13A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lang w:val="en-US" w:eastAsia="zh-CN"/>
              </w:rPr>
              <w:t>张冲</w:t>
            </w:r>
          </w:p>
        </w:tc>
        <w:tc>
          <w:tcPr>
            <w:tcW w:w="2330" w:type="dxa"/>
            <w:noWrap w:val="0"/>
            <w:vAlign w:val="center"/>
          </w:tcPr>
          <w:p w14:paraId="3C68841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联系方式</w:t>
            </w:r>
          </w:p>
        </w:tc>
        <w:tc>
          <w:tcPr>
            <w:tcW w:w="3182" w:type="dxa"/>
            <w:noWrap w:val="0"/>
            <w:vAlign w:val="center"/>
          </w:tcPr>
          <w:p w14:paraId="64521CD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18991374724</w:t>
            </w:r>
          </w:p>
        </w:tc>
      </w:tr>
      <w:tr w14:paraId="4202EF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554" w:type="dxa"/>
            <w:gridSpan w:val="2"/>
            <w:noWrap w:val="0"/>
            <w:tcMar>
              <w:top w:w="16" w:type="dxa"/>
              <w:left w:w="16" w:type="dxa"/>
              <w:right w:w="16" w:type="dxa"/>
            </w:tcMar>
            <w:vAlign w:val="center"/>
          </w:tcPr>
          <w:p w14:paraId="7EBBE32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7316" w:type="dxa"/>
            <w:gridSpan w:val="3"/>
            <w:noWrap w:val="0"/>
            <w:vAlign w:val="center"/>
          </w:tcPr>
          <w:p w14:paraId="5BCB51E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lang w:val="en-US"/>
              </w:rPr>
            </w:pPr>
            <w:r>
              <w:rPr>
                <w:rFonts w:hint="eastAsia" w:cs="Times New Roman"/>
                <w:color w:val="auto"/>
                <w:sz w:val="24"/>
                <w:lang w:val="en-US" w:eastAsia="zh-CN"/>
              </w:rPr>
              <w:t>西咸新区</w:t>
            </w:r>
            <w:r>
              <w:rPr>
                <w:rFonts w:hint="eastAsia" w:ascii="Times New Roman" w:hAnsi="Times New Roman" w:cs="Times New Roman"/>
                <w:color w:val="auto"/>
                <w:sz w:val="24"/>
                <w:lang w:val="en-US" w:eastAsia="zh-CN"/>
              </w:rPr>
              <w:t>沣东新城建章路168号</w:t>
            </w:r>
          </w:p>
        </w:tc>
      </w:tr>
      <w:tr w14:paraId="5F7129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554" w:type="dxa"/>
            <w:gridSpan w:val="2"/>
            <w:noWrap w:val="0"/>
            <w:tcMar>
              <w:top w:w="16" w:type="dxa"/>
              <w:left w:w="16" w:type="dxa"/>
              <w:right w:w="16" w:type="dxa"/>
            </w:tcMar>
            <w:vAlign w:val="center"/>
          </w:tcPr>
          <w:p w14:paraId="0C55DCE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7316" w:type="dxa"/>
            <w:gridSpan w:val="3"/>
            <w:noWrap w:val="0"/>
            <w:vAlign w:val="center"/>
          </w:tcPr>
          <w:p w14:paraId="63390F2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（东经</w:t>
            </w:r>
            <w:r>
              <w:rPr>
                <w:rFonts w:hint="default" w:ascii="Times New Roman" w:hAnsi="Times New Roman" w:cs="Times New Roman"/>
                <w:color w:val="auto"/>
                <w:sz w:val="24"/>
                <w:u w:val="single"/>
              </w:rPr>
              <w:t xml:space="preserve"> 108 </w:t>
            </w:r>
            <w:r>
              <w:rPr>
                <w:rFonts w:hint="default" w:ascii="Times New Roman" w:hAnsi="Times New Roman" w:cs="Times New Roman"/>
                <w:color w:val="auto"/>
                <w:sz w:val="24"/>
              </w:rPr>
              <w:t>度</w:t>
            </w:r>
            <w:r>
              <w:rPr>
                <w:rFonts w:hint="default" w:ascii="Times New Roman" w:hAnsi="Times New Roman" w:cs="Times New Roman"/>
                <w:color w:val="auto"/>
                <w:sz w:val="24"/>
                <w:u w:val="single"/>
              </w:rPr>
              <w:t xml:space="preserve"> 5</w:t>
            </w:r>
            <w:r>
              <w:rPr>
                <w:rFonts w:hint="eastAsia" w:ascii="Times New Roman" w:hAnsi="Times New Roman" w:cs="Times New Roman"/>
                <w:color w:val="auto"/>
                <w:sz w:val="24"/>
                <w:u w:val="single"/>
                <w:lang w:val="en-US" w:eastAsia="zh-CN"/>
              </w:rPr>
              <w:t>0</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rPr>
              <w:t>分</w:t>
            </w:r>
            <w:r>
              <w:rPr>
                <w:rFonts w:hint="default" w:ascii="Times New Roman" w:hAnsi="Times New Roman" w:cs="Times New Roman"/>
                <w:color w:val="auto"/>
                <w:sz w:val="24"/>
                <w:u w:val="single"/>
              </w:rPr>
              <w:t xml:space="preserve"> </w:t>
            </w:r>
            <w:r>
              <w:rPr>
                <w:rFonts w:hint="eastAsia" w:cs="Times New Roman"/>
                <w:color w:val="auto"/>
                <w:sz w:val="24"/>
                <w:u w:val="single"/>
                <w:lang w:val="en-US" w:eastAsia="zh-CN"/>
              </w:rPr>
              <w:t>11</w:t>
            </w:r>
            <w:r>
              <w:rPr>
                <w:rFonts w:hint="eastAsia" w:ascii="Times New Roman" w:hAnsi="Times New Roman" w:cs="Times New Roman"/>
                <w:color w:val="auto"/>
                <w:sz w:val="24"/>
                <w:u w:val="single"/>
                <w:lang w:val="en-US" w:eastAsia="zh-CN"/>
              </w:rPr>
              <w:t>.26</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rPr>
              <w:t>秒，北纬</w:t>
            </w:r>
            <w:r>
              <w:rPr>
                <w:rFonts w:hint="default" w:ascii="Times New Roman" w:hAnsi="Times New Roman" w:cs="Times New Roman"/>
                <w:color w:val="auto"/>
                <w:sz w:val="24"/>
                <w:u w:val="single"/>
              </w:rPr>
              <w:t xml:space="preserve"> 34 </w:t>
            </w:r>
            <w:r>
              <w:rPr>
                <w:rFonts w:hint="default" w:ascii="Times New Roman" w:hAnsi="Times New Roman" w:cs="Times New Roman"/>
                <w:color w:val="auto"/>
                <w:sz w:val="24"/>
              </w:rPr>
              <w:t>度</w:t>
            </w:r>
            <w:r>
              <w:rPr>
                <w:rFonts w:hint="default" w:ascii="Times New Roman" w:hAnsi="Times New Roman" w:cs="Times New Roman"/>
                <w:color w:val="auto"/>
                <w:sz w:val="24"/>
                <w:u w:val="single"/>
              </w:rPr>
              <w:t xml:space="preserve"> </w:t>
            </w:r>
            <w:r>
              <w:rPr>
                <w:rFonts w:hint="eastAsia" w:ascii="Times New Roman" w:hAnsi="Times New Roman" w:cs="Times New Roman"/>
                <w:color w:val="auto"/>
                <w:sz w:val="24"/>
                <w:u w:val="single"/>
                <w:lang w:val="en-US" w:eastAsia="zh-CN"/>
              </w:rPr>
              <w:t>18</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rPr>
              <w:t>分</w:t>
            </w:r>
            <w:r>
              <w:rPr>
                <w:rFonts w:hint="default" w:ascii="Times New Roman" w:hAnsi="Times New Roman" w:cs="Times New Roman"/>
                <w:color w:val="auto"/>
                <w:sz w:val="24"/>
                <w:u w:val="single"/>
              </w:rPr>
              <w:t xml:space="preserve"> </w:t>
            </w:r>
            <w:r>
              <w:rPr>
                <w:rFonts w:hint="eastAsia" w:ascii="Times New Roman" w:hAnsi="Times New Roman" w:cs="Times New Roman"/>
                <w:color w:val="auto"/>
                <w:sz w:val="24"/>
                <w:u w:val="single"/>
                <w:lang w:val="en-US" w:eastAsia="zh-CN"/>
              </w:rPr>
              <w:t>3</w:t>
            </w:r>
            <w:r>
              <w:rPr>
                <w:rFonts w:hint="eastAsia" w:cs="Times New Roman"/>
                <w:color w:val="auto"/>
                <w:sz w:val="24"/>
                <w:u w:val="single"/>
                <w:lang w:val="en-US" w:eastAsia="zh-CN"/>
              </w:rPr>
              <w:t>7.09</w:t>
            </w:r>
            <w:r>
              <w:rPr>
                <w:rFonts w:hint="default" w:ascii="Times New Roman" w:hAnsi="Times New Roman" w:cs="Times New Roman"/>
                <w:color w:val="auto"/>
                <w:sz w:val="24"/>
                <w:u w:val="single"/>
              </w:rPr>
              <w:t xml:space="preserve"> </w:t>
            </w:r>
            <w:r>
              <w:rPr>
                <w:rFonts w:hint="default" w:ascii="Times New Roman" w:hAnsi="Times New Roman" w:cs="Times New Roman"/>
                <w:color w:val="auto"/>
                <w:sz w:val="24"/>
              </w:rPr>
              <w:t>秒）</w:t>
            </w:r>
          </w:p>
        </w:tc>
      </w:tr>
      <w:tr w14:paraId="4BD7DD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561" w:hRule="atLeast"/>
          <w:jc w:val="center"/>
        </w:trPr>
        <w:tc>
          <w:tcPr>
            <w:tcW w:w="1554" w:type="dxa"/>
            <w:gridSpan w:val="2"/>
            <w:noWrap w:val="0"/>
            <w:tcMar>
              <w:top w:w="16" w:type="dxa"/>
              <w:left w:w="16" w:type="dxa"/>
              <w:right w:w="16" w:type="dxa"/>
            </w:tcMar>
            <w:vAlign w:val="center"/>
          </w:tcPr>
          <w:p w14:paraId="0D161E4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国民经济</w:t>
            </w:r>
          </w:p>
          <w:p w14:paraId="5F4DE78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p>
        </w:tc>
        <w:tc>
          <w:tcPr>
            <w:tcW w:w="1804" w:type="dxa"/>
            <w:noWrap w:val="0"/>
            <w:vAlign w:val="center"/>
          </w:tcPr>
          <w:p w14:paraId="5BCE070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lang w:val="en-US" w:eastAsia="zh-CN"/>
              </w:rPr>
            </w:pPr>
            <w:r>
              <w:rPr>
                <w:rFonts w:hint="default" w:ascii="Times New Roman" w:hAnsi="Times New Roman" w:cs="Times New Roman"/>
                <w:color w:val="auto"/>
                <w:sz w:val="24"/>
              </w:rPr>
              <w:t>C</w:t>
            </w:r>
            <w:r>
              <w:rPr>
                <w:rFonts w:hint="eastAsia" w:ascii="Times New Roman" w:hAnsi="Times New Roman" w:cs="Times New Roman"/>
                <w:color w:val="auto"/>
                <w:sz w:val="24"/>
                <w:lang w:val="en-US" w:eastAsia="zh-CN"/>
              </w:rPr>
              <w:t>2312本册</w:t>
            </w:r>
            <w:r>
              <w:rPr>
                <w:rFonts w:hint="eastAsia" w:cs="Times New Roman"/>
                <w:color w:val="auto"/>
                <w:sz w:val="24"/>
                <w:lang w:val="en-US" w:eastAsia="zh-CN"/>
              </w:rPr>
              <w:t>印制</w:t>
            </w:r>
          </w:p>
          <w:p w14:paraId="6866B35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lang w:val="en-US" w:eastAsia="zh-CN"/>
              </w:rPr>
            </w:pPr>
            <w:r>
              <w:rPr>
                <w:rFonts w:hint="eastAsia" w:cs="Times New Roman"/>
                <w:color w:val="auto"/>
                <w:sz w:val="24"/>
                <w:lang w:val="en-US" w:eastAsia="zh-CN"/>
              </w:rPr>
              <w:t>C</w:t>
            </w:r>
            <w:r>
              <w:rPr>
                <w:rFonts w:hint="default" w:ascii="Times New Roman" w:hAnsi="Times New Roman" w:cs="Times New Roman"/>
                <w:color w:val="auto"/>
                <w:sz w:val="24"/>
                <w:lang w:val="en-US" w:eastAsia="zh-CN"/>
              </w:rPr>
              <w:t>2320装订及印刷相关服务</w:t>
            </w:r>
          </w:p>
        </w:tc>
        <w:tc>
          <w:tcPr>
            <w:tcW w:w="2330" w:type="dxa"/>
            <w:noWrap w:val="0"/>
            <w:vAlign w:val="center"/>
          </w:tcPr>
          <w:p w14:paraId="22480C8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bookmarkStart w:id="1" w:name="_Hlk49843745"/>
            <w:r>
              <w:rPr>
                <w:rFonts w:hint="default" w:ascii="Times New Roman" w:hAnsi="Times New Roman" w:cs="Times New Roman"/>
                <w:color w:val="auto"/>
                <w:sz w:val="24"/>
              </w:rPr>
              <w:t>建设项目</w:t>
            </w:r>
          </w:p>
          <w:p w14:paraId="22A3FD2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bookmarkEnd w:id="1"/>
          </w:p>
        </w:tc>
        <w:tc>
          <w:tcPr>
            <w:tcW w:w="3182" w:type="dxa"/>
            <w:noWrap w:val="0"/>
            <w:vAlign w:val="center"/>
          </w:tcPr>
          <w:p w14:paraId="44E7372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eastAsia="宋体" w:cs="Times New Roman"/>
                <w:sz w:val="24"/>
                <w:szCs w:val="24"/>
              </w:rPr>
              <w:t>二十、印刷和记录媒介复制业23其他（激光印刷除外；年用低VOCs含量油墨10吨以下的印刷除外）</w:t>
            </w:r>
          </w:p>
        </w:tc>
      </w:tr>
      <w:tr w14:paraId="4E9C5E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1219" w:hRule="atLeast"/>
          <w:jc w:val="center"/>
        </w:trPr>
        <w:tc>
          <w:tcPr>
            <w:tcW w:w="1554" w:type="dxa"/>
            <w:gridSpan w:val="2"/>
            <w:noWrap w:val="0"/>
            <w:tcMar>
              <w:top w:w="16" w:type="dxa"/>
              <w:left w:w="16" w:type="dxa"/>
              <w:right w:w="16" w:type="dxa"/>
            </w:tcMar>
            <w:vAlign w:val="center"/>
          </w:tcPr>
          <w:p w14:paraId="0C687E1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1804" w:type="dxa"/>
            <w:noWrap w:val="0"/>
            <w:vAlign w:val="center"/>
          </w:tcPr>
          <w:p w14:paraId="19208D87">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迁建</w:t>
            </w:r>
          </w:p>
          <w:p w14:paraId="38CD4256">
            <w:pPr>
              <w:keepNext w:val="0"/>
              <w:keepLines w:val="0"/>
              <w:suppressLineNumbers w:val="0"/>
              <w:spacing w:before="0" w:beforeAutospacing="0" w:after="0" w:afterAutospacing="0"/>
              <w:ind w:left="0" w:right="0"/>
              <w:jc w:val="left"/>
              <w:rPr>
                <w:rFonts w:hint="eastAsia"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改建</w:t>
            </w:r>
          </w:p>
          <w:p w14:paraId="1D55404B">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扩建</w:t>
            </w:r>
          </w:p>
          <w:p w14:paraId="1758EAEE">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技术改造</w:t>
            </w:r>
          </w:p>
        </w:tc>
        <w:tc>
          <w:tcPr>
            <w:tcW w:w="2330" w:type="dxa"/>
            <w:noWrap w:val="0"/>
            <w:vAlign w:val="center"/>
          </w:tcPr>
          <w:p w14:paraId="1E6D8E0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w:t>
            </w:r>
          </w:p>
          <w:p w14:paraId="5223160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申报情形</w:t>
            </w:r>
          </w:p>
        </w:tc>
        <w:tc>
          <w:tcPr>
            <w:tcW w:w="3182" w:type="dxa"/>
            <w:noWrap w:val="0"/>
            <w:vAlign w:val="center"/>
          </w:tcPr>
          <w:p w14:paraId="053986A4">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首次申报项目</w:t>
            </w:r>
          </w:p>
          <w:p w14:paraId="2B9F8D09">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不予批准后再次申报项目</w:t>
            </w:r>
          </w:p>
          <w:p w14:paraId="65A1AEDD">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超五年重新审核项目</w:t>
            </w:r>
          </w:p>
          <w:p w14:paraId="7C8B9A8B">
            <w:pPr>
              <w:keepNext w:val="0"/>
              <w:keepLines w:val="0"/>
              <w:suppressLineNumbers w:val="0"/>
              <w:spacing w:before="0" w:beforeAutospacing="0" w:after="0" w:afterAutospacing="0"/>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重大变动重新报批项目</w:t>
            </w:r>
          </w:p>
        </w:tc>
      </w:tr>
      <w:tr w14:paraId="50F75E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1159" w:hRule="atLeast"/>
          <w:jc w:val="center"/>
        </w:trPr>
        <w:tc>
          <w:tcPr>
            <w:tcW w:w="1554" w:type="dxa"/>
            <w:gridSpan w:val="2"/>
            <w:noWrap w:val="0"/>
            <w:tcMar>
              <w:top w:w="16" w:type="dxa"/>
              <w:left w:w="16" w:type="dxa"/>
              <w:right w:w="16" w:type="dxa"/>
            </w:tcMar>
            <w:vAlign w:val="center"/>
          </w:tcPr>
          <w:p w14:paraId="5E1ED42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项目审批（核准/备案）部门（选填）</w:t>
            </w:r>
          </w:p>
        </w:tc>
        <w:tc>
          <w:tcPr>
            <w:tcW w:w="1804" w:type="dxa"/>
            <w:noWrap w:val="0"/>
            <w:vAlign w:val="center"/>
          </w:tcPr>
          <w:p w14:paraId="5663CDD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t>沣东</w:t>
            </w:r>
            <w:r>
              <w:rPr>
                <w:rFonts w:hint="default" w:ascii="Times New Roman" w:hAnsi="Times New Roman" w:cs="Times New Roman"/>
                <w:color w:val="auto"/>
                <w:sz w:val="24"/>
              </w:rPr>
              <w:t>新城行政审批与政务服务局</w:t>
            </w:r>
          </w:p>
        </w:tc>
        <w:tc>
          <w:tcPr>
            <w:tcW w:w="2330" w:type="dxa"/>
            <w:noWrap w:val="0"/>
            <w:vAlign w:val="center"/>
          </w:tcPr>
          <w:p w14:paraId="4E02349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w:t>
            </w:r>
          </w:p>
          <w:p w14:paraId="23ECC99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备案）文号（选填）</w:t>
            </w:r>
          </w:p>
        </w:tc>
        <w:tc>
          <w:tcPr>
            <w:tcW w:w="3182" w:type="dxa"/>
            <w:noWrap w:val="0"/>
            <w:vAlign w:val="center"/>
          </w:tcPr>
          <w:p w14:paraId="050BEFF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r>
      <w:tr w14:paraId="799284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554" w:type="dxa"/>
            <w:gridSpan w:val="2"/>
            <w:noWrap w:val="0"/>
            <w:tcMar>
              <w:top w:w="16" w:type="dxa"/>
              <w:left w:w="16" w:type="dxa"/>
              <w:right w:w="16" w:type="dxa"/>
            </w:tcMar>
            <w:vAlign w:val="center"/>
          </w:tcPr>
          <w:p w14:paraId="79DB564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总投资（万元）</w:t>
            </w:r>
          </w:p>
        </w:tc>
        <w:tc>
          <w:tcPr>
            <w:tcW w:w="1804" w:type="dxa"/>
            <w:noWrap w:val="0"/>
            <w:vAlign w:val="center"/>
          </w:tcPr>
          <w:p w14:paraId="4764058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4</w:t>
            </w:r>
            <w:r>
              <w:rPr>
                <w:rFonts w:hint="eastAsia" w:ascii="Times New Roman" w:hAnsi="Times New Roman" w:cs="Times New Roman"/>
                <w:color w:val="000000" w:themeColor="text1"/>
                <w:sz w:val="24"/>
                <w14:textFill>
                  <w14:solidFill>
                    <w14:schemeClr w14:val="tx1"/>
                  </w14:solidFill>
                </w14:textFill>
              </w:rPr>
              <w:t>000</w:t>
            </w:r>
          </w:p>
        </w:tc>
        <w:tc>
          <w:tcPr>
            <w:tcW w:w="2330" w:type="dxa"/>
            <w:noWrap w:val="0"/>
            <w:tcMar>
              <w:top w:w="16" w:type="dxa"/>
              <w:left w:w="16" w:type="dxa"/>
              <w:right w:w="16" w:type="dxa"/>
            </w:tcMar>
            <w:vAlign w:val="center"/>
          </w:tcPr>
          <w:p w14:paraId="1DA8286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环保投资（万元）</w:t>
            </w:r>
          </w:p>
        </w:tc>
        <w:tc>
          <w:tcPr>
            <w:tcW w:w="3182" w:type="dxa"/>
            <w:noWrap w:val="0"/>
            <w:vAlign w:val="center"/>
          </w:tcPr>
          <w:p w14:paraId="6C507C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26</w:t>
            </w:r>
          </w:p>
        </w:tc>
      </w:tr>
      <w:tr w14:paraId="215EF5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497" w:hRule="atLeast"/>
          <w:jc w:val="center"/>
        </w:trPr>
        <w:tc>
          <w:tcPr>
            <w:tcW w:w="1554" w:type="dxa"/>
            <w:gridSpan w:val="2"/>
            <w:noWrap w:val="0"/>
            <w:tcMar>
              <w:top w:w="16" w:type="dxa"/>
              <w:left w:w="16" w:type="dxa"/>
              <w:right w:w="16" w:type="dxa"/>
            </w:tcMar>
            <w:vAlign w:val="center"/>
          </w:tcPr>
          <w:p w14:paraId="7541338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环保投资占比（%）</w:t>
            </w:r>
          </w:p>
        </w:tc>
        <w:tc>
          <w:tcPr>
            <w:tcW w:w="1804" w:type="dxa"/>
            <w:noWrap w:val="0"/>
            <w:vAlign w:val="center"/>
          </w:tcPr>
          <w:p w14:paraId="78B99D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0.65</w:t>
            </w:r>
          </w:p>
        </w:tc>
        <w:tc>
          <w:tcPr>
            <w:tcW w:w="2330" w:type="dxa"/>
            <w:noWrap w:val="0"/>
            <w:tcMar>
              <w:top w:w="16" w:type="dxa"/>
              <w:left w:w="16" w:type="dxa"/>
              <w:right w:w="16" w:type="dxa"/>
            </w:tcMar>
            <w:vAlign w:val="center"/>
          </w:tcPr>
          <w:p w14:paraId="4A0C0E5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施工工期</w:t>
            </w:r>
          </w:p>
        </w:tc>
        <w:tc>
          <w:tcPr>
            <w:tcW w:w="3182" w:type="dxa"/>
            <w:noWrap w:val="0"/>
            <w:vAlign w:val="center"/>
          </w:tcPr>
          <w:p w14:paraId="2BC3C01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1个月</w:t>
            </w:r>
            <w:r>
              <w:rPr>
                <w:rFonts w:hint="eastAsia" w:ascii="Times New Roman" w:hAnsi="Times New Roman" w:cs="Times New Roman"/>
                <w:color w:val="000000" w:themeColor="text1"/>
                <w:sz w:val="24"/>
                <w14:textFill>
                  <w14:solidFill>
                    <w14:schemeClr w14:val="tx1"/>
                  </w14:solidFill>
                </w14:textFill>
              </w:rPr>
              <w:t>（2024.</w:t>
            </w:r>
            <w:r>
              <w:rPr>
                <w:rFonts w:hint="eastAsia" w:cs="Times New Roman"/>
                <w:color w:val="000000" w:themeColor="text1"/>
                <w:sz w:val="24"/>
                <w:lang w:val="en-US" w:eastAsia="zh-CN"/>
                <w14:textFill>
                  <w14:solidFill>
                    <w14:schemeClr w14:val="tx1"/>
                  </w14:solidFill>
                </w14:textFill>
              </w:rPr>
              <w:t>10</w:t>
            </w:r>
            <w:r>
              <w:rPr>
                <w:rFonts w:hint="eastAsia" w:ascii="Times New Roman" w:hAnsi="Times New Roman" w:cs="Times New Roman"/>
                <w:color w:val="000000" w:themeColor="text1"/>
                <w:sz w:val="24"/>
                <w14:textFill>
                  <w14:solidFill>
                    <w14:schemeClr w14:val="tx1"/>
                  </w14:solidFill>
                </w14:textFill>
              </w:rPr>
              <w:t>.1-</w:t>
            </w:r>
            <w:r>
              <w:rPr>
                <w:rFonts w:hint="eastAsia" w:ascii="Times New Roman" w:hAnsi="Times New Roman" w:cs="Times New Roman"/>
                <w:color w:val="000000" w:themeColor="text1"/>
                <w:sz w:val="24"/>
                <w:lang w:val="en-US" w:eastAsia="zh-CN"/>
                <w14:textFill>
                  <w14:solidFill>
                    <w14:schemeClr w14:val="tx1"/>
                  </w14:solidFill>
                </w14:textFill>
              </w:rPr>
              <w:t>10</w:t>
            </w:r>
            <w:r>
              <w:rPr>
                <w:rFonts w:hint="eastAsia" w:ascii="Times New Roman" w:hAnsi="Times New Roman" w:cs="Times New Roman"/>
                <w:color w:val="000000" w:themeColor="text1"/>
                <w:sz w:val="24"/>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31</w:t>
            </w:r>
            <w:r>
              <w:rPr>
                <w:rFonts w:hint="eastAsia" w:ascii="Times New Roman" w:hAnsi="Times New Roman" w:cs="Times New Roman"/>
                <w:color w:val="000000" w:themeColor="text1"/>
                <w:sz w:val="24"/>
                <w14:textFill>
                  <w14:solidFill>
                    <w14:schemeClr w14:val="tx1"/>
                  </w14:solidFill>
                </w14:textFill>
              </w:rPr>
              <w:t>）</w:t>
            </w:r>
          </w:p>
        </w:tc>
      </w:tr>
      <w:tr w14:paraId="1E7EC0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gridAfter w:val="1"/>
          <w:wAfter w:w="3" w:type="dxa"/>
          <w:trHeight w:val="1607" w:hRule="atLeast"/>
          <w:jc w:val="center"/>
        </w:trPr>
        <w:tc>
          <w:tcPr>
            <w:tcW w:w="1554" w:type="dxa"/>
            <w:gridSpan w:val="2"/>
            <w:noWrap w:val="0"/>
            <w:tcMar>
              <w:top w:w="16" w:type="dxa"/>
              <w:left w:w="16" w:type="dxa"/>
              <w:right w:w="16" w:type="dxa"/>
            </w:tcMar>
            <w:vAlign w:val="center"/>
          </w:tcPr>
          <w:p w14:paraId="472BB6C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z w:val="24"/>
              </w:rPr>
              <w:t>是否开工建设</w:t>
            </w:r>
          </w:p>
        </w:tc>
        <w:tc>
          <w:tcPr>
            <w:tcW w:w="1804" w:type="dxa"/>
            <w:noWrap w:val="0"/>
            <w:vAlign w:val="center"/>
          </w:tcPr>
          <w:p w14:paraId="2B724018">
            <w:pPr>
              <w:keepNext w:val="0"/>
              <w:keepLines w:val="0"/>
              <w:suppressLineNumbers w:val="0"/>
              <w:adjustRightInd w:val="0"/>
              <w:snapToGrid w:val="0"/>
              <w:spacing w:before="0" w:beforeAutospacing="0" w:after="0" w:afterAutospacing="0"/>
              <w:ind w:left="0" w:right="0"/>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否</w:t>
            </w:r>
          </w:p>
          <w:p w14:paraId="5C2B6F15">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是：</w:t>
            </w:r>
            <w:r>
              <w:rPr>
                <w:rFonts w:hint="eastAsia" w:cs="Times New Roman"/>
                <w:color w:val="auto"/>
                <w:sz w:val="24"/>
                <w:lang w:val="en-US" w:eastAsia="zh-CN"/>
              </w:rPr>
              <w:t>目前设备已完成安装和调试，环保设施未更换</w:t>
            </w:r>
          </w:p>
        </w:tc>
        <w:tc>
          <w:tcPr>
            <w:tcW w:w="2330" w:type="dxa"/>
            <w:noWrap w:val="0"/>
            <w:tcMar>
              <w:top w:w="16" w:type="dxa"/>
              <w:left w:w="16" w:type="dxa"/>
              <w:right w:w="16" w:type="dxa"/>
            </w:tcMar>
            <w:vAlign w:val="center"/>
          </w:tcPr>
          <w:p w14:paraId="3B38845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color w:val="auto"/>
                <w:spacing w:val="-6"/>
                <w:sz w:val="24"/>
              </w:rPr>
              <w:t>用地面积（m</w:t>
            </w:r>
            <w:r>
              <w:rPr>
                <w:rFonts w:hint="default" w:ascii="Times New Roman" w:hAnsi="Times New Roman" w:cs="Times New Roman"/>
                <w:color w:val="auto"/>
                <w:spacing w:val="-6"/>
                <w:sz w:val="24"/>
                <w:vertAlign w:val="superscript"/>
              </w:rPr>
              <w:t>2</w:t>
            </w:r>
            <w:r>
              <w:rPr>
                <w:rFonts w:hint="default" w:ascii="Times New Roman" w:hAnsi="Times New Roman" w:cs="Times New Roman"/>
                <w:color w:val="auto"/>
                <w:spacing w:val="-6"/>
                <w:sz w:val="24"/>
              </w:rPr>
              <w:t>）</w:t>
            </w:r>
          </w:p>
        </w:tc>
        <w:tc>
          <w:tcPr>
            <w:tcW w:w="3182" w:type="dxa"/>
            <w:noWrap w:val="0"/>
            <w:vAlign w:val="center"/>
          </w:tcPr>
          <w:p w14:paraId="058EC02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eastAsia" w:cs="Times New Roman"/>
                <w:color w:val="auto"/>
                <w:sz w:val="24"/>
                <w:lang w:val="en-US" w:eastAsia="zh-CN"/>
              </w:rPr>
              <w:t>29076.67</w:t>
            </w:r>
            <w:r>
              <w:rPr>
                <w:rFonts w:hint="eastAsia" w:ascii="Times New Roman" w:hAnsi="Times New Roman" w:cs="Times New Roman"/>
                <w:color w:val="auto"/>
                <w:sz w:val="24"/>
              </w:rPr>
              <w:t>（不新增用地）</w:t>
            </w:r>
          </w:p>
        </w:tc>
      </w:tr>
      <w:tr w14:paraId="54C101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1021" w:hRule="atLeast"/>
          <w:jc w:val="center"/>
        </w:trPr>
        <w:tc>
          <w:tcPr>
            <w:tcW w:w="1554" w:type="dxa"/>
            <w:gridSpan w:val="2"/>
            <w:noWrap w:val="0"/>
            <w:vAlign w:val="center"/>
          </w:tcPr>
          <w:p w14:paraId="142C4F3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专项评价设置情况</w:t>
            </w:r>
          </w:p>
        </w:tc>
        <w:tc>
          <w:tcPr>
            <w:tcW w:w="7316" w:type="dxa"/>
            <w:gridSpan w:val="3"/>
            <w:noWrap w:val="0"/>
            <w:vAlign w:val="center"/>
          </w:tcPr>
          <w:p w14:paraId="03828D4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无</w:t>
            </w:r>
          </w:p>
        </w:tc>
      </w:tr>
      <w:tr w14:paraId="36CB55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1021" w:hRule="atLeast"/>
          <w:jc w:val="center"/>
        </w:trPr>
        <w:tc>
          <w:tcPr>
            <w:tcW w:w="1554" w:type="dxa"/>
            <w:gridSpan w:val="2"/>
            <w:noWrap w:val="0"/>
            <w:vAlign w:val="center"/>
          </w:tcPr>
          <w:p w14:paraId="105F839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rPr>
            </w:pPr>
            <w:r>
              <w:rPr>
                <w:rFonts w:hint="default" w:ascii="Times New Roman" w:hAnsi="Times New Roman" w:cs="Times New Roman"/>
                <w:color w:val="auto"/>
                <w:sz w:val="24"/>
              </w:rPr>
              <w:t>规划情况</w:t>
            </w:r>
          </w:p>
        </w:tc>
        <w:tc>
          <w:tcPr>
            <w:tcW w:w="7316" w:type="dxa"/>
            <w:gridSpan w:val="3"/>
            <w:noWrap w:val="0"/>
            <w:vAlign w:val="center"/>
          </w:tcPr>
          <w:p w14:paraId="04DE83A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textAlignment w:val="auto"/>
              <w:rPr>
                <w:rFonts w:hint="default" w:ascii="Times New Roman" w:hAnsi="Times New Roman" w:cs="Times New Roman"/>
                <w:color w:val="auto"/>
              </w:rPr>
            </w:pPr>
            <w:r>
              <w:rPr>
                <w:rFonts w:hint="default" w:ascii="Times New Roman" w:hAnsi="Times New Roman" w:cs="Times New Roman"/>
                <w:color w:val="auto"/>
                <w:sz w:val="24"/>
              </w:rPr>
              <w:t>《西咸新区—沣东新城分区规划（2010-2020）》</w:t>
            </w:r>
          </w:p>
        </w:tc>
      </w:tr>
      <w:tr w14:paraId="5A6F9B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1463" w:hRule="atLeast"/>
          <w:jc w:val="center"/>
        </w:trPr>
        <w:tc>
          <w:tcPr>
            <w:tcW w:w="1554" w:type="dxa"/>
            <w:gridSpan w:val="2"/>
            <w:noWrap w:val="0"/>
            <w:vAlign w:val="center"/>
          </w:tcPr>
          <w:p w14:paraId="6942F6D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 w:val="24"/>
              </w:rPr>
            </w:pPr>
            <w:r>
              <w:rPr>
                <w:rFonts w:hint="default" w:ascii="Times New Roman" w:hAnsi="Times New Roman" w:cs="Times New Roman"/>
                <w:color w:val="auto"/>
                <w:sz w:val="24"/>
              </w:rPr>
              <w:t>规划环境影响评价情况</w:t>
            </w:r>
          </w:p>
        </w:tc>
        <w:tc>
          <w:tcPr>
            <w:tcW w:w="7316" w:type="dxa"/>
            <w:gridSpan w:val="3"/>
            <w:noWrap w:val="0"/>
            <w:vAlign w:val="center"/>
          </w:tcPr>
          <w:p w14:paraId="6A68162E">
            <w:pPr>
              <w:keepNext w:val="0"/>
              <w:keepLines w:val="0"/>
              <w:suppressLineNumbers w:val="0"/>
              <w:autoSpaceDE w:val="0"/>
              <w:autoSpaceDN w:val="0"/>
              <w:adjustRightInd w:val="0"/>
              <w:snapToGrid w:val="0"/>
              <w:spacing w:before="0" w:beforeAutospacing="0" w:after="0" w:afterAutospacing="0" w:line="360" w:lineRule="auto"/>
              <w:ind w:left="0" w:right="0"/>
              <w:rPr>
                <w:rFonts w:hint="default" w:ascii="Times New Roman" w:hAnsi="Times New Roman" w:cs="Times New Roman"/>
                <w:color w:val="auto"/>
                <w:sz w:val="24"/>
              </w:rPr>
            </w:pPr>
            <w:r>
              <w:rPr>
                <w:rFonts w:hint="default" w:ascii="Times New Roman" w:hAnsi="Times New Roman" w:cs="Times New Roman"/>
                <w:color w:val="auto"/>
                <w:sz w:val="24"/>
              </w:rPr>
              <w:t>规划环评文件名称：</w:t>
            </w:r>
            <w:r>
              <w:rPr>
                <w:rFonts w:hint="default" w:ascii="Times New Roman" w:hAnsi="Times New Roman" w:eastAsia="宋体" w:cs="Times New Roman"/>
                <w:sz w:val="24"/>
                <w:szCs w:val="24"/>
              </w:rPr>
              <w:t>《西咸新区</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沣东新城分区规划（2010-2020）环境影响报告书》</w:t>
            </w:r>
            <w:r>
              <w:rPr>
                <w:rFonts w:hint="default" w:ascii="Times New Roman" w:hAnsi="Times New Roman" w:cs="Times New Roman"/>
                <w:color w:val="auto"/>
                <w:sz w:val="24"/>
              </w:rPr>
              <w:t>；</w:t>
            </w:r>
          </w:p>
          <w:p w14:paraId="0B66CB3D">
            <w:pPr>
              <w:keepNext w:val="0"/>
              <w:keepLines w:val="0"/>
              <w:suppressLineNumbers w:val="0"/>
              <w:autoSpaceDE w:val="0"/>
              <w:autoSpaceDN w:val="0"/>
              <w:adjustRightInd w:val="0"/>
              <w:snapToGrid w:val="0"/>
              <w:spacing w:before="0" w:beforeAutospacing="0" w:after="0" w:afterAutospacing="0" w:line="360" w:lineRule="auto"/>
              <w:ind w:left="0" w:right="0"/>
              <w:rPr>
                <w:rFonts w:hint="default" w:ascii="Times New Roman" w:hAnsi="Times New Roman" w:cs="Times New Roman"/>
                <w:color w:val="auto"/>
                <w:sz w:val="24"/>
              </w:rPr>
            </w:pPr>
            <w:r>
              <w:rPr>
                <w:rFonts w:hint="eastAsia" w:cs="Times New Roman"/>
                <w:color w:val="auto"/>
                <w:sz w:val="24"/>
                <w:lang w:val="en-US" w:eastAsia="zh-CN"/>
              </w:rPr>
              <w:t>审批</w:t>
            </w:r>
            <w:r>
              <w:rPr>
                <w:rFonts w:hint="default" w:ascii="Times New Roman" w:hAnsi="Times New Roman" w:cs="Times New Roman"/>
                <w:color w:val="auto"/>
                <w:sz w:val="24"/>
              </w:rPr>
              <w:t>机关：</w:t>
            </w:r>
            <w:r>
              <w:rPr>
                <w:rFonts w:hint="eastAsia" w:cs="Times New Roman"/>
                <w:color w:val="auto"/>
                <w:sz w:val="24"/>
                <w:lang w:val="en-US" w:eastAsia="zh-CN"/>
              </w:rPr>
              <w:t>西安市</w:t>
            </w:r>
            <w:r>
              <w:rPr>
                <w:rFonts w:hint="default" w:ascii="Times New Roman" w:hAnsi="Times New Roman" w:cs="Times New Roman"/>
                <w:color w:val="auto"/>
                <w:sz w:val="24"/>
              </w:rPr>
              <w:t>生态环境局</w:t>
            </w:r>
          </w:p>
          <w:p w14:paraId="3CDC344E">
            <w:pPr>
              <w:keepNext w:val="0"/>
              <w:keepLines w:val="0"/>
              <w:suppressLineNumbers w:val="0"/>
              <w:autoSpaceDE w:val="0"/>
              <w:autoSpaceDN w:val="0"/>
              <w:adjustRightInd w:val="0"/>
              <w:snapToGrid w:val="0"/>
              <w:spacing w:before="0" w:beforeAutospacing="0" w:after="0" w:afterAutospacing="0" w:line="360" w:lineRule="auto"/>
              <w:ind w:left="0" w:right="0"/>
              <w:rPr>
                <w:rFonts w:hint="default" w:ascii="Times New Roman" w:hAnsi="Times New Roman" w:cs="Times New Roman"/>
                <w:color w:val="auto"/>
                <w:sz w:val="24"/>
              </w:rPr>
            </w:pPr>
            <w:r>
              <w:rPr>
                <w:rFonts w:hint="default" w:ascii="Times New Roman" w:hAnsi="Times New Roman" w:cs="Times New Roman"/>
                <w:color w:val="auto"/>
                <w:sz w:val="24"/>
              </w:rPr>
              <w:t>审批文件名称及文号：</w:t>
            </w:r>
            <w:r>
              <w:rPr>
                <w:rFonts w:hint="default" w:ascii="Times New Roman" w:hAnsi="Times New Roman" w:eastAsia="宋体" w:cs="Times New Roman"/>
                <w:sz w:val="24"/>
                <w:szCs w:val="24"/>
              </w:rPr>
              <w:t>西安市环境保护局关于《西咸新区—沣东新城分区规划（2010-2020）环境影响报告书的审查意见》，市环函〔2014〕20号。</w:t>
            </w:r>
          </w:p>
        </w:tc>
      </w:tr>
      <w:tr w14:paraId="628E40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3" w:type="dxa"/>
          <w:trHeight w:val="1021" w:hRule="atLeast"/>
          <w:jc w:val="center"/>
        </w:trPr>
        <w:tc>
          <w:tcPr>
            <w:tcW w:w="1554" w:type="dxa"/>
            <w:gridSpan w:val="2"/>
            <w:noWrap w:val="0"/>
            <w:vAlign w:val="center"/>
          </w:tcPr>
          <w:p w14:paraId="72F0240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规划及规划环境</w:t>
            </w:r>
          </w:p>
          <w:p w14:paraId="7198C8C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影响评价符合性分析</w:t>
            </w:r>
          </w:p>
        </w:tc>
        <w:tc>
          <w:tcPr>
            <w:tcW w:w="7316" w:type="dxa"/>
            <w:gridSpan w:val="3"/>
            <w:noWrap w:val="0"/>
            <w:vAlign w:val="center"/>
          </w:tcPr>
          <w:p w14:paraId="5E74BF2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表1-1  项目与相关规划及规划环评符合性分析</w:t>
            </w:r>
          </w:p>
          <w:tbl>
            <w:tblPr>
              <w:tblStyle w:val="26"/>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908"/>
              <w:gridCol w:w="3216"/>
              <w:gridCol w:w="2400"/>
              <w:gridCol w:w="576"/>
            </w:tblGrid>
            <w:tr w14:paraId="43A0426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2904" w:type="pct"/>
                  <w:gridSpan w:val="2"/>
                  <w:noWrap w:val="0"/>
                  <w:vAlign w:val="center"/>
                </w:tcPr>
                <w:p w14:paraId="40C26EE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分析判定内容</w:t>
                  </w:r>
                </w:p>
              </w:tc>
              <w:tc>
                <w:tcPr>
                  <w:tcW w:w="1690" w:type="pct"/>
                  <w:noWrap w:val="0"/>
                  <w:vAlign w:val="center"/>
                </w:tcPr>
                <w:p w14:paraId="2A2B523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本项目情况</w:t>
                  </w:r>
                </w:p>
              </w:tc>
              <w:tc>
                <w:tcPr>
                  <w:tcW w:w="405" w:type="pct"/>
                  <w:noWrap w:val="0"/>
                  <w:vAlign w:val="center"/>
                </w:tcPr>
                <w:p w14:paraId="361511D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判定</w:t>
                  </w:r>
                </w:p>
                <w:p w14:paraId="7A08479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b/>
                      <w:color w:val="000000" w:themeColor="text1"/>
                      <w:sz w:val="21"/>
                      <w:szCs w:val="21"/>
                      <w14:textFill>
                        <w14:solidFill>
                          <w14:schemeClr w14:val="tx1"/>
                        </w14:solidFill>
                      </w14:textFill>
                    </w:rPr>
                  </w:pPr>
                  <w:r>
                    <w:rPr>
                      <w:rFonts w:hint="default" w:ascii="Times New Roman" w:hAnsi="Times New Roman" w:cs="Times New Roman" w:eastAsiaTheme="minorEastAsia"/>
                      <w:b/>
                      <w:color w:val="000000" w:themeColor="text1"/>
                      <w:sz w:val="21"/>
                      <w:szCs w:val="21"/>
                      <w14:textFill>
                        <w14:solidFill>
                          <w14:schemeClr w14:val="tx1"/>
                        </w14:solidFill>
                      </w14:textFill>
                    </w:rPr>
                    <w:t>结论</w:t>
                  </w:r>
                </w:p>
              </w:tc>
            </w:tr>
            <w:tr w14:paraId="19C78FE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126" w:hRule="atLeast"/>
                <w:jc w:val="center"/>
              </w:trPr>
              <w:tc>
                <w:tcPr>
                  <w:tcW w:w="639" w:type="pct"/>
                  <w:vMerge w:val="restart"/>
                  <w:noWrap w:val="0"/>
                  <w:vAlign w:val="center"/>
                </w:tcPr>
                <w:p w14:paraId="7A8D842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《西咸新区—沣东新城分区规划（2010-2020）》</w:t>
                  </w:r>
                </w:p>
              </w:tc>
              <w:tc>
                <w:tcPr>
                  <w:tcW w:w="2264" w:type="pct"/>
                  <w:noWrap w:val="0"/>
                  <w:vAlign w:val="center"/>
                </w:tcPr>
                <w:p w14:paraId="251C7594">
                  <w:pPr>
                    <w:keepNext w:val="0"/>
                    <w:keepLines w:val="0"/>
                    <w:suppressLineNumbers w:val="0"/>
                    <w:spacing w:before="0" w:beforeAutospacing="0" w:after="0" w:afterAutospacing="0"/>
                    <w:ind w:left="0" w:right="0"/>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21"/>
                      <w:sz w:val="21"/>
                      <w:szCs w:val="21"/>
                      <w14:textFill>
                        <w14:solidFill>
                          <w14:schemeClr w14:val="tx1"/>
                        </w14:solidFill>
                      </w14:textFill>
                    </w:rPr>
                    <w:t>沣东新城的定位为西部地区统筹科技资源示范基地，高新技术研发和会展中心，大西安未来将建设成为具有东方人文特色的生态化国际新城。规划形成</w:t>
                  </w:r>
                  <w:r>
                    <w:rPr>
                      <w:rFonts w:hint="default" w:ascii="Times New Roman" w:hAnsi="Times New Roman" w:cs="Times New Roman" w:eastAsiaTheme="minorEastAsia"/>
                      <w:color w:val="000000" w:themeColor="text1"/>
                      <w:kern w:val="2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21"/>
                      <w:sz w:val="21"/>
                      <w:szCs w:val="21"/>
                      <w14:textFill>
                        <w14:solidFill>
                          <w14:schemeClr w14:val="tx1"/>
                        </w14:solidFill>
                      </w14:textFill>
                    </w:rPr>
                    <w:t>两带、七板块</w:t>
                  </w:r>
                  <w:r>
                    <w:rPr>
                      <w:rFonts w:hint="default" w:ascii="Times New Roman" w:hAnsi="Times New Roman" w:cs="Times New Roman" w:eastAsiaTheme="minorEastAsia"/>
                      <w:color w:val="000000" w:themeColor="text1"/>
                      <w:kern w:val="2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21"/>
                      <w:sz w:val="21"/>
                      <w:szCs w:val="21"/>
                      <w14:textFill>
                        <w14:solidFill>
                          <w14:schemeClr w14:val="tx1"/>
                        </w14:solidFill>
                      </w14:textFill>
                    </w:rPr>
                    <w:t>的空间格局，两带</w:t>
                  </w:r>
                  <w:r>
                    <w:rPr>
                      <w:rFonts w:hint="default" w:ascii="Times New Roman" w:hAnsi="Times New Roman" w:cs="Times New Roman" w:eastAsiaTheme="minorEastAsia"/>
                      <w:color w:val="000000" w:themeColor="text1"/>
                      <w:kern w:val="2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21"/>
                      <w:sz w:val="21"/>
                      <w:szCs w:val="21"/>
                      <w14:textFill>
                        <w14:solidFill>
                          <w14:schemeClr w14:val="tx1"/>
                        </w14:solidFill>
                      </w14:textFill>
                    </w:rPr>
                    <w:t>周秦汉历史文化景观带、洋河景观风貌带，七板块</w:t>
                  </w:r>
                  <w:r>
                    <w:rPr>
                      <w:rFonts w:hint="default" w:ascii="Times New Roman" w:hAnsi="Times New Roman" w:cs="Times New Roman" w:eastAsiaTheme="minorEastAsia"/>
                      <w:color w:val="000000" w:themeColor="text1"/>
                      <w:kern w:val="2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21"/>
                      <w:sz w:val="21"/>
                      <w:szCs w:val="21"/>
                      <w14:textFill>
                        <w14:solidFill>
                          <w14:schemeClr w14:val="tx1"/>
                        </w14:solidFill>
                      </w14:textFill>
                    </w:rPr>
                    <w:t>洋河田园都市板块、六村堡现代产业板块、三桥商贸综合产业板块、阿房宫人文旅游板块、科技统筹示范板块、镐京田园都市板块、昆明池生态休闲板块。</w:t>
                  </w:r>
                </w:p>
              </w:tc>
              <w:tc>
                <w:tcPr>
                  <w:tcW w:w="1690" w:type="pct"/>
                  <w:vMerge w:val="restart"/>
                  <w:noWrap w:val="0"/>
                  <w:vAlign w:val="center"/>
                </w:tcPr>
                <w:p w14:paraId="1A15E7A0">
                  <w:pPr>
                    <w:keepNext w:val="0"/>
                    <w:keepLines w:val="0"/>
                    <w:widowControl/>
                    <w:suppressLineNumbers w:val="0"/>
                    <w:spacing w:before="0" w:beforeAutospacing="0" w:after="0" w:afterAutospacing="0"/>
                    <w:ind w:left="0" w:right="0"/>
                    <w:jc w:val="both"/>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kern w:val="21"/>
                      <w:sz w:val="21"/>
                      <w:szCs w:val="21"/>
                      <w14:textFill>
                        <w14:solidFill>
                          <w14:schemeClr w14:val="tx1"/>
                        </w14:solidFill>
                      </w14:textFill>
                    </w:rPr>
                    <w:t>本项目位于</w:t>
                  </w:r>
                  <w:r>
                    <w:rPr>
                      <w:rFonts w:hint="default" w:ascii="Times New Roman" w:hAnsi="Times New Roman" w:cs="Times New Roman" w:eastAsiaTheme="minorEastAsia"/>
                      <w:color w:val="000000" w:themeColor="text1"/>
                      <w:kern w:val="21"/>
                      <w:sz w:val="21"/>
                      <w:szCs w:val="21"/>
                      <w:lang w:val="en-US" w:eastAsia="zh-CN"/>
                      <w14:textFill>
                        <w14:solidFill>
                          <w14:schemeClr w14:val="tx1"/>
                        </w14:solidFill>
                      </w14:textFill>
                    </w:rPr>
                    <w:t>沣东新城建章路168号</w:t>
                  </w:r>
                  <w:r>
                    <w:rPr>
                      <w:rFonts w:hint="default" w:ascii="Times New Roman" w:hAnsi="Times New Roman" w:cs="Times New Roman" w:eastAsiaTheme="minorEastAsia"/>
                      <w:color w:val="000000" w:themeColor="text1"/>
                      <w:kern w:val="21"/>
                      <w:sz w:val="21"/>
                      <w:szCs w:val="21"/>
                      <w14:textFill>
                        <w14:solidFill>
                          <w14:schemeClr w14:val="tx1"/>
                        </w14:solidFill>
                      </w14:textFill>
                    </w:rPr>
                    <w:t>，位于规划范围内。</w:t>
                  </w:r>
                  <w:r>
                    <w:rPr>
                      <w:rFonts w:hint="default" w:ascii="Times New Roman" w:hAnsi="Times New Roman" w:cs="Times New Roman" w:eastAsiaTheme="minorEastAsia"/>
                      <w:color w:val="000000" w:themeColor="text1"/>
                      <w:sz w:val="21"/>
                      <w:szCs w:val="21"/>
                      <w14:textFill>
                        <w14:solidFill>
                          <w14:schemeClr w14:val="tx1"/>
                        </w14:solidFill>
                      </w14:textFill>
                    </w:rPr>
                    <w:t>根据《西咸新 区-</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沣东</w:t>
                  </w:r>
                  <w:r>
                    <w:rPr>
                      <w:rFonts w:hint="default" w:ascii="Times New Roman" w:hAnsi="Times New Roman" w:cs="Times New Roman" w:eastAsiaTheme="minorEastAsia"/>
                      <w:color w:val="000000" w:themeColor="text1"/>
                      <w:sz w:val="21"/>
                      <w:szCs w:val="21"/>
                      <w14:textFill>
                        <w14:solidFill>
                          <w14:schemeClr w14:val="tx1"/>
                        </w14:solidFill>
                      </w14:textFill>
                    </w:rPr>
                    <w:t>新城分区规 划(2010-2020) 》，本项目规划用地性质为</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文物古迹用地</w:t>
                  </w:r>
                  <w:r>
                    <w:rPr>
                      <w:rFonts w:hint="default" w:ascii="Times New Roman" w:hAnsi="Times New Roman" w:cs="Times New Roman" w:eastAsiaTheme="minorEastAsia"/>
                      <w:color w:val="000000" w:themeColor="text1"/>
                      <w:sz w:val="21"/>
                      <w:szCs w:val="21"/>
                      <w14:textFill>
                        <w14:solidFill>
                          <w14:schemeClr w14:val="tx1"/>
                        </w14:solidFill>
                      </w14:textFill>
                    </w:rPr>
                    <w:t>，与现状不符，由于目前规划已过期，新的规划正在调整，暂未发布，且本项目</w:t>
                  </w:r>
                  <w:r>
                    <w:rPr>
                      <w:rFonts w:hint="eastAsia" w:cs="Times New Roman" w:eastAsiaTheme="minorEastAsia"/>
                      <w:color w:val="000000" w:themeColor="text1"/>
                      <w:sz w:val="21"/>
                      <w:szCs w:val="21"/>
                      <w:lang w:val="en-US" w:eastAsia="zh-CN"/>
                      <w14:textFill>
                        <w14:solidFill>
                          <w14:schemeClr w14:val="tx1"/>
                        </w14:solidFill>
                      </w14:textFill>
                    </w:rPr>
                    <w:t>土地</w:t>
                  </w:r>
                  <w:r>
                    <w:rPr>
                      <w:rFonts w:hint="default" w:ascii="Times New Roman" w:hAnsi="Times New Roman" w:cs="Times New Roman" w:eastAsiaTheme="minorEastAsia"/>
                      <w:color w:val="000000" w:themeColor="text1"/>
                      <w:sz w:val="21"/>
                      <w:szCs w:val="21"/>
                      <w14:textFill>
                        <w14:solidFill>
                          <w14:schemeClr w14:val="tx1"/>
                        </w14:solidFill>
                      </w14:textFill>
                    </w:rPr>
                    <w:t>已取得</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西安市未央区土地管理局用地批复</w:t>
                  </w:r>
                  <w:r>
                    <w:rPr>
                      <w:rFonts w:hint="default" w:ascii="Times New Roman" w:hAnsi="Times New Roman" w:cs="Times New Roman" w:eastAsiaTheme="minorEastAsia"/>
                      <w:color w:val="000000" w:themeColor="text1"/>
                      <w:sz w:val="21"/>
                      <w:szCs w:val="21"/>
                      <w14:textFill>
                        <w14:solidFill>
                          <w14:schemeClr w14:val="tx1"/>
                        </w14:solidFill>
                      </w14:textFill>
                    </w:rPr>
                    <w:t>(具体见附件</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w:t>
                  </w:r>
                  <w:r>
                    <w:rPr>
                      <w:rFonts w:hint="default" w:ascii="Times New Roman" w:hAnsi="Times New Roman" w:cs="Times New Roman" w:eastAsiaTheme="minorEastAsia"/>
                      <w:color w:val="000000" w:themeColor="text1"/>
                      <w:kern w:val="21"/>
                      <w:sz w:val="21"/>
                      <w:szCs w:val="21"/>
                      <w14:textFill>
                        <w14:solidFill>
                          <w14:schemeClr w14:val="tx1"/>
                        </w14:solidFill>
                      </w14:textFill>
                    </w:rPr>
                    <w:t>项目所在位置属于</w:t>
                  </w:r>
                  <w:r>
                    <w:rPr>
                      <w:rFonts w:hint="eastAsia" w:ascii="Times New Roman" w:hAnsi="Times New Roman" w:cs="Times New Roman" w:eastAsiaTheme="minorEastAsia"/>
                      <w:color w:val="000000" w:themeColor="text1"/>
                      <w:kern w:val="21"/>
                      <w:sz w:val="21"/>
                      <w:szCs w:val="21"/>
                      <w:lang w:val="en-US" w:eastAsia="zh-CN"/>
                      <w14:textFill>
                        <w14:solidFill>
                          <w14:schemeClr w14:val="tx1"/>
                        </w14:solidFill>
                      </w14:textFill>
                    </w:rPr>
                    <w:t>六村堡现代产业板块</w:t>
                  </w:r>
                  <w:r>
                    <w:rPr>
                      <w:rFonts w:hint="default" w:ascii="Times New Roman" w:hAnsi="Times New Roman" w:cs="Times New Roman" w:eastAsiaTheme="minorEastAsia"/>
                      <w:color w:val="000000" w:themeColor="text1"/>
                      <w:kern w:val="21"/>
                      <w:sz w:val="21"/>
                      <w:szCs w:val="21"/>
                      <w14:textFill>
                        <w14:solidFill>
                          <w14:schemeClr w14:val="tx1"/>
                        </w14:solidFill>
                      </w14:textFill>
                    </w:rPr>
                    <w:t>，本项目行业类别为印刷和记录媒介复制业，符合规划产业定位</w:t>
                  </w:r>
                  <w:r>
                    <w:rPr>
                      <w:rFonts w:hint="default" w:ascii="Times New Roman" w:hAnsi="Times New Roman" w:cs="Times New Roman" w:eastAsiaTheme="minorEastAsia"/>
                      <w:color w:val="000000" w:themeColor="text1"/>
                      <w:kern w:val="0"/>
                      <w:sz w:val="21"/>
                      <w:szCs w:val="21"/>
                      <w14:textFill>
                        <w14:solidFill>
                          <w14:schemeClr w14:val="tx1"/>
                        </w14:solidFill>
                      </w14:textFill>
                    </w:rPr>
                    <w:t>。</w:t>
                  </w:r>
                </w:p>
              </w:tc>
              <w:tc>
                <w:tcPr>
                  <w:tcW w:w="405" w:type="pct"/>
                  <w:vMerge w:val="restart"/>
                  <w:noWrap w:val="0"/>
                  <w:vAlign w:val="center"/>
                </w:tcPr>
                <w:p w14:paraId="10E77F4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bCs/>
                      <w:color w:val="000000" w:themeColor="text1"/>
                      <w:sz w:val="21"/>
                      <w:szCs w:val="21"/>
                      <w14:textFill>
                        <w14:solidFill>
                          <w14:schemeClr w14:val="tx1"/>
                        </w14:solidFill>
                      </w14:textFill>
                    </w:rPr>
                    <w:t>符合</w:t>
                  </w:r>
                </w:p>
              </w:tc>
            </w:tr>
            <w:tr w14:paraId="7FA5E3A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81" w:hRule="atLeast"/>
                <w:jc w:val="center"/>
              </w:trPr>
              <w:tc>
                <w:tcPr>
                  <w:tcW w:w="639" w:type="pct"/>
                  <w:vMerge w:val="continue"/>
                  <w:noWrap w:val="0"/>
                  <w:vAlign w:val="center"/>
                </w:tcPr>
                <w:p w14:paraId="266E9FAF">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264" w:type="pct"/>
                  <w:noWrap w:val="0"/>
                  <w:vAlign w:val="center"/>
                </w:tcPr>
                <w:p w14:paraId="6B8EDCD2">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kern w:val="21"/>
                      <w:sz w:val="21"/>
                      <w:szCs w:val="21"/>
                      <w:lang w:val="en-US" w:eastAsia="zh-CN"/>
                      <w14:textFill>
                        <w14:solidFill>
                          <w14:schemeClr w14:val="tx1"/>
                        </w14:solidFill>
                      </w14:textFill>
                    </w:rPr>
                    <w:t>六村堡现代产业板块：依托现有现代产业发展基础，整合区域内小型工业园，秉持“科技创新、绿色文明”的开发理念，优化综合环境，提升服务水平，以“建设内一流、国际先进的专业化、特色化生态产业园”的目标为主旨。重点发展高端制造产业、新材料、新技术研发业、精细化工业、仓储物流等产业为主的现代产业园区。</w:t>
                  </w:r>
                </w:p>
              </w:tc>
              <w:tc>
                <w:tcPr>
                  <w:tcW w:w="1690" w:type="pct"/>
                  <w:vMerge w:val="continue"/>
                  <w:noWrap w:val="0"/>
                  <w:vAlign w:val="center"/>
                </w:tcPr>
                <w:p w14:paraId="1F83B716">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1"/>
                      <w:sz w:val="21"/>
                      <w:szCs w:val="21"/>
                      <w14:textFill>
                        <w14:solidFill>
                          <w14:schemeClr w14:val="tx1"/>
                        </w14:solidFill>
                      </w14:textFill>
                    </w:rPr>
                  </w:pPr>
                </w:p>
              </w:tc>
              <w:tc>
                <w:tcPr>
                  <w:tcW w:w="405" w:type="pct"/>
                  <w:vMerge w:val="continue"/>
                  <w:noWrap w:val="0"/>
                  <w:vAlign w:val="center"/>
                </w:tcPr>
                <w:p w14:paraId="0115E0BA">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kern w:val="21"/>
                      <w:sz w:val="21"/>
                      <w:szCs w:val="21"/>
                      <w14:textFill>
                        <w14:solidFill>
                          <w14:schemeClr w14:val="tx1"/>
                        </w14:solidFill>
                      </w14:textFill>
                    </w:rPr>
                  </w:pPr>
                </w:p>
              </w:tc>
            </w:tr>
            <w:tr w14:paraId="7B778A8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97" w:hRule="atLeast"/>
                <w:jc w:val="center"/>
              </w:trPr>
              <w:tc>
                <w:tcPr>
                  <w:tcW w:w="639" w:type="pct"/>
                  <w:vMerge w:val="restart"/>
                  <w:noWrap w:val="0"/>
                  <w:vAlign w:val="center"/>
                </w:tcPr>
                <w:p w14:paraId="56B3E34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《西咸新区－沣东新城分区规划（2010-2020）环境影响报告书及审查意见》</w:t>
                  </w:r>
                </w:p>
              </w:tc>
              <w:tc>
                <w:tcPr>
                  <w:tcW w:w="2264" w:type="pct"/>
                  <w:noWrap w:val="0"/>
                  <w:vAlign w:val="center"/>
                </w:tcPr>
                <w:p w14:paraId="1E7F90A2">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推广清洁能源使用，建立可持续能源体系结构。鼓励使用天然气、风能、太阳能、地热能、生物质能等能源。大力发展城市集中供热，全面普及居民生活燃气，实现“以气代煤”、“以电代煤”。2.大气环境保护对策和措施：严格产业准入制度，控制企业污染排放。设置新城产业准入大气环境标准，对排污量大的行业进行限制，防止对新城产生影响。</w:t>
                  </w:r>
                </w:p>
              </w:tc>
              <w:tc>
                <w:tcPr>
                  <w:tcW w:w="1690" w:type="pct"/>
                  <w:noWrap w:val="0"/>
                  <w:vAlign w:val="center"/>
                </w:tcPr>
                <w:p w14:paraId="313B4526">
                  <w:pPr>
                    <w:keepNext w:val="0"/>
                    <w:keepLines w:val="0"/>
                    <w:widowControl/>
                    <w:suppressLineNumbers w:val="0"/>
                    <w:spacing w:before="0" w:beforeAutospacing="0" w:after="0" w:afterAutospacing="0"/>
                    <w:ind w:left="0" w:right="0"/>
                    <w:jc w:val="both"/>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14:textFill>
                        <w14:solidFill>
                          <w14:schemeClr w14:val="tx1"/>
                        </w14:solidFill>
                      </w14:textFill>
                    </w:rPr>
                    <w:t>本项目运营期所用能源主要为电能，属于清洁能源。</w:t>
                  </w:r>
                </w:p>
                <w:p w14:paraId="1EA37907">
                  <w:pPr>
                    <w:keepNext w:val="0"/>
                    <w:keepLines w:val="0"/>
                    <w:widowControl/>
                    <w:suppressLineNumbers w:val="0"/>
                    <w:spacing w:before="0" w:beforeAutospacing="0" w:after="0" w:afterAutospacing="0"/>
                    <w:ind w:left="0" w:right="0"/>
                    <w:jc w:val="both"/>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本项目</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运营期非甲烷总烃排放执行《挥发性有机物排放控制标准》（DB61/T1061-2017）中相关浓度限值，</w:t>
                  </w:r>
                  <w:r>
                    <w:rPr>
                      <w:rFonts w:hint="default" w:ascii="Times New Roman" w:hAnsi="Times New Roman" w:cs="Times New Roman" w:eastAsiaTheme="minorEastAsia"/>
                      <w:color w:val="000000" w:themeColor="text1"/>
                      <w:sz w:val="21"/>
                      <w:szCs w:val="21"/>
                      <w14:textFill>
                        <w14:solidFill>
                          <w14:schemeClr w14:val="tx1"/>
                        </w14:solidFill>
                      </w14:textFill>
                    </w:rPr>
                    <w:t>污染物排放均能达到国家控制标准。</w:t>
                  </w:r>
                </w:p>
              </w:tc>
              <w:tc>
                <w:tcPr>
                  <w:tcW w:w="405" w:type="pct"/>
                  <w:noWrap w:val="0"/>
                  <w:vAlign w:val="center"/>
                </w:tcPr>
                <w:p w14:paraId="494EA39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符合</w:t>
                  </w:r>
                </w:p>
              </w:tc>
            </w:tr>
            <w:tr w14:paraId="690024A9">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90" w:hRule="atLeast"/>
                <w:jc w:val="center"/>
              </w:trPr>
              <w:tc>
                <w:tcPr>
                  <w:tcW w:w="639" w:type="pct"/>
                  <w:vMerge w:val="continue"/>
                  <w:noWrap w:val="0"/>
                  <w:vAlign w:val="center"/>
                </w:tcPr>
                <w:p w14:paraId="0035F66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264" w:type="pct"/>
                  <w:noWrap w:val="0"/>
                  <w:vAlign w:val="center"/>
                </w:tcPr>
                <w:p w14:paraId="14885811">
                  <w:pPr>
                    <w:keepNext w:val="0"/>
                    <w:keepLines w:val="0"/>
                    <w:numPr>
                      <w:ilvl w:val="0"/>
                      <w:numId w:val="0"/>
                    </w:numPr>
                    <w:suppressLineNumbers w:val="0"/>
                    <w:wordWrap w:val="0"/>
                    <w:adjustRightInd w:val="0"/>
                    <w:snapToGrid w:val="0"/>
                    <w:spacing w:before="0" w:beforeAutospacing="0" w:after="0" w:afterAutospacing="0"/>
                    <w:ind w:left="0" w:right="0" w:rightChars="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实行污水集中处理，生产废水和生活污水必须经处理达到污水处理厂接纳标准后汇入污水管道，排入污水处理厂集中处理。</w:t>
                  </w:r>
                </w:p>
                <w:p w14:paraId="7ACE18A5">
                  <w:pPr>
                    <w:keepNext w:val="0"/>
                    <w:keepLines w:val="0"/>
                    <w:numPr>
                      <w:ilvl w:val="0"/>
                      <w:numId w:val="0"/>
                    </w:numPr>
                    <w:suppressLineNumbers w:val="0"/>
                    <w:wordWrap w:val="0"/>
                    <w:adjustRightInd w:val="0"/>
                    <w:snapToGrid w:val="0"/>
                    <w:spacing w:before="0" w:beforeAutospacing="0" w:after="0" w:afterAutospacing="0"/>
                    <w:ind w:left="0" w:right="0" w:rightChars="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水环境保护对策和措施：严格环境准入制度，防治企业污染排放。在规划建设中，要设置相应的环保准入门槛，限制造纸、化工、食品饮料加工、皮革、电镀等高耗水、重污染行业进入。</w:t>
                  </w:r>
                </w:p>
              </w:tc>
              <w:tc>
                <w:tcPr>
                  <w:tcW w:w="1690" w:type="pct"/>
                  <w:noWrap w:val="0"/>
                  <w:vAlign w:val="center"/>
                </w:tcPr>
                <w:p w14:paraId="1BAC4D84">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1.本项目实施后，生产废水经污水处理装置处理后回用，不外排；生活污水经厂区内化粪池处理达标后排入市政污水管网。</w:t>
                  </w:r>
                </w:p>
                <w:p w14:paraId="6F7CA47A">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2.本项目属于</w:t>
                  </w:r>
                  <w:r>
                    <w:rPr>
                      <w:rFonts w:hint="default" w:ascii="Times New Roman" w:hAnsi="Times New Roman" w:cs="Times New Roman" w:eastAsiaTheme="minorEastAsia"/>
                      <w:color w:val="000000" w:themeColor="text1"/>
                      <w:kern w:val="21"/>
                      <w:sz w:val="21"/>
                      <w:szCs w:val="21"/>
                      <w14:textFill>
                        <w14:solidFill>
                          <w14:schemeClr w14:val="tx1"/>
                        </w14:solidFill>
                      </w14:textFill>
                    </w:rPr>
                    <w:t>印刷和记录媒介复制业</w:t>
                  </w:r>
                  <w:r>
                    <w:rPr>
                      <w:rFonts w:hint="default" w:ascii="Times New Roman" w:hAnsi="Times New Roman" w:cs="Times New Roman" w:eastAsiaTheme="minorEastAsia"/>
                      <w:color w:val="000000" w:themeColor="text1"/>
                      <w:kern w:val="2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21"/>
                      <w:sz w:val="21"/>
                      <w:szCs w:val="21"/>
                      <w:lang w:val="en-US" w:eastAsia="zh-CN"/>
                      <w14:textFill>
                        <w14:solidFill>
                          <w14:schemeClr w14:val="tx1"/>
                        </w14:solidFill>
                      </w14:textFill>
                    </w:rPr>
                    <w:t>不属于</w:t>
                  </w:r>
                  <w:r>
                    <w:rPr>
                      <w:rFonts w:hint="default" w:ascii="Times New Roman" w:hAnsi="Times New Roman" w:cs="Times New Roman" w:eastAsiaTheme="minorEastAsia"/>
                      <w:color w:val="000000" w:themeColor="text1"/>
                      <w:sz w:val="21"/>
                      <w:szCs w:val="21"/>
                      <w14:textFill>
                        <w14:solidFill>
                          <w14:schemeClr w14:val="tx1"/>
                        </w14:solidFill>
                      </w14:textFill>
                    </w:rPr>
                    <w:t>造纸、化工、食品饮料加工、皮革、电镀等高耗水、重污染行业</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405" w:type="pct"/>
                  <w:noWrap w:val="0"/>
                  <w:vAlign w:val="center"/>
                </w:tcPr>
                <w:p w14:paraId="1A48008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符合</w:t>
                  </w:r>
                </w:p>
              </w:tc>
            </w:tr>
            <w:tr w14:paraId="16121AB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639" w:type="pct"/>
                  <w:vMerge w:val="continue"/>
                  <w:noWrap w:val="0"/>
                  <w:vAlign w:val="center"/>
                </w:tcPr>
                <w:p w14:paraId="4C59DA4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264" w:type="pct"/>
                  <w:noWrap w:val="0"/>
                  <w:vAlign w:val="center"/>
                </w:tcPr>
                <w:p w14:paraId="59F6D3C9">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690" w:type="pct"/>
                  <w:noWrap w:val="0"/>
                  <w:vAlign w:val="center"/>
                </w:tcPr>
                <w:p w14:paraId="7C155347">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项目选用低噪声设备，运营期定期对生产设备进行检查维护，保证设备正常运转，封闭厂房隔声，安装基座减振以此来降低项目生产过程噪声对周边环境的影响。</w:t>
                  </w:r>
                </w:p>
              </w:tc>
              <w:tc>
                <w:tcPr>
                  <w:tcW w:w="405" w:type="pct"/>
                  <w:noWrap w:val="0"/>
                  <w:vAlign w:val="center"/>
                </w:tcPr>
                <w:p w14:paraId="4E6B9ED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符合</w:t>
                  </w:r>
                </w:p>
              </w:tc>
            </w:tr>
            <w:tr w14:paraId="29FA888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639" w:type="pct"/>
                  <w:vMerge w:val="continue"/>
                  <w:noWrap w:val="0"/>
                  <w:vAlign w:val="center"/>
                </w:tcPr>
                <w:p w14:paraId="28945F0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264" w:type="pct"/>
                  <w:noWrap w:val="0"/>
                  <w:vAlign w:val="center"/>
                </w:tcPr>
                <w:p w14:paraId="7AFA969A">
                  <w:pPr>
                    <w:pStyle w:val="75"/>
                    <w:kinsoku w:val="0"/>
                    <w:overflowPunct w:val="0"/>
                    <w:jc w:val="both"/>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体废物综合整治对策：提高全民的环境意识，提倡节约，减少城市生活垃圾产生量，推行生活垃圾分类收集，提高生活垃圾无害化处理率和固体废物的综合利用率。提高危险固废和医疗垃圾的安全处理、处置能力。</w:t>
                  </w:r>
                </w:p>
              </w:tc>
              <w:tc>
                <w:tcPr>
                  <w:tcW w:w="1690" w:type="pct"/>
                  <w:noWrap w:val="0"/>
                  <w:vAlign w:val="center"/>
                </w:tcPr>
                <w:p w14:paraId="7BB2BD49">
                  <w:pPr>
                    <w:pStyle w:val="75"/>
                    <w:kinsoku w:val="0"/>
                    <w:overflowPunct w:val="0"/>
                    <w:jc w:val="both"/>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本项目产生的一般固体废物定期交由收购站收购；危险废物定期</w:t>
                  </w:r>
                  <w:r>
                    <w:rPr>
                      <w:rFonts w:hint="default" w:ascii="Times New Roman" w:hAnsi="Times New Roman" w:cs="Times New Roman" w:eastAsiaTheme="minorEastAsia"/>
                      <w:color w:val="000000" w:themeColor="text1"/>
                      <w:sz w:val="21"/>
                      <w:szCs w:val="21"/>
                      <w14:textFill>
                        <w14:solidFill>
                          <w14:schemeClr w14:val="tx1"/>
                        </w14:solidFill>
                      </w14:textFill>
                    </w:rPr>
                    <w:t>交由陕西</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宏恩等离子技术有限责任公司</w:t>
                  </w:r>
                  <w:r>
                    <w:rPr>
                      <w:rFonts w:hint="default" w:ascii="Times New Roman" w:hAnsi="Times New Roman" w:cs="Times New Roman" w:eastAsiaTheme="minorEastAsia"/>
                      <w:color w:val="000000" w:themeColor="text1"/>
                      <w:sz w:val="21"/>
                      <w:szCs w:val="21"/>
                      <w14:textFill>
                        <w14:solidFill>
                          <w14:schemeClr w14:val="tx1"/>
                        </w14:solidFill>
                      </w14:textFill>
                    </w:rPr>
                    <w:t>处置</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405" w:type="pct"/>
                  <w:noWrap w:val="0"/>
                  <w:vAlign w:val="center"/>
                </w:tcPr>
                <w:p w14:paraId="346E238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符合</w:t>
                  </w:r>
                </w:p>
              </w:tc>
            </w:tr>
            <w:tr w14:paraId="5EC55114">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 w:hRule="atLeast"/>
                <w:jc w:val="center"/>
              </w:trPr>
              <w:tc>
                <w:tcPr>
                  <w:tcW w:w="639" w:type="pct"/>
                  <w:vMerge w:val="continue"/>
                  <w:noWrap w:val="0"/>
                  <w:vAlign w:val="center"/>
                </w:tcPr>
                <w:p w14:paraId="13B7957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264" w:type="pct"/>
                  <w:noWrap w:val="0"/>
                  <w:vAlign w:val="center"/>
                </w:tcPr>
                <w:p w14:paraId="10987669">
                  <w:pPr>
                    <w:pStyle w:val="75"/>
                    <w:kinsoku w:val="0"/>
                    <w:overflowPunct w:val="0"/>
                    <w:jc w:val="both"/>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沣东新城管理部门应结合本区域总体发展方向、定位；产业发展类型和行业限制；规划区域环境功能和环境保护目标提出：入区企业清洁生产必须达到国内先进水平、严禁“三高一低”企业入区、由总量指标限制企业类型和规模、污染物排放指标等工业企业的准入条件。</w:t>
                  </w:r>
                </w:p>
              </w:tc>
              <w:tc>
                <w:tcPr>
                  <w:tcW w:w="1690" w:type="pct"/>
                  <w:noWrap w:val="0"/>
                  <w:vAlign w:val="center"/>
                </w:tcPr>
                <w:p w14:paraId="43B4B2EB">
                  <w:pPr>
                    <w:pStyle w:val="75"/>
                    <w:kinsoku w:val="0"/>
                    <w:overflowPunct w:val="0"/>
                    <w:jc w:val="both"/>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本项目属于</w:t>
                  </w:r>
                  <w:r>
                    <w:rPr>
                      <w:rFonts w:hint="default" w:ascii="Times New Roman" w:hAnsi="Times New Roman" w:cs="Times New Roman" w:eastAsiaTheme="minorEastAsia"/>
                      <w:color w:val="000000" w:themeColor="text1"/>
                      <w:kern w:val="21"/>
                      <w:sz w:val="21"/>
                      <w:szCs w:val="21"/>
                      <w14:textFill>
                        <w14:solidFill>
                          <w14:schemeClr w14:val="tx1"/>
                        </w14:solidFill>
                      </w14:textFill>
                    </w:rPr>
                    <w:t>印刷和记录媒介复制业</w:t>
                  </w:r>
                  <w:r>
                    <w:rPr>
                      <w:rFonts w:hint="default" w:ascii="Times New Roman" w:hAnsi="Times New Roman" w:cs="Times New Roman" w:eastAsiaTheme="minorEastAsia"/>
                      <w:color w:val="000000" w:themeColor="text1"/>
                      <w:kern w:val="2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kern w:val="21"/>
                      <w:sz w:val="21"/>
                      <w:szCs w:val="21"/>
                      <w:lang w:val="en-US" w:eastAsia="zh-CN"/>
                      <w14:textFill>
                        <w14:solidFill>
                          <w14:schemeClr w14:val="tx1"/>
                        </w14:solidFill>
                      </w14:textFill>
                    </w:rPr>
                    <w:t>不属于</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“三高一低”企业。</w:t>
                  </w:r>
                </w:p>
              </w:tc>
              <w:tc>
                <w:tcPr>
                  <w:tcW w:w="405" w:type="pct"/>
                  <w:noWrap w:val="0"/>
                  <w:vAlign w:val="center"/>
                </w:tcPr>
                <w:p w14:paraId="6DE1E8F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符合</w:t>
                  </w:r>
                </w:p>
              </w:tc>
            </w:tr>
          </w:tbl>
          <w:p w14:paraId="1E8F64A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4"/>
                <w14:textFill>
                  <w14:solidFill>
                    <w14:schemeClr w14:val="tx1"/>
                  </w14:solidFill>
                </w14:textFill>
              </w:rPr>
            </w:pPr>
          </w:p>
        </w:tc>
      </w:tr>
      <w:tr w14:paraId="54508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 w:type="dxa"/>
          <w:trHeight w:val="4205" w:hRule="atLeast"/>
          <w:jc w:val="center"/>
        </w:trPr>
        <w:tc>
          <w:tcPr>
            <w:tcW w:w="1551" w:type="dxa"/>
            <w:noWrap w:val="0"/>
            <w:vAlign w:val="center"/>
          </w:tcPr>
          <w:p w14:paraId="0DBFFF29">
            <w:pPr>
              <w:pStyle w:val="9"/>
              <w:keepNext w:val="0"/>
              <w:keepLines w:val="0"/>
              <w:suppressLineNumbers w:val="0"/>
              <w:spacing w:beforeAutospacing="0" w:afterAutospacing="0"/>
              <w:ind w:left="0"/>
              <w:jc w:val="center"/>
              <w:rPr>
                <w:rFonts w:hint="default" w:ascii="Times New Roman" w:hAnsi="Times New Roman" w:cs="Times New Roman"/>
                <w:color w:val="auto"/>
              </w:rPr>
            </w:pPr>
            <w:r>
              <w:rPr>
                <w:rFonts w:hint="eastAsia" w:ascii="Times New Roman" w:hAnsi="Times New Roman" w:cs="Times New Roman"/>
                <w:color w:val="auto"/>
                <w:sz w:val="24"/>
                <w:szCs w:val="24"/>
              </w:rPr>
              <w:t>其他符合性分析</w:t>
            </w:r>
          </w:p>
        </w:tc>
        <w:tc>
          <w:tcPr>
            <w:tcW w:w="7319" w:type="dxa"/>
            <w:gridSpan w:val="4"/>
            <w:noWrap w:val="0"/>
            <w:vAlign w:val="top"/>
          </w:tcPr>
          <w:p w14:paraId="04B23C8E">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1、“三线一单”符合性分析</w:t>
            </w:r>
          </w:p>
          <w:p w14:paraId="000647E1">
            <w:pPr>
              <w:pStyle w:val="44"/>
              <w:keepNext w:val="0"/>
              <w:keepLines w:val="0"/>
              <w:suppressLineNumbers w:val="0"/>
              <w:spacing w:before="0" w:beforeAutospacing="0" w:after="0" w:afterAutospacing="0" w:line="360" w:lineRule="auto"/>
              <w:ind w:left="0" w:right="0" w:firstLine="480" w:firstLineChars="200"/>
              <w:rPr>
                <w:rFonts w:hint="default" w:ascii="Times New Roman" w:cs="Times New Roman"/>
                <w:color w:val="000000" w:themeColor="text1"/>
                <w14:textFill>
                  <w14:solidFill>
                    <w14:schemeClr w14:val="tx1"/>
                  </w14:solidFill>
                </w14:textFill>
              </w:rPr>
            </w:pPr>
            <w:r>
              <w:rPr>
                <w:rFonts w:hint="default" w:ascii="Times New Roman" w:cs="Times New Roman"/>
                <w:color w:val="000000" w:themeColor="text1"/>
                <w14:textFill>
                  <w14:solidFill>
                    <w14:schemeClr w14:val="tx1"/>
                  </w14:solidFill>
                </w14:textFill>
              </w:rPr>
              <w:t>根据《陕西省人民政府关于加快实施“三线一单”生态环境分区管控的意见》（陕政发〔2020〕11号）、《陕西省“三线一单”生态环境分区管控应用技术指南：环境影响评价（试行）》及《西安市人民政府关于印发“三线一单”生态环境分区管控方案的通知》（市政发〔2021〕22号），环评文件涉及“三线一单”生态环境分区管控符合性分析应采取“一图一表一说明”的表达方式，具体如下：</w:t>
            </w:r>
          </w:p>
          <w:p w14:paraId="42656D2D">
            <w:pPr>
              <w:pStyle w:val="44"/>
              <w:keepNext w:val="0"/>
              <w:keepLines w:val="0"/>
              <w:suppressLineNumbers w:val="0"/>
              <w:spacing w:before="0" w:beforeAutospacing="0" w:after="0" w:afterAutospacing="0" w:line="360" w:lineRule="auto"/>
              <w:ind w:left="0" w:right="0" w:firstLine="480" w:firstLineChars="200"/>
              <w:rPr>
                <w:rFonts w:hint="default" w:ascii="Times New Roman" w:cs="Times New Roman"/>
                <w:color w:val="000000" w:themeColor="text1"/>
                <w14:textFill>
                  <w14:solidFill>
                    <w14:schemeClr w14:val="tx1"/>
                  </w14:solidFill>
                </w14:textFill>
              </w:rPr>
            </w:pPr>
            <w:r>
              <w:rPr>
                <w:rFonts w:hint="default" w:ascii="Times New Roman" w:cs="Times New Roman"/>
                <w:color w:val="000000" w:themeColor="text1"/>
                <w14:textFill>
                  <w14:solidFill>
                    <w14:schemeClr w14:val="tx1"/>
                  </w14:solidFill>
                </w14:textFill>
              </w:rPr>
              <w:t>①“一图”</w:t>
            </w:r>
          </w:p>
          <w:p w14:paraId="32D4755C">
            <w:pPr>
              <w:pStyle w:val="44"/>
              <w:keepNext w:val="0"/>
              <w:keepLines w:val="0"/>
              <w:suppressLineNumbers w:val="0"/>
              <w:spacing w:before="0" w:beforeAutospacing="0" w:after="0" w:afterAutospacing="0" w:line="360" w:lineRule="auto"/>
              <w:ind w:left="0" w:right="0" w:firstLine="480" w:firstLineChars="200"/>
              <w:rPr>
                <w:rFonts w:hint="default" w:ascii="Times New Roman" w:cs="Times New Roman"/>
                <w:color w:val="000000" w:themeColor="text1"/>
                <w14:textFill>
                  <w14:solidFill>
                    <w14:schemeClr w14:val="tx1"/>
                  </w14:solidFill>
                </w14:textFill>
              </w:rPr>
            </w:pPr>
            <w:r>
              <w:rPr>
                <w:rFonts w:hint="default" w:ascii="Times New Roman" w:cs="Times New Roman"/>
                <w:color w:val="000000" w:themeColor="text1"/>
                <w14:textFill>
                  <w14:solidFill>
                    <w14:schemeClr w14:val="tx1"/>
                  </w14:solidFill>
                </w14:textFill>
              </w:rPr>
              <w:t>根据陕西省“三线一单”数据应用系统叠图分析可知，本项目属于西安市重点管控单元，不涉及生态保护红线。项目与环境管控单位对照分析示意图如下图所示：</w:t>
            </w:r>
          </w:p>
          <w:p w14:paraId="046AB731">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themeColor="text1"/>
                <w14:textFill>
                  <w14:solidFill>
                    <w14:schemeClr w14:val="tx1"/>
                  </w14:solidFill>
                </w14:textFill>
              </w:rPr>
            </w:pPr>
            <w:r>
              <w:rPr>
                <w:rFonts w:hint="default"/>
                <w:color w:val="000000" w:themeColor="text1"/>
                <w14:textFill>
                  <w14:solidFill>
                    <w14:schemeClr w14:val="tx1"/>
                  </w14:solidFill>
                </w14:textFill>
              </w:rPr>
              <w:drawing>
                <wp:inline distT="0" distB="0" distL="114300" distR="114300">
                  <wp:extent cx="3696970" cy="6260465"/>
                  <wp:effectExtent l="0" t="0" r="17780" b="698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3696970" cy="6260465"/>
                          </a:xfrm>
                          <a:prstGeom prst="rect">
                            <a:avLst/>
                          </a:prstGeom>
                          <a:noFill/>
                          <a:ln>
                            <a:noFill/>
                          </a:ln>
                        </pic:spPr>
                      </pic:pic>
                    </a:graphicData>
                  </a:graphic>
                </wp:inline>
              </w:drawing>
            </w:r>
          </w:p>
          <w:p w14:paraId="3FAC097C">
            <w:pPr>
              <w:keepNext w:val="0"/>
              <w:keepLines w:val="0"/>
              <w:suppressLineNumbers w:val="0"/>
              <w:spacing w:before="0" w:beforeAutospacing="0" w:after="0" w:afterAutospacing="0" w:line="360" w:lineRule="auto"/>
              <w:ind w:left="0" w:right="0" w:firstLine="482" w:firstLineChars="200"/>
              <w:jc w:val="center"/>
              <w:rPr>
                <w:rFonts w:hint="eastAsia" w:ascii="Times New Roman" w:hAnsi="Times New Roman" w:cs="Times New Roman"/>
                <w:b/>
                <w:bCs/>
                <w:color w:val="000000" w:themeColor="text1"/>
                <w:sz w:val="24"/>
                <w14:textFill>
                  <w14:solidFill>
                    <w14:schemeClr w14:val="tx1"/>
                  </w14:solidFill>
                </w14:textFill>
              </w:rPr>
            </w:pPr>
            <w:r>
              <w:rPr>
                <w:rFonts w:hint="eastAsia" w:ascii="Times New Roman" w:hAnsi="Times New Roman" w:cs="Times New Roman"/>
                <w:b/>
                <w:bCs/>
                <w:color w:val="000000" w:themeColor="text1"/>
                <w:sz w:val="24"/>
                <w14:textFill>
                  <w14:solidFill>
                    <w14:schemeClr w14:val="tx1"/>
                  </w14:solidFill>
                </w14:textFill>
              </w:rPr>
              <w:t>图1-1  本项目与环境管控单元对照分析示意图</w:t>
            </w:r>
          </w:p>
          <w:p w14:paraId="6A8A7DEC">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②“一表”</w:t>
            </w:r>
          </w:p>
          <w:p w14:paraId="215B9886">
            <w:pPr>
              <w:pStyle w:val="66"/>
              <w:keepNext w:val="0"/>
              <w:keepLines w:val="0"/>
              <w:suppressLineNumbers w:val="0"/>
              <w:spacing w:before="0" w:beforeAutospacing="0" w:after="0" w:afterAutospacing="0" w:line="360" w:lineRule="auto"/>
              <w:ind w:left="0" w:right="0" w:firstLine="488"/>
              <w:rPr>
                <w:rFonts w:hint="eastAsia" w:ascii="宋体" w:cs="宋体"/>
                <w:color w:val="000000" w:themeColor="text1"/>
                <w:kern w:val="0"/>
                <w14:textFill>
                  <w14:solidFill>
                    <w14:schemeClr w14:val="tx1"/>
                  </w14:solidFill>
                </w14:textFill>
              </w:rPr>
            </w:pPr>
            <w:r>
              <w:rPr>
                <w:rFonts w:hint="eastAsia" w:ascii="Calibri" w:hAnsi="Times New Roman" w:cs="Times New Roman"/>
                <w:color w:val="000000" w:themeColor="text1"/>
                <w:spacing w:val="2"/>
                <w14:textFill>
                  <w14:solidFill>
                    <w14:schemeClr w14:val="tx1"/>
                  </w14:solidFill>
                </w14:textFill>
              </w:rPr>
              <w:t>根据从陕西省“三线一单”数据应用系统</w:t>
            </w:r>
            <w:r>
              <w:rPr>
                <w:rFonts w:hint="default" w:ascii="Times New Roman" w:hAnsi="Times New Roman" w:cs="Times New Roman"/>
                <w:color w:val="000000" w:themeColor="text1"/>
                <w:spacing w:val="2"/>
                <w14:textFill>
                  <w14:solidFill>
                    <w14:schemeClr w14:val="tx1"/>
                  </w14:solidFill>
                </w14:textFill>
              </w:rPr>
              <w:t>（V1.0）</w:t>
            </w:r>
            <w:r>
              <w:rPr>
                <w:rFonts w:hint="eastAsia" w:ascii="Calibri" w:hAnsi="Times New Roman" w:cs="Times New Roman"/>
                <w:color w:val="000000" w:themeColor="text1"/>
                <w:spacing w:val="2"/>
                <w14:textFill>
                  <w14:solidFill>
                    <w14:schemeClr w14:val="tx1"/>
                  </w14:solidFill>
                </w14:textFill>
              </w:rPr>
              <w:t>中导出的分析文件（具体见附件</w:t>
            </w:r>
            <w:r>
              <w:rPr>
                <w:rFonts w:hint="eastAsia" w:ascii="Calibri" w:hAnsi="Times New Roman" w:cs="Times New Roman"/>
                <w:color w:val="000000" w:themeColor="text1"/>
                <w:spacing w:val="2"/>
                <w:lang w:val="en-US" w:eastAsia="zh-CN"/>
                <w14:textFill>
                  <w14:solidFill>
                    <w14:schemeClr w14:val="tx1"/>
                  </w14:solidFill>
                </w14:textFill>
              </w:rPr>
              <w:t>7</w:t>
            </w:r>
            <w:r>
              <w:rPr>
                <w:rFonts w:hint="eastAsia" w:ascii="Calibri" w:hAnsi="Times New Roman" w:cs="Times New Roman"/>
                <w:color w:val="000000" w:themeColor="text1"/>
                <w:spacing w:val="2"/>
                <w14:textFill>
                  <w14:solidFill>
                    <w14:schemeClr w14:val="tx1"/>
                  </w14:solidFill>
                </w14:textFill>
              </w:rPr>
              <w:t>），本项目所涉及的《西安市生态环境准入清单》如下表所示：</w:t>
            </w:r>
          </w:p>
        </w:tc>
      </w:tr>
    </w:tbl>
    <w:p w14:paraId="55FBC049">
      <w:pPr>
        <w:pStyle w:val="2"/>
        <w:ind w:firstLine="560"/>
        <w:rPr>
          <w:rFonts w:hint="eastAsia"/>
          <w:color w:val="auto"/>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tbl>
      <w:tblPr>
        <w:tblStyle w:val="26"/>
        <w:tblW w:w="4832" w:type="pct"/>
        <w:tblInd w:w="2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2293"/>
      </w:tblGrid>
      <w:tr w14:paraId="4401A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9" w:hRule="atLeast"/>
        </w:trPr>
        <w:tc>
          <w:tcPr>
            <w:tcW w:w="341" w:type="pct"/>
            <w:noWrap w:val="0"/>
            <w:vAlign w:val="top"/>
          </w:tcPr>
          <w:p w14:paraId="18253F2B">
            <w:pPr>
              <w:keepNext w:val="0"/>
              <w:keepLines w:val="0"/>
              <w:suppressLineNumbers w:val="0"/>
              <w:spacing w:before="0" w:beforeAutospacing="0" w:after="0" w:afterAutospacing="0"/>
              <w:ind w:left="0" w:right="0"/>
              <w:rPr>
                <w:rFonts w:hint="eastAsia" w:ascii="Times New Roman" w:hAnsi="Times New Roman" w:cs="Times New Roman"/>
                <w:color w:val="auto"/>
              </w:rPr>
            </w:pPr>
          </w:p>
        </w:tc>
        <w:tc>
          <w:tcPr>
            <w:tcW w:w="4658" w:type="pct"/>
            <w:noWrap w:val="0"/>
            <w:vAlign w:val="top"/>
          </w:tcPr>
          <w:p w14:paraId="4627D9E3">
            <w:pPr>
              <w:keepNext w:val="0"/>
              <w:keepLines w:val="0"/>
              <w:suppressLineNumbers w:val="0"/>
              <w:spacing w:before="0" w:beforeAutospacing="0" w:after="0" w:afterAutospacing="0"/>
              <w:ind w:left="0" w:right="0"/>
              <w:jc w:val="center"/>
              <w:rPr>
                <w:rFonts w:hint="eastAsia" w:ascii="Times New Roman" w:hAnsi="Times New Roman" w:cs="Times New Roman"/>
                <w:b/>
                <w:color w:val="auto"/>
                <w:kern w:val="0"/>
                <w:sz w:val="24"/>
              </w:rPr>
            </w:pPr>
            <w:r>
              <w:rPr>
                <w:rFonts w:hint="eastAsia" w:ascii="Times New Roman" w:hAnsi="Times New Roman" w:cs="Times New Roman"/>
                <w:b/>
                <w:bCs/>
                <w:color w:val="auto"/>
                <w:sz w:val="24"/>
              </w:rPr>
              <w:t>表1-2  项目与所在</w:t>
            </w:r>
            <w:r>
              <w:rPr>
                <w:rFonts w:hint="eastAsia" w:ascii="Times New Roman" w:hAnsi="Times New Roman" w:cs="Times New Roman"/>
                <w:b/>
                <w:color w:val="auto"/>
                <w:kern w:val="0"/>
                <w:szCs w:val="21"/>
              </w:rPr>
              <w:t>的生态环境管控单元准入清单符合性分析</w:t>
            </w:r>
          </w:p>
          <w:tbl>
            <w:tblPr>
              <w:tblStyle w:val="26"/>
              <w:tblW w:w="497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49"/>
              <w:gridCol w:w="586"/>
              <w:gridCol w:w="1029"/>
              <w:gridCol w:w="878"/>
              <w:gridCol w:w="729"/>
              <w:gridCol w:w="3828"/>
              <w:gridCol w:w="1082"/>
              <w:gridCol w:w="2176"/>
              <w:gridCol w:w="428"/>
            </w:tblGrid>
            <w:tr w14:paraId="2DA9DC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77" w:type="pct"/>
                  <w:noWrap w:val="0"/>
                  <w:vAlign w:val="center"/>
                </w:tcPr>
                <w:p w14:paraId="76946549">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353" w:type="pct"/>
                  <w:noWrap w:val="0"/>
                  <w:vAlign w:val="center"/>
                </w:tcPr>
                <w:p w14:paraId="4E75CDF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市（区）</w:t>
                  </w:r>
                </w:p>
              </w:tc>
              <w:tc>
                <w:tcPr>
                  <w:tcW w:w="244" w:type="pct"/>
                  <w:noWrap w:val="0"/>
                  <w:vAlign w:val="center"/>
                </w:tcPr>
                <w:p w14:paraId="229AD28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区县</w:t>
                  </w:r>
                </w:p>
              </w:tc>
              <w:tc>
                <w:tcPr>
                  <w:tcW w:w="428" w:type="pct"/>
                  <w:noWrap w:val="0"/>
                  <w:vAlign w:val="center"/>
                </w:tcPr>
                <w:p w14:paraId="7C003BA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环境管控</w:t>
                  </w:r>
                </w:p>
                <w:p w14:paraId="0AEF9E8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单元名称</w:t>
                  </w:r>
                </w:p>
              </w:tc>
              <w:tc>
                <w:tcPr>
                  <w:tcW w:w="365" w:type="pct"/>
                  <w:noWrap w:val="0"/>
                  <w:vAlign w:val="center"/>
                </w:tcPr>
                <w:p w14:paraId="73E8099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单元要</w:t>
                  </w:r>
                </w:p>
                <w:p w14:paraId="1CB7C42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素属性</w:t>
                  </w:r>
                </w:p>
              </w:tc>
              <w:tc>
                <w:tcPr>
                  <w:tcW w:w="303" w:type="pct"/>
                  <w:noWrap w:val="0"/>
                  <w:vAlign w:val="center"/>
                </w:tcPr>
                <w:p w14:paraId="3CD448A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管控要求分类</w:t>
                  </w:r>
                </w:p>
              </w:tc>
              <w:tc>
                <w:tcPr>
                  <w:tcW w:w="1592" w:type="pct"/>
                  <w:noWrap w:val="0"/>
                  <w:vAlign w:val="center"/>
                </w:tcPr>
                <w:p w14:paraId="5264C80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管控要求</w:t>
                  </w:r>
                </w:p>
              </w:tc>
              <w:tc>
                <w:tcPr>
                  <w:tcW w:w="450" w:type="pct"/>
                  <w:noWrap w:val="0"/>
                  <w:vAlign w:val="center"/>
                </w:tcPr>
                <w:p w14:paraId="407C419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面积/长度</w:t>
                  </w:r>
                </w:p>
                <w:p w14:paraId="3E13E89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(平方米/米)</w:t>
                  </w:r>
                </w:p>
              </w:tc>
              <w:tc>
                <w:tcPr>
                  <w:tcW w:w="905" w:type="pct"/>
                  <w:noWrap w:val="0"/>
                  <w:vAlign w:val="center"/>
                </w:tcPr>
                <w:p w14:paraId="2872CC0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本项目情况</w:t>
                  </w:r>
                </w:p>
              </w:tc>
              <w:tc>
                <w:tcPr>
                  <w:tcW w:w="178" w:type="pct"/>
                  <w:noWrap w:val="0"/>
                  <w:vAlign w:val="center"/>
                </w:tcPr>
                <w:p w14:paraId="79D4F49F">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符合性</w:t>
                  </w:r>
                </w:p>
              </w:tc>
            </w:tr>
            <w:tr w14:paraId="0D0F09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7" w:type="pct"/>
                  <w:vMerge w:val="restart"/>
                  <w:noWrap w:val="0"/>
                  <w:vAlign w:val="center"/>
                </w:tcPr>
                <w:p w14:paraId="3834BD85">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353" w:type="pct"/>
                  <w:vMerge w:val="restart"/>
                  <w:noWrap w:val="0"/>
                  <w:vAlign w:val="center"/>
                </w:tcPr>
                <w:p w14:paraId="3E74C8B3">
                  <w:pPr>
                    <w:keepNext w:val="0"/>
                    <w:keepLines w:val="0"/>
                    <w:widowControl/>
                    <w:suppressLineNumbers w:val="0"/>
                    <w:adjustRightInd w:val="0"/>
                    <w:snapToGrid w:val="0"/>
                    <w:spacing w:before="0" w:beforeAutospacing="0" w:after="0" w:afterAutospacing="0"/>
                    <w:ind w:left="0" w:right="0"/>
                    <w:jc w:val="left"/>
                    <w:rPr>
                      <w:rFonts w:hint="eastAsia" w:ascii="Times New Roman" w:hAnsi="Times New Roman" w:cs="Times New Roman"/>
                      <w:color w:val="auto"/>
                      <w:szCs w:val="21"/>
                    </w:rPr>
                  </w:pPr>
                  <w:r>
                    <w:rPr>
                      <w:rFonts w:hint="eastAsia" w:cs="Times New Roman"/>
                      <w:color w:val="auto"/>
                      <w:szCs w:val="21"/>
                      <w:lang w:val="en-US" w:eastAsia="zh-CN"/>
                    </w:rPr>
                    <w:t>西安</w:t>
                  </w:r>
                  <w:r>
                    <w:rPr>
                      <w:rFonts w:hint="eastAsia" w:ascii="Times New Roman" w:hAnsi="Times New Roman" w:cs="Times New Roman"/>
                      <w:color w:val="auto"/>
                      <w:szCs w:val="21"/>
                    </w:rPr>
                    <w:t>市</w:t>
                  </w:r>
                </w:p>
              </w:tc>
              <w:tc>
                <w:tcPr>
                  <w:tcW w:w="244" w:type="pct"/>
                  <w:vMerge w:val="restart"/>
                  <w:noWrap w:val="0"/>
                  <w:vAlign w:val="center"/>
                </w:tcPr>
                <w:p w14:paraId="33F1C7C6">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未央区</w:t>
                  </w:r>
                </w:p>
              </w:tc>
              <w:tc>
                <w:tcPr>
                  <w:tcW w:w="428" w:type="pct"/>
                  <w:vMerge w:val="restart"/>
                  <w:noWrap w:val="0"/>
                  <w:vAlign w:val="center"/>
                </w:tcPr>
                <w:p w14:paraId="3054A51E">
                  <w:pPr>
                    <w:keepNext w:val="0"/>
                    <w:keepLines w:val="0"/>
                    <w:widowControl/>
                    <w:suppressLineNumbers w:val="0"/>
                    <w:adjustRightInd w:val="0"/>
                    <w:snapToGrid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lang w:bidi="ar"/>
                    </w:rPr>
                    <w:t>陕西省</w:t>
                  </w:r>
                  <w:r>
                    <w:rPr>
                      <w:rFonts w:hint="eastAsia" w:cs="Times New Roman"/>
                      <w:color w:val="auto"/>
                      <w:szCs w:val="21"/>
                      <w:lang w:val="en-US" w:eastAsia="zh-CN" w:bidi="ar"/>
                    </w:rPr>
                    <w:t>西安市未央区</w:t>
                  </w:r>
                  <w:r>
                    <w:rPr>
                      <w:rFonts w:hint="default" w:ascii="Times New Roman" w:hAnsi="Times New Roman" w:cs="Times New Roman"/>
                      <w:color w:val="auto"/>
                      <w:szCs w:val="21"/>
                      <w:lang w:bidi="ar"/>
                    </w:rPr>
                    <w:t>重点管控单元</w:t>
                  </w:r>
                </w:p>
                <w:p w14:paraId="108B27F1">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auto"/>
                      <w:szCs w:val="21"/>
                      <w:lang w:eastAsia="zh-CN"/>
                    </w:rPr>
                  </w:pPr>
                  <w:r>
                    <w:rPr>
                      <w:rFonts w:hint="eastAsia" w:cs="Times New Roman"/>
                      <w:color w:val="auto"/>
                      <w:szCs w:val="21"/>
                      <w:lang w:val="en-US" w:eastAsia="zh-CN" w:bidi="ar"/>
                    </w:rPr>
                    <w:t>2</w:t>
                  </w:r>
                </w:p>
              </w:tc>
              <w:tc>
                <w:tcPr>
                  <w:tcW w:w="365" w:type="pct"/>
                  <w:vMerge w:val="restart"/>
                  <w:noWrap w:val="0"/>
                  <w:vAlign w:val="center"/>
                </w:tcPr>
                <w:p w14:paraId="714D26EF">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大 气环 境</w:t>
                  </w:r>
                </w:p>
                <w:p w14:paraId="0E50CF77">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受 体敏 感重 点管 控区、水</w:t>
                  </w:r>
                </w:p>
                <w:p w14:paraId="3E627CC4">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环 境城 镇 生 活污 染重 点管 控区、高污 染燃 料禁 燃区</w:t>
                  </w:r>
                </w:p>
                <w:p w14:paraId="7557831C">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303" w:type="pct"/>
                  <w:noWrap w:val="0"/>
                  <w:vAlign w:val="center"/>
                </w:tcPr>
                <w:p w14:paraId="399EDDC7">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空间布局约束</w:t>
                  </w:r>
                </w:p>
              </w:tc>
              <w:tc>
                <w:tcPr>
                  <w:tcW w:w="1592" w:type="pct"/>
                  <w:noWrap w:val="0"/>
                  <w:vAlign w:val="center"/>
                </w:tcPr>
                <w:p w14:paraId="3438BC17">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大气环境布局敏感重点管控区：</w:t>
                  </w:r>
                </w:p>
                <w:p w14:paraId="5FBEB177">
                  <w:pPr>
                    <w:keepNext w:val="0"/>
                    <w:keepLines w:val="0"/>
                    <w:numPr>
                      <w:ilvl w:val="0"/>
                      <w:numId w:val="2"/>
                    </w:numPr>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严格控制新增《陕西省“两高”项目管理暂行目录》行业项目（民生等项目除外，后续对“两高”范围国家如有新规定的，从其规定）。</w:t>
                  </w:r>
                </w:p>
                <w:p w14:paraId="69B80860">
                  <w:pPr>
                    <w:keepNext w:val="0"/>
                    <w:keepLines w:val="0"/>
                    <w:numPr>
                      <w:ilvl w:val="-1"/>
                      <w:numId w:val="0"/>
                    </w:numPr>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2.推动重污染企业搬迁入园或依法关闭。</w:t>
                  </w:r>
                </w:p>
              </w:tc>
              <w:tc>
                <w:tcPr>
                  <w:tcW w:w="450" w:type="pct"/>
                  <w:vMerge w:val="restart"/>
                  <w:noWrap w:val="0"/>
                  <w:vAlign w:val="center"/>
                </w:tcPr>
                <w:p w14:paraId="7BCFA7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auto"/>
                      <w:szCs w:val="21"/>
                      <w:lang w:val="en-US" w:eastAsia="zh-CN"/>
                    </w:rPr>
                  </w:pPr>
                  <w:r>
                    <w:rPr>
                      <w:rFonts w:hint="eastAsia" w:cs="Times New Roman"/>
                      <w:b w:val="0"/>
                      <w:bCs w:val="0"/>
                      <w:color w:val="auto"/>
                      <w:spacing w:val="-2"/>
                      <w:szCs w:val="21"/>
                      <w:lang w:val="en-US" w:eastAsia="zh-CN"/>
                    </w:rPr>
                    <w:t>29076.67</w:t>
                  </w:r>
                </w:p>
              </w:tc>
              <w:tc>
                <w:tcPr>
                  <w:tcW w:w="905" w:type="pct"/>
                  <w:noWrap w:val="0"/>
                  <w:vAlign w:val="center"/>
                </w:tcPr>
                <w:p w14:paraId="6D50D68D">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大气环境布局敏感重点管控区：</w:t>
                  </w:r>
                </w:p>
                <w:p w14:paraId="53AE7B50">
                  <w:pPr>
                    <w:keepNext w:val="0"/>
                    <w:keepLines w:val="0"/>
                    <w:numPr>
                      <w:ilvl w:val="0"/>
                      <w:numId w:val="3"/>
                    </w:numPr>
                    <w:suppressLineNumbers w:val="0"/>
                    <w:adjustRightInd w:val="0"/>
                    <w:snapToGrid w:val="0"/>
                    <w:spacing w:before="0" w:beforeAutospacing="0" w:after="0" w:afterAutospacing="0"/>
                    <w:ind w:left="0" w:right="0"/>
                    <w:rPr>
                      <w:rFonts w:hint="eastAsia" w:cs="Times New Roman"/>
                      <w:b w:val="0"/>
                      <w:bCs w:val="0"/>
                      <w:color w:val="auto"/>
                      <w:szCs w:val="21"/>
                      <w:lang w:eastAsia="zh-CN"/>
                    </w:rPr>
                  </w:pPr>
                  <w:r>
                    <w:rPr>
                      <w:rFonts w:hint="default" w:ascii="Times New Roman" w:hAnsi="Times New Roman" w:cs="Times New Roman"/>
                      <w:b w:val="0"/>
                      <w:bCs w:val="0"/>
                      <w:color w:val="auto"/>
                      <w:szCs w:val="21"/>
                    </w:rPr>
                    <w:t>本项目属于印刷和记录媒介复制业，不属于“两高”行业</w:t>
                  </w:r>
                  <w:r>
                    <w:rPr>
                      <w:rFonts w:hint="eastAsia" w:cs="Times New Roman"/>
                      <w:b w:val="0"/>
                      <w:bCs w:val="0"/>
                      <w:color w:val="auto"/>
                      <w:szCs w:val="21"/>
                      <w:lang w:eastAsia="zh-CN"/>
                    </w:rPr>
                    <w:t>；</w:t>
                  </w:r>
                </w:p>
                <w:p w14:paraId="7C9E7DA6">
                  <w:pPr>
                    <w:keepNext w:val="0"/>
                    <w:keepLines w:val="0"/>
                    <w:numPr>
                      <w:ilvl w:val="0"/>
                      <w:numId w:val="3"/>
                    </w:numPr>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eastAsia" w:cs="Times New Roman"/>
                      <w:b w:val="0"/>
                      <w:bCs w:val="0"/>
                      <w:color w:val="auto"/>
                      <w:szCs w:val="21"/>
                      <w:lang w:val="en-US" w:eastAsia="zh-CN"/>
                    </w:rPr>
                    <w:t>本项目</w:t>
                  </w:r>
                  <w:r>
                    <w:rPr>
                      <w:rFonts w:hint="eastAsia" w:ascii="Times New Roman" w:hAnsi="Times New Roman" w:cs="Times New Roman"/>
                      <w:b w:val="0"/>
                      <w:bCs w:val="0"/>
                      <w:color w:val="auto"/>
                      <w:szCs w:val="21"/>
                    </w:rPr>
                    <w:t>不属于重污染企业。</w:t>
                  </w:r>
                </w:p>
              </w:tc>
              <w:tc>
                <w:tcPr>
                  <w:tcW w:w="178" w:type="pct"/>
                  <w:noWrap w:val="0"/>
                  <w:vAlign w:val="center"/>
                </w:tcPr>
                <w:p w14:paraId="62A74580">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7EC222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77" w:type="pct"/>
                  <w:vMerge w:val="continue"/>
                  <w:noWrap w:val="0"/>
                  <w:vAlign w:val="center"/>
                </w:tcPr>
                <w:p w14:paraId="1FAB3CD4">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353" w:type="pct"/>
                  <w:vMerge w:val="continue"/>
                  <w:noWrap w:val="0"/>
                  <w:vAlign w:val="center"/>
                </w:tcPr>
                <w:p w14:paraId="72130128">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244" w:type="pct"/>
                  <w:vMerge w:val="continue"/>
                  <w:noWrap w:val="0"/>
                  <w:vAlign w:val="center"/>
                </w:tcPr>
                <w:p w14:paraId="435A5C72">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428" w:type="pct"/>
                  <w:vMerge w:val="continue"/>
                  <w:noWrap w:val="0"/>
                  <w:vAlign w:val="center"/>
                </w:tcPr>
                <w:p w14:paraId="0F9C88B9">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365" w:type="pct"/>
                  <w:vMerge w:val="continue"/>
                  <w:noWrap w:val="0"/>
                  <w:vAlign w:val="center"/>
                </w:tcPr>
                <w:p w14:paraId="566965F5">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303" w:type="pct"/>
                  <w:noWrap w:val="0"/>
                  <w:vAlign w:val="center"/>
                </w:tcPr>
                <w:p w14:paraId="313237C2">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污染物排放管控</w:t>
                  </w:r>
                </w:p>
              </w:tc>
              <w:tc>
                <w:tcPr>
                  <w:tcW w:w="1592" w:type="pct"/>
                  <w:noWrap w:val="0"/>
                  <w:vAlign w:val="center"/>
                </w:tcPr>
                <w:p w14:paraId="1F5B23F6">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大气环境布局敏感重点管控区：</w:t>
                  </w:r>
                </w:p>
                <w:p w14:paraId="34DB825F">
                  <w:pPr>
                    <w:keepNext w:val="0"/>
                    <w:keepLines w:val="0"/>
                    <w:numPr>
                      <w:ilvl w:val="0"/>
                      <w:numId w:val="4"/>
                    </w:numPr>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lang w:val="en-US" w:eastAsia="zh-CN"/>
                    </w:rPr>
                  </w:pPr>
                  <w:r>
                    <w:rPr>
                      <w:rFonts w:hint="default" w:ascii="Times New Roman" w:hAnsi="Times New Roman" w:cs="Times New Roman"/>
                      <w:b w:val="0"/>
                      <w:bCs w:val="0"/>
                      <w:color w:val="auto"/>
                      <w:szCs w:val="21"/>
                      <w:lang w:val="en-US" w:eastAsia="zh-CN"/>
                    </w:rPr>
                    <w:t>城市建成区产生油烟的餐饮服务单位全部安装油烟净化装置并保持正常运行和定期维护。</w:t>
                  </w:r>
                </w:p>
                <w:p w14:paraId="0A91A709">
                  <w:pPr>
                    <w:keepNext w:val="0"/>
                    <w:keepLines w:val="0"/>
                    <w:numPr>
                      <w:ilvl w:val="0"/>
                      <w:numId w:val="4"/>
                    </w:numPr>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lang w:val="en-US" w:eastAsia="zh-CN"/>
                    </w:rPr>
                    <w:t>持续因地制宜实施“煤改气”、“油改气”、电能、地热、生物质等清洁能源取暖措施。</w:t>
                  </w:r>
                </w:p>
                <w:p w14:paraId="437D0399">
                  <w:pPr>
                    <w:keepNext w:val="0"/>
                    <w:keepLines w:val="0"/>
                    <w:numPr>
                      <w:ilvl w:val="0"/>
                      <w:numId w:val="4"/>
                    </w:numPr>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lang w:val="en-US" w:eastAsia="zh-CN"/>
                    </w:rPr>
                    <w:t>鼓励将老旧车辆和非道路移动机械替换为清洁能源车辆。推进新能源或清洁能源汽车使用。</w:t>
                  </w:r>
                </w:p>
                <w:p w14:paraId="39647ACF">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lang w:val="en-US" w:eastAsia="zh-CN"/>
                    </w:rPr>
                  </w:pPr>
                  <w:r>
                    <w:rPr>
                      <w:rFonts w:hint="default" w:ascii="Times New Roman" w:hAnsi="Times New Roman" w:cs="Times New Roman"/>
                      <w:b w:val="0"/>
                      <w:bCs w:val="0"/>
                      <w:color w:val="auto"/>
                      <w:szCs w:val="21"/>
                      <w:lang w:val="en-US" w:eastAsia="zh-CN"/>
                    </w:rPr>
                    <w:t>水环境城镇生活污染重点管控区：</w:t>
                  </w:r>
                </w:p>
                <w:p w14:paraId="10DC78FA">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lang w:val="en-US" w:eastAsia="zh-CN"/>
                    </w:rPr>
                    <w:t>1.加强城镇污水收集处理设施建设与提标改造。城镇生活污水处理达到《陕西省黄河流域污水综合排放标准》（DB61/224-2018）排放限值要求。</w:t>
                  </w:r>
                </w:p>
              </w:tc>
              <w:tc>
                <w:tcPr>
                  <w:tcW w:w="450" w:type="pct"/>
                  <w:vMerge w:val="continue"/>
                  <w:noWrap w:val="0"/>
                  <w:vAlign w:val="center"/>
                </w:tcPr>
                <w:p w14:paraId="15CFF6D9">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p>
              </w:tc>
              <w:tc>
                <w:tcPr>
                  <w:tcW w:w="905" w:type="pct"/>
                  <w:noWrap w:val="0"/>
                  <w:vAlign w:val="center"/>
                </w:tcPr>
                <w:p w14:paraId="573ABB13">
                  <w:pPr>
                    <w:keepNext w:val="0"/>
                    <w:keepLines w:val="0"/>
                    <w:suppressLineNumbers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大气环境布局敏感重点管控区：</w:t>
                  </w:r>
                </w:p>
                <w:p w14:paraId="4A762E2A">
                  <w:pPr>
                    <w:keepNext w:val="0"/>
                    <w:keepLines w:val="0"/>
                    <w:suppressLineNumbers w:val="0"/>
                    <w:spacing w:before="0" w:beforeAutospacing="0" w:after="0" w:afterAutospacing="0"/>
                    <w:ind w:left="0" w:right="0"/>
                    <w:rPr>
                      <w:rFonts w:hint="default" w:ascii="Times New Roman" w:hAnsi="Times New Roman" w:cs="Times New Roman"/>
                      <w:b w:val="0"/>
                      <w:bCs w:val="0"/>
                      <w:color w:val="auto"/>
                      <w:szCs w:val="21"/>
                      <w:lang w:val="en-US" w:eastAsia="zh-CN"/>
                    </w:rPr>
                  </w:pPr>
                  <w:r>
                    <w:rPr>
                      <w:rFonts w:hint="eastAsia" w:cs="Times New Roman"/>
                      <w:b w:val="0"/>
                      <w:bCs w:val="0"/>
                      <w:color w:val="auto"/>
                      <w:szCs w:val="21"/>
                      <w:lang w:val="en-US" w:eastAsia="zh-CN"/>
                    </w:rPr>
                    <w:t>1.本项目设立的厨房装有油烟净化装置，并</w:t>
                  </w:r>
                  <w:r>
                    <w:rPr>
                      <w:rFonts w:hint="default" w:ascii="Times New Roman" w:hAnsi="Times New Roman" w:cs="Times New Roman"/>
                      <w:b w:val="0"/>
                      <w:bCs w:val="0"/>
                      <w:color w:val="auto"/>
                      <w:szCs w:val="21"/>
                      <w:lang w:val="en-US" w:eastAsia="zh-CN"/>
                    </w:rPr>
                    <w:t>保持正常运行和定期维护。</w:t>
                  </w:r>
                </w:p>
                <w:p w14:paraId="78F4EB76">
                  <w:pPr>
                    <w:keepNext w:val="0"/>
                    <w:keepLines w:val="0"/>
                    <w:suppressLineNumbers w:val="0"/>
                    <w:spacing w:before="0" w:beforeAutospacing="0" w:after="0" w:afterAutospacing="0"/>
                    <w:ind w:left="0" w:right="0"/>
                    <w:rPr>
                      <w:rFonts w:hint="eastAsia" w:ascii="Times New Roman" w:hAnsi="Times New Roman" w:cs="Times New Roman"/>
                      <w:b w:val="0"/>
                      <w:bCs w:val="0"/>
                      <w:color w:val="auto"/>
                      <w:kern w:val="21"/>
                      <w:szCs w:val="21"/>
                    </w:rPr>
                  </w:pPr>
                  <w:r>
                    <w:rPr>
                      <w:rFonts w:hint="eastAsia" w:ascii="Times New Roman" w:hAnsi="Times New Roman" w:cs="Times New Roman"/>
                      <w:b w:val="0"/>
                      <w:bCs w:val="0"/>
                      <w:color w:val="auto"/>
                      <w:szCs w:val="21"/>
                      <w:lang w:val="en-US" w:eastAsia="zh-CN"/>
                    </w:rPr>
                    <w:t>2.本项目冬季采用市政供暖，不涉及煤炭。3.</w:t>
                  </w:r>
                  <w:r>
                    <w:rPr>
                      <w:rFonts w:hint="default" w:ascii="Times New Roman" w:hAnsi="Times New Roman" w:cs="Times New Roman"/>
                      <w:b w:val="0"/>
                      <w:bCs w:val="0"/>
                      <w:color w:val="auto"/>
                      <w:szCs w:val="21"/>
                    </w:rPr>
                    <w:t>本项目</w:t>
                  </w:r>
                  <w:r>
                    <w:rPr>
                      <w:rFonts w:hint="eastAsia" w:ascii="Times New Roman" w:hAnsi="Times New Roman" w:cs="Times New Roman"/>
                      <w:b w:val="0"/>
                      <w:bCs w:val="0"/>
                      <w:color w:val="auto"/>
                      <w:szCs w:val="21"/>
                    </w:rPr>
                    <w:t>厂外</w:t>
                  </w:r>
                  <w:r>
                    <w:rPr>
                      <w:rFonts w:hint="default" w:ascii="Times New Roman" w:hAnsi="Times New Roman" w:cs="Times New Roman"/>
                      <w:b w:val="0"/>
                      <w:bCs w:val="0"/>
                      <w:color w:val="auto"/>
                      <w:kern w:val="21"/>
                      <w:szCs w:val="21"/>
                    </w:rPr>
                    <w:t>负责原料、产品运输</w:t>
                  </w:r>
                  <w:r>
                    <w:rPr>
                      <w:rFonts w:hint="eastAsia" w:ascii="Times New Roman" w:hAnsi="Times New Roman" w:cs="Times New Roman"/>
                      <w:b w:val="0"/>
                      <w:bCs w:val="0"/>
                      <w:color w:val="auto"/>
                      <w:kern w:val="21"/>
                      <w:szCs w:val="21"/>
                    </w:rPr>
                    <w:t>的</w:t>
                  </w:r>
                  <w:r>
                    <w:rPr>
                      <w:rFonts w:hint="default" w:ascii="Times New Roman" w:hAnsi="Times New Roman" w:cs="Times New Roman"/>
                      <w:b w:val="0"/>
                      <w:bCs w:val="0"/>
                      <w:color w:val="auto"/>
                      <w:kern w:val="21"/>
                      <w:szCs w:val="21"/>
                    </w:rPr>
                    <w:t>车辆将使用国</w:t>
                  </w:r>
                  <w:r>
                    <w:rPr>
                      <w:rFonts w:hint="eastAsia" w:cs="Times New Roman"/>
                      <w:b w:val="0"/>
                      <w:bCs w:val="0"/>
                      <w:color w:val="auto"/>
                      <w:kern w:val="21"/>
                      <w:szCs w:val="21"/>
                      <w:lang w:val="en-US" w:eastAsia="zh-CN"/>
                    </w:rPr>
                    <w:t>五</w:t>
                  </w:r>
                  <w:r>
                    <w:rPr>
                      <w:rFonts w:hint="default" w:ascii="Times New Roman" w:hAnsi="Times New Roman" w:cs="Times New Roman"/>
                      <w:b w:val="0"/>
                      <w:bCs w:val="0"/>
                      <w:color w:val="auto"/>
                      <w:kern w:val="21"/>
                      <w:szCs w:val="21"/>
                    </w:rPr>
                    <w:t>排放标准重型载货车辆(含燃气)；</w:t>
                  </w:r>
                  <w:r>
                    <w:rPr>
                      <w:rFonts w:hint="default" w:ascii="Times New Roman" w:hAnsi="Times New Roman" w:cs="Times New Roman"/>
                    </w:rPr>
                    <w:t>本项目建成后厂区非道路移动机械将全部替换为国三以上排放标准机械。</w:t>
                  </w:r>
                </w:p>
                <w:p w14:paraId="5F7D67BA">
                  <w:pPr>
                    <w:keepNext w:val="0"/>
                    <w:keepLines w:val="0"/>
                    <w:suppressLineNumbers w:val="0"/>
                    <w:spacing w:before="0" w:beforeAutospacing="0" w:after="0" w:afterAutospacing="0"/>
                    <w:ind w:left="0" w:right="0"/>
                    <w:rPr>
                      <w:rFonts w:hint="default"/>
                      <w:b w:val="0"/>
                      <w:bCs w:val="0"/>
                    </w:rPr>
                  </w:pPr>
                  <w:r>
                    <w:rPr>
                      <w:rFonts w:hint="default" w:ascii="Times New Roman" w:hAnsi="Times New Roman" w:cs="Times New Roman"/>
                      <w:b w:val="0"/>
                      <w:bCs w:val="0"/>
                      <w:color w:val="auto"/>
                      <w:szCs w:val="21"/>
                      <w:lang w:val="en-US" w:eastAsia="zh-CN"/>
                    </w:rPr>
                    <w:t>水环境城镇生活污染重点管控区：1.</w:t>
                  </w:r>
                  <w:r>
                    <w:rPr>
                      <w:rFonts w:hint="eastAsia"/>
                      <w:b w:val="0"/>
                      <w:bCs w:val="0"/>
                      <w:color w:val="000000" w:themeColor="text1"/>
                      <w:sz w:val="21"/>
                      <w:szCs w:val="22"/>
                      <w:highlight w:val="none"/>
                      <w14:textFill>
                        <w14:solidFill>
                          <w14:schemeClr w14:val="tx1"/>
                        </w14:solidFill>
                      </w14:textFill>
                    </w:rPr>
                    <w:t>本项目生活污水经化粪池处理后排入</w:t>
                  </w:r>
                  <w:r>
                    <w:rPr>
                      <w:rFonts w:hint="eastAsia"/>
                      <w:b w:val="0"/>
                      <w:bCs w:val="0"/>
                      <w:color w:val="000000" w:themeColor="text1"/>
                      <w:sz w:val="21"/>
                      <w:szCs w:val="22"/>
                      <w:highlight w:val="none"/>
                      <w:lang w:val="en-US" w:eastAsia="zh-CN"/>
                      <w14:textFill>
                        <w14:solidFill>
                          <w14:schemeClr w14:val="tx1"/>
                        </w14:solidFill>
                      </w14:textFill>
                    </w:rPr>
                    <w:t>西安市第六污水处理厂，</w:t>
                  </w:r>
                  <w:r>
                    <w:rPr>
                      <w:rFonts w:hint="eastAsia"/>
                      <w:b w:val="0"/>
                      <w:bCs w:val="0"/>
                      <w:color w:val="000000" w:themeColor="text1"/>
                      <w:sz w:val="21"/>
                      <w:szCs w:val="22"/>
                      <w:highlight w:val="none"/>
                      <w14:textFill>
                        <w14:solidFill>
                          <w14:schemeClr w14:val="tx1"/>
                        </w14:solidFill>
                      </w14:textFill>
                    </w:rPr>
                    <w:t>污染物排放能够达到国家控制标准</w:t>
                  </w:r>
                  <w:r>
                    <w:rPr>
                      <w:rFonts w:hint="eastAsia"/>
                      <w:b w:val="0"/>
                      <w:bCs w:val="0"/>
                      <w:color w:val="000000" w:themeColor="text1"/>
                      <w:sz w:val="21"/>
                      <w:szCs w:val="22"/>
                      <w:highlight w:val="none"/>
                      <w:lang w:val="en-US" w:eastAsia="zh-CN"/>
                      <w14:textFill>
                        <w14:solidFill>
                          <w14:schemeClr w14:val="tx1"/>
                        </w14:solidFill>
                      </w14:textFill>
                    </w:rPr>
                    <w:t>。</w:t>
                  </w:r>
                </w:p>
              </w:tc>
              <w:tc>
                <w:tcPr>
                  <w:tcW w:w="178" w:type="pct"/>
                  <w:noWrap w:val="0"/>
                  <w:vAlign w:val="center"/>
                </w:tcPr>
                <w:p w14:paraId="48F18FA2">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r w14:paraId="258034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77" w:type="pct"/>
                  <w:vMerge w:val="continue"/>
                  <w:noWrap w:val="0"/>
                  <w:vAlign w:val="center"/>
                </w:tcPr>
                <w:p w14:paraId="432141D0">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353" w:type="pct"/>
                  <w:vMerge w:val="continue"/>
                  <w:noWrap w:val="0"/>
                  <w:vAlign w:val="center"/>
                </w:tcPr>
                <w:p w14:paraId="692A0BCF">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244" w:type="pct"/>
                  <w:vMerge w:val="continue"/>
                  <w:noWrap w:val="0"/>
                  <w:vAlign w:val="center"/>
                </w:tcPr>
                <w:p w14:paraId="49DEA1F4">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428" w:type="pct"/>
                  <w:vMerge w:val="continue"/>
                  <w:noWrap w:val="0"/>
                  <w:vAlign w:val="center"/>
                </w:tcPr>
                <w:p w14:paraId="55EABC73">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365" w:type="pct"/>
                  <w:vMerge w:val="continue"/>
                  <w:noWrap w:val="0"/>
                  <w:vAlign w:val="center"/>
                </w:tcPr>
                <w:p w14:paraId="6CD44A11">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p>
              </w:tc>
              <w:tc>
                <w:tcPr>
                  <w:tcW w:w="303" w:type="pct"/>
                  <w:noWrap w:val="0"/>
                  <w:vAlign w:val="center"/>
                </w:tcPr>
                <w:p w14:paraId="791658B8">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资源开发效率要求</w:t>
                  </w:r>
                </w:p>
              </w:tc>
              <w:tc>
                <w:tcPr>
                  <w:tcW w:w="1592" w:type="pct"/>
                  <w:noWrap w:val="0"/>
                  <w:vAlign w:val="center"/>
                </w:tcPr>
                <w:p w14:paraId="5B9EDCAA">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rPr>
                    <w:t>高污染燃料禁燃重点管控区：</w:t>
                  </w:r>
                </w:p>
                <w:p w14:paraId="2725E204">
                  <w:pPr>
                    <w:keepNext w:val="0"/>
                    <w:keepLines w:val="0"/>
                    <w:numPr>
                      <w:ilvl w:val="0"/>
                      <w:numId w:val="5"/>
                    </w:numPr>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lang w:val="en-US" w:eastAsia="zh-CN"/>
                    </w:rPr>
                  </w:pPr>
                  <w:r>
                    <w:rPr>
                      <w:rFonts w:hint="default" w:ascii="Times New Roman" w:hAnsi="Times New Roman" w:cs="Times New Roman"/>
                      <w:b w:val="0"/>
                      <w:bCs w:val="0"/>
                      <w:color w:val="auto"/>
                      <w:szCs w:val="21"/>
                      <w:lang w:val="en-US" w:eastAsia="zh-CN"/>
                    </w:rPr>
                    <w:t>禁止销售、使用高污染燃料。禁止新建、扩建燃用高污染燃料的设施。已建成的，应当在市人民政府规定的期限内停止使用或者改用天然气、页岩气、煤层气、液化石油气、干热岩、电、太阳能或者其他清洁能源。</w:t>
                  </w:r>
                </w:p>
                <w:p w14:paraId="3A1DCB39">
                  <w:pPr>
                    <w:keepNext w:val="0"/>
                    <w:keepLines w:val="0"/>
                    <w:numPr>
                      <w:ilvl w:val="0"/>
                      <w:numId w:val="5"/>
                    </w:numPr>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r>
                    <w:rPr>
                      <w:rFonts w:hint="default" w:ascii="Times New Roman" w:hAnsi="Times New Roman" w:cs="Times New Roman"/>
                      <w:b w:val="0"/>
                      <w:bCs w:val="0"/>
                      <w:color w:val="auto"/>
                      <w:szCs w:val="21"/>
                      <w:lang w:val="en-US" w:eastAsia="zh-CN"/>
                    </w:rPr>
                    <w:t>禁止燃放烟花爆竹。</w:t>
                  </w:r>
                </w:p>
              </w:tc>
              <w:tc>
                <w:tcPr>
                  <w:tcW w:w="450" w:type="pct"/>
                  <w:vMerge w:val="continue"/>
                  <w:noWrap w:val="0"/>
                  <w:vAlign w:val="center"/>
                </w:tcPr>
                <w:p w14:paraId="4136E69C">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b w:val="0"/>
                      <w:bCs w:val="0"/>
                      <w:color w:val="auto"/>
                      <w:szCs w:val="21"/>
                    </w:rPr>
                  </w:pPr>
                </w:p>
              </w:tc>
              <w:tc>
                <w:tcPr>
                  <w:tcW w:w="905" w:type="pct"/>
                  <w:noWrap w:val="0"/>
                  <w:vAlign w:val="center"/>
                </w:tcPr>
                <w:p w14:paraId="6D246A99">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b w:val="0"/>
                      <w:bCs w:val="0"/>
                      <w:color w:val="auto"/>
                      <w:szCs w:val="21"/>
                    </w:rPr>
                    <w:t>高污染燃料禁燃重点管控区：</w:t>
                  </w:r>
                  <w:r>
                    <w:rPr>
                      <w:rFonts w:hint="eastAsia" w:cs="Times New Roman"/>
                      <w:b w:val="0"/>
                      <w:bCs w:val="0"/>
                      <w:color w:val="auto"/>
                      <w:szCs w:val="21"/>
                      <w:lang w:val="en-US" w:eastAsia="zh-CN"/>
                    </w:rPr>
                    <w:t>1.</w:t>
                  </w:r>
                  <w:r>
                    <w:rPr>
                      <w:rFonts w:hint="eastAsia" w:ascii="Times New Roman" w:hAnsi="Times New Roman" w:cs="Times New Roman"/>
                      <w:b w:val="0"/>
                      <w:bCs w:val="0"/>
                      <w:color w:val="auto"/>
                      <w:szCs w:val="21"/>
                      <w:lang w:val="en-US" w:eastAsia="zh-CN"/>
                    </w:rPr>
                    <w:t>本项目不涉及</w:t>
                  </w:r>
                  <w:r>
                    <w:rPr>
                      <w:rFonts w:hint="default" w:ascii="Times New Roman" w:hAnsi="Times New Roman" w:cs="Times New Roman"/>
                      <w:b w:val="0"/>
                      <w:bCs w:val="0"/>
                      <w:color w:val="auto"/>
                      <w:szCs w:val="21"/>
                      <w:lang w:val="en-US" w:eastAsia="zh-CN"/>
                    </w:rPr>
                    <w:t>销售</w:t>
                  </w:r>
                  <w:r>
                    <w:rPr>
                      <w:rFonts w:hint="eastAsia" w:ascii="Times New Roman" w:hAnsi="Times New Roman" w:cs="Times New Roman"/>
                      <w:b w:val="0"/>
                      <w:bCs w:val="0"/>
                      <w:color w:val="auto"/>
                      <w:szCs w:val="21"/>
                      <w:lang w:val="en-US" w:eastAsia="zh-CN"/>
                    </w:rPr>
                    <w:t>及</w:t>
                  </w:r>
                  <w:r>
                    <w:rPr>
                      <w:rFonts w:hint="default" w:ascii="Times New Roman" w:hAnsi="Times New Roman" w:cs="Times New Roman"/>
                      <w:b w:val="0"/>
                      <w:bCs w:val="0"/>
                      <w:color w:val="auto"/>
                      <w:szCs w:val="21"/>
                      <w:lang w:val="en-US" w:eastAsia="zh-CN"/>
                    </w:rPr>
                    <w:t>使用高污染燃料。</w:t>
                  </w:r>
                  <w:r>
                    <w:rPr>
                      <w:rFonts w:hint="eastAsia" w:ascii="Times New Roman" w:hAnsi="Times New Roman" w:cs="Times New Roman"/>
                      <w:b w:val="0"/>
                      <w:bCs w:val="0"/>
                      <w:color w:val="auto"/>
                      <w:szCs w:val="21"/>
                      <w:lang w:val="en-US" w:eastAsia="zh-CN"/>
                    </w:rPr>
                    <w:t>2.本项目不涉及烟花爆竹。</w:t>
                  </w:r>
                </w:p>
              </w:tc>
              <w:tc>
                <w:tcPr>
                  <w:tcW w:w="178" w:type="pct"/>
                  <w:noWrap w:val="0"/>
                  <w:vAlign w:val="center"/>
                </w:tcPr>
                <w:p w14:paraId="23990C2A">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符合</w:t>
                  </w:r>
                </w:p>
              </w:tc>
            </w:tr>
          </w:tbl>
          <w:p w14:paraId="559A441E">
            <w:pPr>
              <w:pStyle w:val="66"/>
              <w:keepNext w:val="0"/>
              <w:keepLines w:val="0"/>
              <w:suppressLineNumbers w:val="0"/>
              <w:spacing w:before="0" w:beforeAutospacing="0" w:after="0" w:afterAutospacing="0" w:line="360" w:lineRule="auto"/>
              <w:ind w:left="0" w:right="0" w:firstLine="488"/>
              <w:jc w:val="left"/>
              <w:rPr>
                <w:rFonts w:hint="default" w:ascii="Times New Roman" w:hAnsi="Times New Roman" w:cs="Times New Roman"/>
                <w:color w:val="auto"/>
                <w:spacing w:val="2"/>
              </w:rPr>
            </w:pPr>
            <w:r>
              <w:rPr>
                <w:rFonts w:hint="default" w:ascii="Times New Roman" w:hAnsi="Times New Roman" w:cs="Times New Roman"/>
                <w:color w:val="auto"/>
                <w:spacing w:val="2"/>
              </w:rPr>
              <w:t>（3）“一说明”</w:t>
            </w:r>
          </w:p>
          <w:p w14:paraId="4C578F31">
            <w:pPr>
              <w:keepNext w:val="0"/>
              <w:keepLines w:val="0"/>
              <w:widowControl/>
              <w:suppressLineNumbers w:val="0"/>
              <w:spacing w:before="0" w:beforeAutospacing="0" w:after="0" w:afterAutospacing="0" w:line="360" w:lineRule="auto"/>
              <w:ind w:left="0" w:right="0" w:firstLine="488" w:firstLineChars="200"/>
              <w:rPr>
                <w:rFonts w:hint="default" w:ascii="Times New Roman" w:hAnsi="Times New Roman" w:cs="Times New Roman"/>
                <w:color w:val="auto"/>
                <w:spacing w:val="2"/>
                <w:sz w:val="24"/>
              </w:rPr>
            </w:pPr>
            <w:r>
              <w:rPr>
                <w:rFonts w:hint="default" w:ascii="Times New Roman" w:hAnsi="Times New Roman" w:cs="Times New Roman"/>
                <w:color w:val="auto"/>
                <w:spacing w:val="2"/>
                <w:sz w:val="24"/>
              </w:rPr>
              <w:t>本项目位于</w:t>
            </w:r>
            <w:r>
              <w:rPr>
                <w:rFonts w:hint="default" w:ascii="Times New Roman" w:hAnsi="Times New Roman" w:cs="Times New Roman"/>
                <w:color w:val="auto"/>
                <w:sz w:val="24"/>
              </w:rPr>
              <w:t>陕西省</w:t>
            </w:r>
            <w:r>
              <w:rPr>
                <w:rFonts w:hint="eastAsia" w:cs="Times New Roman"/>
                <w:color w:val="auto"/>
                <w:sz w:val="24"/>
                <w:lang w:val="en-US" w:eastAsia="zh-CN"/>
              </w:rPr>
              <w:t>西咸新区沣东新城</w:t>
            </w:r>
            <w:r>
              <w:rPr>
                <w:rFonts w:hint="default" w:ascii="Times New Roman" w:hAnsi="Times New Roman" w:cs="Times New Roman"/>
                <w:color w:val="auto"/>
                <w:spacing w:val="2"/>
                <w:sz w:val="24"/>
              </w:rPr>
              <w:t>，</w:t>
            </w:r>
            <w:r>
              <w:rPr>
                <w:rFonts w:hint="default" w:ascii="Times New Roman" w:hAnsi="Times New Roman" w:cs="Times New Roman"/>
                <w:color w:val="auto"/>
                <w:sz w:val="24"/>
              </w:rPr>
              <w:t>属于西安市生态环境管控单元分布示意图中的重点管控单元，所在管控单元面积</w:t>
            </w:r>
            <w:r>
              <w:rPr>
                <w:rFonts w:hint="eastAsia" w:cs="Times New Roman"/>
                <w:color w:val="auto"/>
                <w:sz w:val="24"/>
                <w:lang w:val="en-US" w:eastAsia="zh-CN"/>
              </w:rPr>
              <w:t>29076.67</w:t>
            </w:r>
            <w:r>
              <w:rPr>
                <w:rFonts w:hint="eastAsia" w:ascii="Times New Roman" w:hAnsi="Times New Roman" w:cs="Times New Roman"/>
                <w:color w:val="auto"/>
                <w:sz w:val="24"/>
              </w:rPr>
              <w:t>m</w:t>
            </w:r>
            <w:r>
              <w:rPr>
                <w:rFonts w:hint="eastAsia" w:ascii="Times New Roman" w:hAnsi="Times New Roman" w:cs="Times New Roman"/>
                <w:color w:val="auto"/>
                <w:sz w:val="24"/>
                <w:vertAlign w:val="superscript"/>
              </w:rPr>
              <w:t>2</w:t>
            </w:r>
            <w:r>
              <w:rPr>
                <w:rFonts w:hint="default" w:ascii="Times New Roman" w:hAnsi="Times New Roman" w:cs="Times New Roman"/>
                <w:color w:val="auto"/>
                <w:sz w:val="24"/>
              </w:rPr>
              <w:t>。本项目满足重点管控单元在空间布局约束、污染物排放管控、资源利用效率等管控要求。综上表所述，本项</w:t>
            </w:r>
            <w:r>
              <w:rPr>
                <w:rFonts w:hint="default" w:ascii="Times New Roman" w:hAnsi="Times New Roman" w:cs="Times New Roman"/>
                <w:color w:val="auto"/>
                <w:spacing w:val="2"/>
                <w:sz w:val="24"/>
              </w:rPr>
              <w:t>目符合《西安市生态环境分区管控准入清单》之中的各项要求。</w:t>
            </w:r>
          </w:p>
          <w:p w14:paraId="6A1CFAEE">
            <w:pPr>
              <w:keepNext w:val="0"/>
              <w:keepLines w:val="0"/>
              <w:numPr>
                <w:ilvl w:val="0"/>
                <w:numId w:val="6"/>
              </w:numPr>
              <w:suppressLineNumbers w:val="0"/>
              <w:autoSpaceDE w:val="0"/>
              <w:autoSpaceDN w:val="0"/>
              <w:adjustRightInd w:val="0"/>
              <w:snapToGrid w:val="0"/>
              <w:spacing w:before="0" w:beforeAutospacing="0" w:after="0" w:afterAutospacing="0" w:line="360" w:lineRule="auto"/>
              <w:ind w:left="0" w:right="0" w:firstLine="482" w:firstLineChars="200"/>
              <w:jc w:val="left"/>
              <w:outlineLvl w:val="1"/>
              <w:rPr>
                <w:rFonts w:hint="default" w:ascii="Times New Roman" w:hAnsi="Times New Roman" w:cs="Times New Roman"/>
                <w:b/>
                <w:bCs/>
                <w:color w:val="auto"/>
                <w:sz w:val="24"/>
              </w:rPr>
            </w:pPr>
            <w:r>
              <w:rPr>
                <w:rFonts w:hint="default" w:ascii="Times New Roman" w:hAnsi="Times New Roman" w:cs="Times New Roman"/>
                <w:b/>
                <w:bCs/>
                <w:color w:val="auto"/>
                <w:sz w:val="24"/>
              </w:rPr>
              <w:t>相关生态环境保护法律法规政策、生态环境保护规划的符合性分析</w:t>
            </w:r>
          </w:p>
          <w:p w14:paraId="1623486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表1-</w:t>
            </w:r>
            <w:r>
              <w:rPr>
                <w:rFonts w:hint="eastAsia" w:cs="Times New Roman"/>
                <w:b/>
                <w:bCs/>
                <w:color w:val="auto"/>
                <w:sz w:val="24"/>
                <w:lang w:val="en-US" w:eastAsia="zh-CN"/>
              </w:rPr>
              <w:t>4</w:t>
            </w:r>
            <w:r>
              <w:rPr>
                <w:rFonts w:hint="default" w:ascii="Times New Roman" w:hAnsi="Times New Roman" w:cs="Times New Roman"/>
                <w:b/>
                <w:bCs/>
                <w:color w:val="auto"/>
                <w:sz w:val="24"/>
              </w:rPr>
              <w:t xml:space="preserve">  与相关环保政策符合性分析</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54"/>
              <w:gridCol w:w="2267"/>
              <w:gridCol w:w="4871"/>
              <w:gridCol w:w="3139"/>
              <w:gridCol w:w="1046"/>
            </w:tblGrid>
            <w:tr w14:paraId="79DE907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4" w:hRule="atLeast"/>
                <w:jc w:val="center"/>
              </w:trPr>
              <w:tc>
                <w:tcPr>
                  <w:tcW w:w="312" w:type="pct"/>
                  <w:noWrap w:val="0"/>
                  <w:vAlign w:val="center"/>
                </w:tcPr>
                <w:p w14:paraId="3FDB762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序号</w:t>
                  </w:r>
                </w:p>
              </w:tc>
              <w:tc>
                <w:tcPr>
                  <w:tcW w:w="938" w:type="pct"/>
                  <w:noWrap w:val="0"/>
                  <w:vAlign w:val="center"/>
                </w:tcPr>
                <w:p w14:paraId="586A4F6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名称</w:t>
                  </w:r>
                </w:p>
              </w:tc>
              <w:tc>
                <w:tcPr>
                  <w:tcW w:w="2016" w:type="pct"/>
                  <w:noWrap w:val="0"/>
                  <w:vAlign w:val="center"/>
                </w:tcPr>
                <w:p w14:paraId="5C6F1E1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要求</w:t>
                  </w:r>
                </w:p>
              </w:tc>
              <w:tc>
                <w:tcPr>
                  <w:tcW w:w="1299" w:type="pct"/>
                  <w:noWrap w:val="0"/>
                  <w:vAlign w:val="center"/>
                </w:tcPr>
                <w:p w14:paraId="59FEAB9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本项目情况</w:t>
                  </w:r>
                </w:p>
              </w:tc>
              <w:tc>
                <w:tcPr>
                  <w:tcW w:w="433" w:type="pct"/>
                  <w:noWrap w:val="0"/>
                  <w:vAlign w:val="center"/>
                </w:tcPr>
                <w:p w14:paraId="2707575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符合性</w:t>
                  </w:r>
                </w:p>
              </w:tc>
            </w:tr>
            <w:tr w14:paraId="290F6A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12" w:type="pct"/>
                  <w:vMerge w:val="restart"/>
                  <w:noWrap w:val="0"/>
                  <w:vAlign w:val="center"/>
                </w:tcPr>
                <w:p w14:paraId="67E00A7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p>
              </w:tc>
              <w:tc>
                <w:tcPr>
                  <w:tcW w:w="938" w:type="pct"/>
                  <w:vMerge w:val="restart"/>
                  <w:noWrap w:val="0"/>
                  <w:vAlign w:val="center"/>
                </w:tcPr>
                <w:p w14:paraId="5FA2F52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关于印发《陕西省</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十四五</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生态环境保护规划》的通知（陕政办发〔2021〕25号）</w:t>
                  </w:r>
                </w:p>
              </w:tc>
              <w:tc>
                <w:tcPr>
                  <w:tcW w:w="2016" w:type="pct"/>
                  <w:noWrap w:val="0"/>
                  <w:vAlign w:val="center"/>
                </w:tcPr>
                <w:p w14:paraId="46EEB0DD">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促进产业结构转型升级。严格能耗、环保、质量、安全、技术等综合标准，以钢铁、煤炭、水泥、电解铝、平板玻璃等行业为重点，依法依规淘汰落后产能。以钢铁、煤炭、煤电等行业和领域为重点。</w:t>
                  </w:r>
                </w:p>
              </w:tc>
              <w:tc>
                <w:tcPr>
                  <w:tcW w:w="1299" w:type="pct"/>
                  <w:noWrap w:val="0"/>
                  <w:vAlign w:val="center"/>
                </w:tcPr>
                <w:p w14:paraId="718B7193">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highlight w:val="yellow"/>
                    </w:rPr>
                  </w:pPr>
                  <w:r>
                    <w:rPr>
                      <w:rFonts w:hint="default" w:ascii="Times New Roman" w:hAnsi="Times New Roman" w:cs="Times New Roman" w:eastAsiaTheme="minorEastAsia"/>
                      <w:sz w:val="21"/>
                      <w:szCs w:val="21"/>
                    </w:rPr>
                    <w:t>本项目不属于钢铁、煤炭、水泥、电解铝、平板玻璃等重点行业，不涉及淘汰落后产能。</w:t>
                  </w:r>
                </w:p>
              </w:tc>
              <w:tc>
                <w:tcPr>
                  <w:tcW w:w="433" w:type="pct"/>
                  <w:noWrap w:val="0"/>
                  <w:vAlign w:val="center"/>
                </w:tcPr>
                <w:p w14:paraId="2492AB5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相符</w:t>
                  </w:r>
                </w:p>
              </w:tc>
            </w:tr>
            <w:tr w14:paraId="19603F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47" w:hRule="atLeast"/>
                <w:jc w:val="center"/>
              </w:trPr>
              <w:tc>
                <w:tcPr>
                  <w:tcW w:w="312" w:type="pct"/>
                  <w:vMerge w:val="continue"/>
                  <w:noWrap w:val="0"/>
                  <w:vAlign w:val="center"/>
                </w:tcPr>
                <w:p w14:paraId="2319F20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00A6A0B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2016" w:type="pct"/>
                  <w:noWrap w:val="0"/>
                  <w:vAlign w:val="center"/>
                </w:tcPr>
                <w:p w14:paraId="6BC4885A">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提升能源结构清洁低碳水平。加快电源结构调整和布局优化，新增用电需求主要通过新能源电力保障，减少煤电占比。</w:t>
                  </w:r>
                </w:p>
              </w:tc>
              <w:tc>
                <w:tcPr>
                  <w:tcW w:w="1299" w:type="pct"/>
                  <w:noWrap w:val="0"/>
                  <w:vAlign w:val="center"/>
                </w:tcPr>
                <w:p w14:paraId="049D9E49">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highlight w:val="yellow"/>
                    </w:rPr>
                  </w:pPr>
                  <w:r>
                    <w:rPr>
                      <w:rFonts w:hint="default" w:ascii="Times New Roman" w:hAnsi="Times New Roman" w:cs="Times New Roman" w:eastAsiaTheme="minorEastAsia"/>
                      <w:sz w:val="21"/>
                      <w:szCs w:val="21"/>
                    </w:rPr>
                    <w:t>本项目运营期所用能源主要为电能，属于清洁能源。</w:t>
                  </w:r>
                </w:p>
              </w:tc>
              <w:tc>
                <w:tcPr>
                  <w:tcW w:w="433" w:type="pct"/>
                  <w:noWrap w:val="0"/>
                  <w:vAlign w:val="center"/>
                </w:tcPr>
                <w:p w14:paraId="34FAA05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相符</w:t>
                  </w:r>
                </w:p>
              </w:tc>
            </w:tr>
            <w:tr w14:paraId="77A35F6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62" w:hRule="atLeast"/>
                <w:jc w:val="center"/>
              </w:trPr>
              <w:tc>
                <w:tcPr>
                  <w:tcW w:w="312" w:type="pct"/>
                  <w:vMerge w:val="continue"/>
                  <w:noWrap w:val="0"/>
                  <w:vAlign w:val="center"/>
                </w:tcPr>
                <w:p w14:paraId="13FA5F8D">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26BC085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2016" w:type="pct"/>
                  <w:noWrap w:val="0"/>
                  <w:vAlign w:val="center"/>
                </w:tcPr>
                <w:p w14:paraId="25C07457">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完善绿色交通运输结构体系。全面实施国六排放标准，非道路移动柴油机械第四阶段排放标准，鼓励将老旧车辆和非道路移动机械替换为清洁能源车辆。</w:t>
                  </w:r>
                </w:p>
              </w:tc>
              <w:tc>
                <w:tcPr>
                  <w:tcW w:w="1299" w:type="pct"/>
                  <w:noWrap w:val="0"/>
                  <w:vAlign w:val="center"/>
                </w:tcPr>
                <w:p w14:paraId="5FE78AF0">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highlight w:val="yellow"/>
                    </w:rPr>
                  </w:pPr>
                  <w:r>
                    <w:rPr>
                      <w:rFonts w:hint="default" w:ascii="Times New Roman" w:hAnsi="Times New Roman" w:cs="Times New Roman" w:eastAsiaTheme="minorEastAsia"/>
                      <w:sz w:val="21"/>
                      <w:szCs w:val="21"/>
                    </w:rPr>
                    <w:t>本项目厂区运输车辆均为国五及以上排放标准，本项目建成后厂区非道路移动机械将全部替换为国三以上排放标准机械。</w:t>
                  </w:r>
                </w:p>
              </w:tc>
              <w:tc>
                <w:tcPr>
                  <w:tcW w:w="433" w:type="pct"/>
                  <w:noWrap w:val="0"/>
                  <w:vAlign w:val="center"/>
                </w:tcPr>
                <w:p w14:paraId="2F711D3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相符</w:t>
                  </w:r>
                </w:p>
              </w:tc>
            </w:tr>
            <w:tr w14:paraId="4F2DE8D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54" w:hRule="atLeast"/>
                <w:jc w:val="center"/>
              </w:trPr>
              <w:tc>
                <w:tcPr>
                  <w:tcW w:w="312" w:type="pct"/>
                  <w:vMerge w:val="restart"/>
                  <w:noWrap w:val="0"/>
                  <w:vAlign w:val="center"/>
                </w:tcPr>
                <w:p w14:paraId="3F863F5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w:t>
                  </w:r>
                </w:p>
              </w:tc>
              <w:tc>
                <w:tcPr>
                  <w:tcW w:w="938" w:type="pct"/>
                  <w:vMerge w:val="restart"/>
                  <w:noWrap w:val="0"/>
                  <w:vAlign w:val="center"/>
                </w:tcPr>
                <w:p w14:paraId="7CE675F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《陕西省大气污染防治条例》（2019修订）</w:t>
                  </w:r>
                </w:p>
              </w:tc>
              <w:tc>
                <w:tcPr>
                  <w:tcW w:w="2016" w:type="pct"/>
                  <w:noWrap w:val="0"/>
                  <w:vAlign w:val="center"/>
                </w:tcPr>
                <w:p w14:paraId="390D0B36">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新建、扩建、改建的建设项目，应当依法进行环境影响评价。</w:t>
                  </w:r>
                </w:p>
              </w:tc>
              <w:tc>
                <w:tcPr>
                  <w:tcW w:w="1299" w:type="pct"/>
                  <w:noWrap w:val="0"/>
                  <w:vAlign w:val="center"/>
                </w:tcPr>
                <w:p w14:paraId="2FB1529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本项目为扩建项目，环境影响评价工作正在进行</w:t>
                  </w:r>
                </w:p>
              </w:tc>
              <w:tc>
                <w:tcPr>
                  <w:tcW w:w="433" w:type="pct"/>
                  <w:noWrap w:val="0"/>
                  <w:vAlign w:val="center"/>
                </w:tcPr>
                <w:p w14:paraId="4B5B1C5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相符</w:t>
                  </w:r>
                </w:p>
              </w:tc>
            </w:tr>
            <w:tr w14:paraId="6A85A15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88" w:hRule="atLeast"/>
                <w:jc w:val="center"/>
              </w:trPr>
              <w:tc>
                <w:tcPr>
                  <w:tcW w:w="312" w:type="pct"/>
                  <w:vMerge w:val="continue"/>
                  <w:noWrap w:val="0"/>
                  <w:vAlign w:val="center"/>
                </w:tcPr>
                <w:p w14:paraId="112107F5">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1775CB4B">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70BB686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向大气排放工业废气、含有毒有害物质的大气污染物的企业事业单位，集中供热设施的运营单位，以及其他按照规定应当取得排污许可证方可排放大气污染物的企业事业单位，应当依法向县级以上生态环境行政主管部门申请排污许可证。</w:t>
                  </w:r>
                </w:p>
              </w:tc>
              <w:tc>
                <w:tcPr>
                  <w:tcW w:w="1299" w:type="pct"/>
                  <w:noWrap w:val="0"/>
                  <w:vAlign w:val="center"/>
                </w:tcPr>
                <w:p w14:paraId="4775DB5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企业已取得排污许可登记回执，待本项目建成后企业将重新申请排污手续。</w:t>
                  </w:r>
                </w:p>
              </w:tc>
              <w:tc>
                <w:tcPr>
                  <w:tcW w:w="433" w:type="pct"/>
                  <w:noWrap w:val="0"/>
                  <w:vAlign w:val="center"/>
                </w:tcPr>
                <w:p w14:paraId="270393A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相符</w:t>
                  </w:r>
                </w:p>
              </w:tc>
            </w:tr>
            <w:tr w14:paraId="585565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430" w:hRule="atLeast"/>
                <w:jc w:val="center"/>
              </w:trPr>
              <w:tc>
                <w:tcPr>
                  <w:tcW w:w="312" w:type="pct"/>
                  <w:vMerge w:val="continue"/>
                  <w:noWrap w:val="0"/>
                  <w:vAlign w:val="center"/>
                </w:tcPr>
                <w:p w14:paraId="680FD265">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46203A7C">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5D9DE8C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堆存、装卸、运输煤炭、水泥、石灰、石膏、砂土、垃圾等易产生扬尘的作业，应当采取遮盖、封闭、喷淋、围挡等措施，防止抛洒、扬尘。</w:t>
                  </w:r>
                </w:p>
              </w:tc>
              <w:tc>
                <w:tcPr>
                  <w:tcW w:w="1299" w:type="pct"/>
                  <w:noWrap w:val="0"/>
                  <w:vAlign w:val="center"/>
                </w:tcPr>
                <w:p w14:paraId="6BEDC82C">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本项目是在已经建成的车间内进行扩建，仅涉及设备安装、固定等简易操作，不涉及土方开挖、建筑施工、混凝土浇筑等，不涉及物料抛洒，不产生扬尘。</w:t>
                  </w:r>
                </w:p>
              </w:tc>
              <w:tc>
                <w:tcPr>
                  <w:tcW w:w="433" w:type="pct"/>
                  <w:noWrap w:val="0"/>
                  <w:vAlign w:val="center"/>
                </w:tcPr>
                <w:p w14:paraId="6298E1E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相符</w:t>
                  </w:r>
                </w:p>
              </w:tc>
            </w:tr>
            <w:tr w14:paraId="1C3942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097" w:hRule="atLeast"/>
                <w:jc w:val="center"/>
              </w:trPr>
              <w:tc>
                <w:tcPr>
                  <w:tcW w:w="312" w:type="pct"/>
                  <w:vMerge w:val="restart"/>
                  <w:noWrap w:val="0"/>
                  <w:vAlign w:val="center"/>
                </w:tcPr>
                <w:p w14:paraId="56C953D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w:t>
                  </w:r>
                </w:p>
              </w:tc>
              <w:tc>
                <w:tcPr>
                  <w:tcW w:w="938" w:type="pct"/>
                  <w:vMerge w:val="restart"/>
                  <w:noWrap w:val="0"/>
                  <w:vAlign w:val="center"/>
                </w:tcPr>
                <w:p w14:paraId="765F64E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《陕西省大气污染治理专项行动方案（2023-2027年）》（陕发〔2023〕4号）</w:t>
                  </w:r>
                </w:p>
              </w:tc>
              <w:tc>
                <w:tcPr>
                  <w:tcW w:w="2016" w:type="pct"/>
                  <w:noWrap w:val="0"/>
                  <w:vAlign w:val="center"/>
                </w:tcPr>
                <w:p w14:paraId="057A5E82">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产业发展结构调整。关中地区严禁新增钢铁、焦化、水泥熟料、平板玻璃、电解铝、氧化铝、煤化工产能，合理控制煤制油气产能规模，严控新增炼油产能。</w:t>
                  </w:r>
                </w:p>
              </w:tc>
              <w:tc>
                <w:tcPr>
                  <w:tcW w:w="1299" w:type="pct"/>
                  <w:noWrap w:val="0"/>
                  <w:vAlign w:val="center"/>
                </w:tcPr>
                <w:p w14:paraId="2593F9C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highlight w:val="yellow"/>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本项目为扩建项目，不属于钢铁、焦化、水泥熟料等上述禁止行业范围。</w:t>
                  </w:r>
                </w:p>
              </w:tc>
              <w:tc>
                <w:tcPr>
                  <w:tcW w:w="433" w:type="pct"/>
                  <w:noWrap w:val="0"/>
                  <w:vAlign w:val="center"/>
                </w:tcPr>
                <w:p w14:paraId="798A83A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相符</w:t>
                  </w:r>
                </w:p>
              </w:tc>
            </w:tr>
            <w:tr w14:paraId="0DE0AD4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312" w:type="pct"/>
                  <w:vMerge w:val="continue"/>
                  <w:noWrap w:val="0"/>
                  <w:vAlign w:val="center"/>
                </w:tcPr>
                <w:p w14:paraId="2ACCE28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2A5CCCE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16" w:type="pct"/>
                  <w:noWrap w:val="0"/>
                  <w:vAlign w:val="center"/>
                </w:tcPr>
                <w:p w14:paraId="1B4E0870">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关中地区市辖区及开发区范围内新、改、扩建涉气重点行业企业应达到环保绩效A级、绩效引领性水平，西安市、咸阳市、渭南市的其他区域应达到环保绩效B级及以上水平。</w:t>
                  </w:r>
                </w:p>
              </w:tc>
              <w:tc>
                <w:tcPr>
                  <w:tcW w:w="1299" w:type="pct"/>
                  <w:noWrap w:val="0"/>
                  <w:vAlign w:val="center"/>
                </w:tcPr>
                <w:p w14:paraId="4B265242">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bookmarkStart w:id="2" w:name="_Toc44493931"/>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重污染天气重点行业应急减排措施制定</w:t>
                  </w:r>
                  <w:bookmarkEnd w:id="2"/>
                  <w:bookmarkStart w:id="3" w:name="_Toc44493932"/>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技术指南</w:t>
                  </w:r>
                  <w:bookmarkEnd w:id="3"/>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（2020年修订版）》（环办大气函（2020）340号）中包装印刷行业包含国民经济行业分类（GB/T 4754</w:t>
                  </w:r>
                  <w:bookmarkStart w:id="4" w:name="_Hlk39672353"/>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bookmarkEnd w:id="4"/>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2017）中规定的包装装潢及其他印刷（C2319），本企业国民经济行业类别为C2312本册印制和C2320装订及印刷相关服务，本项目不包含在内，因此不属于</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涉气重点行业</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 xml:space="preserve"> </w:t>
                  </w:r>
                </w:p>
              </w:tc>
              <w:tc>
                <w:tcPr>
                  <w:tcW w:w="433" w:type="pct"/>
                  <w:noWrap w:val="0"/>
                  <w:vAlign w:val="center"/>
                </w:tcPr>
                <w:p w14:paraId="7D725BF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相符</w:t>
                  </w:r>
                </w:p>
              </w:tc>
            </w:tr>
            <w:tr w14:paraId="78DFFC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312" w:type="pct"/>
                  <w:vMerge w:val="continue"/>
                  <w:noWrap w:val="0"/>
                  <w:vAlign w:val="center"/>
                </w:tcPr>
                <w:p w14:paraId="70DCA74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2D0F53A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16" w:type="pct"/>
                  <w:noWrap w:val="0"/>
                  <w:vAlign w:val="center"/>
                </w:tcPr>
                <w:p w14:paraId="45F5680E">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新建挥发性有机物治理设施不再采用单一低温等离子、光氧化、光催化等治理技术，非水溶性挥发性有机物废气不再</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采</w:t>
                  </w:r>
                  <w:r>
                    <w:rPr>
                      <w:rFonts w:hint="default" w:ascii="Times New Roman" w:hAnsi="Times New Roman" w:cs="Times New Roman" w:eastAsiaTheme="minorEastAsia"/>
                      <w:color w:val="000000" w:themeColor="text1"/>
                      <w:sz w:val="21"/>
                      <w:szCs w:val="21"/>
                      <w14:textFill>
                        <w14:solidFill>
                          <w14:schemeClr w14:val="tx1"/>
                        </w14:solidFill>
                      </w14:textFill>
                    </w:rPr>
                    <w:t>用单一喷淋吸收方式处理。</w:t>
                  </w:r>
                </w:p>
              </w:tc>
              <w:tc>
                <w:tcPr>
                  <w:tcW w:w="1299" w:type="pct"/>
                  <w:noWrap w:val="0"/>
                  <w:vAlign w:val="center"/>
                </w:tcPr>
                <w:p w14:paraId="11E053E0">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本项目</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有机废气采用“集气罩+二级活性炭吸附+15米排气筒”处理达标排放。</w:t>
                  </w:r>
                </w:p>
              </w:tc>
              <w:tc>
                <w:tcPr>
                  <w:tcW w:w="433" w:type="pct"/>
                  <w:noWrap w:val="0"/>
                  <w:vAlign w:val="center"/>
                </w:tcPr>
                <w:p w14:paraId="2D1F0BC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相符</w:t>
                  </w:r>
                </w:p>
              </w:tc>
            </w:tr>
            <w:tr w14:paraId="35C237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0" w:hRule="atLeast"/>
                <w:jc w:val="center"/>
              </w:trPr>
              <w:tc>
                <w:tcPr>
                  <w:tcW w:w="312" w:type="pct"/>
                  <w:vMerge w:val="restart"/>
                  <w:noWrap w:val="0"/>
                  <w:vAlign w:val="center"/>
                </w:tcPr>
                <w:p w14:paraId="3A69D09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4</w:t>
                  </w:r>
                </w:p>
              </w:tc>
              <w:tc>
                <w:tcPr>
                  <w:tcW w:w="938" w:type="pct"/>
                  <w:vMerge w:val="restart"/>
                  <w:noWrap w:val="0"/>
                  <w:vAlign w:val="center"/>
                </w:tcPr>
                <w:p w14:paraId="0A1C3416">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14:textFill>
                        <w14:solidFill>
                          <w14:schemeClr w14:val="tx1"/>
                        </w14:solidFill>
                      </w14:textFill>
                    </w:rPr>
                    <w:t>《西安市</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14:textFill>
                        <w14:solidFill>
                          <w14:schemeClr w14:val="tx1"/>
                        </w14:solidFill>
                      </w14:textFill>
                    </w:rPr>
                    <w:t>十四五</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14:textFill>
                        <w14:solidFill>
                          <w14:schemeClr w14:val="tx1"/>
                        </w14:solidFill>
                      </w14:textFill>
                    </w:rPr>
                    <w:t>生态环境保护规划》</w:t>
                  </w:r>
                </w:p>
              </w:tc>
              <w:tc>
                <w:tcPr>
                  <w:tcW w:w="2016" w:type="pct"/>
                  <w:noWrap w:val="0"/>
                  <w:vAlign w:val="center"/>
                </w:tcPr>
                <w:p w14:paraId="4E93A3F1">
                  <w:pPr>
                    <w:keepNext w:val="0"/>
                    <w:keepLines w:val="0"/>
                    <w:suppressLineNumbers w:val="0"/>
                    <w:autoSpaceDE w:val="0"/>
                    <w:autoSpaceDN w:val="0"/>
                    <w:adjustRightInd w:val="0"/>
                    <w:snapToGrid w:val="0"/>
                    <w:spacing w:before="0" w:beforeAutospacing="0" w:after="0" w:afterAutospacing="0"/>
                    <w:ind w:left="0" w:leftChars="0" w:right="0" w:rightChars="0"/>
                    <w:jc w:val="both"/>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18"/>
                      <w:sz w:val="21"/>
                      <w:szCs w:val="21"/>
                      <w:highlight w:val="none"/>
                      <w:lang w:bidi="zh-CN"/>
                      <w14:textFill>
                        <w14:solidFill>
                          <w14:schemeClr w14:val="tx1"/>
                        </w14:solidFill>
                      </w14:textFill>
                    </w:rPr>
                    <w:t>强化VOCs综合整治。全面落实《挥发性有机物无组织排放控制标准》要求，引导企业加强对含VOCs物料的存储、转移和输送等环节的全方位密闭管理，以及对设备与管线组件泄漏、敞开液面逸散以及工艺过程等方面的全过程精细化管控，实现VOCs排放量明显下降。</w:t>
                  </w:r>
                </w:p>
              </w:tc>
              <w:tc>
                <w:tcPr>
                  <w:tcW w:w="1299" w:type="pct"/>
                  <w:noWrap w:val="0"/>
                  <w:vAlign w:val="center"/>
                </w:tcPr>
                <w:p w14:paraId="6210F6DE">
                  <w:pPr>
                    <w:pStyle w:val="7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本项目使用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水性油墨、植物型胶印油墨、</w:t>
                  </w:r>
                  <w:r>
                    <w:rPr>
                      <w:rFonts w:hint="default" w:ascii="Times New Roman" w:hAnsi="Times New Roman" w:cs="Times New Roman" w:eastAsiaTheme="minorEastAsia"/>
                      <w:color w:val="000000" w:themeColor="text1"/>
                      <w:sz w:val="21"/>
                      <w:szCs w:val="21"/>
                      <w14:textFill>
                        <w14:solidFill>
                          <w14:schemeClr w14:val="tx1"/>
                        </w14:solidFill>
                      </w14:textFill>
                    </w:rPr>
                    <w:t>低（无）VOCs含量的清洗剂</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油墨的储存在密闭的油墨桶中，采用管道进行密闭运输。有机废气采用“集气罩+二级活性炭吸附+15米排气筒”处理达标排放。</w:t>
                  </w:r>
                </w:p>
              </w:tc>
              <w:tc>
                <w:tcPr>
                  <w:tcW w:w="433" w:type="pct"/>
                  <w:noWrap w:val="0"/>
                  <w:vAlign w:val="center"/>
                </w:tcPr>
                <w:p w14:paraId="3FF5286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20F706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312" w:type="pct"/>
                  <w:vMerge w:val="continue"/>
                  <w:noWrap w:val="0"/>
                  <w:vAlign w:val="center"/>
                </w:tcPr>
                <w:p w14:paraId="17A75FA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p>
              </w:tc>
              <w:tc>
                <w:tcPr>
                  <w:tcW w:w="938" w:type="pct"/>
                  <w:vMerge w:val="continue"/>
                  <w:noWrap w:val="0"/>
                  <w:vAlign w:val="center"/>
                </w:tcPr>
                <w:p w14:paraId="35D8867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14:textFill>
                        <w14:solidFill>
                          <w14:schemeClr w14:val="tx1"/>
                        </w14:solidFill>
                      </w14:textFill>
                    </w:rPr>
                  </w:pPr>
                </w:p>
              </w:tc>
              <w:tc>
                <w:tcPr>
                  <w:tcW w:w="2016" w:type="pct"/>
                  <w:noWrap w:val="0"/>
                  <w:vAlign w:val="center"/>
                </w:tcPr>
                <w:p w14:paraId="74E6FF3F">
                  <w:pPr>
                    <w:keepNext w:val="0"/>
                    <w:keepLines w:val="0"/>
                    <w:suppressLineNumbers w:val="0"/>
                    <w:autoSpaceDE w:val="0"/>
                    <w:autoSpaceDN w:val="0"/>
                    <w:adjustRightInd w:val="0"/>
                    <w:snapToGrid w:val="0"/>
                    <w:spacing w:before="0" w:beforeAutospacing="0" w:after="0" w:afterAutospacing="0"/>
                    <w:ind w:left="0" w:leftChars="0" w:right="0" w:rightChars="0"/>
                    <w:jc w:val="both"/>
                    <w:rPr>
                      <w:rFonts w:hint="default" w:ascii="Times New Roman" w:hAnsi="Times New Roman" w:cs="Times New Roman" w:eastAsiaTheme="minorEastAsia"/>
                      <w:color w:val="000000" w:themeColor="text1"/>
                      <w:kern w:val="18"/>
                      <w:sz w:val="21"/>
                      <w:szCs w:val="21"/>
                      <w:highlight w:val="none"/>
                      <w:lang w:val="en-US" w:eastAsia="zh-CN" w:bidi="zh-CN"/>
                      <w14:textFill>
                        <w14:solidFill>
                          <w14:schemeClr w14:val="tx1"/>
                        </w14:solidFill>
                      </w14:textFill>
                    </w:rPr>
                  </w:pPr>
                  <w:r>
                    <w:rPr>
                      <w:rFonts w:hint="default" w:ascii="Times New Roman" w:hAnsi="Times New Roman" w:cs="Times New Roman" w:eastAsiaTheme="minorEastAsia"/>
                      <w:color w:val="000000" w:themeColor="text1"/>
                      <w:kern w:val="18"/>
                      <w:sz w:val="21"/>
                      <w:szCs w:val="21"/>
                      <w:highlight w:val="none"/>
                      <w:lang w:bidi="zh-CN"/>
                      <w14:textFill>
                        <w14:solidFill>
                          <w14:schemeClr w14:val="tx1"/>
                        </w14:solidFill>
                      </w14:textFill>
                    </w:rPr>
                    <w:t>加强噪声污染防治。工业企业噪声防治。加强工业噪声环境监管力度，严厉查处工业企业噪声排放超标扰民行为。</w:t>
                  </w:r>
                </w:p>
              </w:tc>
              <w:tc>
                <w:tcPr>
                  <w:tcW w:w="1299" w:type="pct"/>
                  <w:noWrap w:val="0"/>
                  <w:vAlign w:val="center"/>
                </w:tcPr>
                <w:p w14:paraId="04C956BD">
                  <w:pPr>
                    <w:pStyle w:val="7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default" w:ascii="Times New Roman" w:hAnsi="Times New Roman" w:cs="Times New Roman" w:eastAsiaTheme="minorEastAsia"/>
                      <w:color w:val="000000" w:themeColor="text1"/>
                      <w:kern w:val="18"/>
                      <w:sz w:val="21"/>
                      <w:szCs w:val="21"/>
                      <w:lang w:val="en-US" w:eastAsia="zh-CN" w:bidi="zh-CN"/>
                      <w14:textFill>
                        <w14:solidFill>
                          <w14:schemeClr w14:val="tx1"/>
                        </w14:solidFill>
                      </w14:textFill>
                    </w:rPr>
                  </w:pPr>
                  <w:r>
                    <w:rPr>
                      <w:rFonts w:hint="default" w:ascii="Times New Roman" w:hAnsi="Times New Roman" w:cs="Times New Roman" w:eastAsiaTheme="minorEastAsia"/>
                      <w:color w:val="000000" w:themeColor="text1"/>
                      <w:kern w:val="18"/>
                      <w:sz w:val="21"/>
                      <w:szCs w:val="21"/>
                      <w:highlight w:val="none"/>
                      <w:lang w:bidi="zh-CN"/>
                      <w14:textFill>
                        <w14:solidFill>
                          <w14:schemeClr w14:val="tx1"/>
                        </w14:solidFill>
                      </w14:textFill>
                    </w:rPr>
                    <w:t>本项目运营期设备噪声采用基础减震、厂房隔声等措施，可达标排放。</w:t>
                  </w:r>
                </w:p>
              </w:tc>
              <w:tc>
                <w:tcPr>
                  <w:tcW w:w="433" w:type="pct"/>
                  <w:noWrap w:val="0"/>
                  <w:vAlign w:val="center"/>
                </w:tcPr>
                <w:p w14:paraId="1098A78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40DC8D3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55" w:hRule="atLeast"/>
                <w:jc w:val="center"/>
              </w:trPr>
              <w:tc>
                <w:tcPr>
                  <w:tcW w:w="312" w:type="pct"/>
                  <w:vMerge w:val="restart"/>
                  <w:noWrap w:val="0"/>
                  <w:vAlign w:val="center"/>
                </w:tcPr>
                <w:p w14:paraId="6B60AFF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5</w:t>
                  </w:r>
                </w:p>
              </w:tc>
              <w:tc>
                <w:tcPr>
                  <w:tcW w:w="938" w:type="pct"/>
                  <w:vMerge w:val="restart"/>
                  <w:noWrap w:val="0"/>
                  <w:vAlign w:val="center"/>
                </w:tcPr>
                <w:p w14:paraId="6A0E265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《西安市大气污染治理专项行动方案（2023-2027年）》</w:t>
                  </w:r>
                </w:p>
              </w:tc>
              <w:tc>
                <w:tcPr>
                  <w:tcW w:w="2016" w:type="pct"/>
                  <w:noWrap w:val="0"/>
                  <w:vAlign w:val="center"/>
                </w:tcPr>
                <w:p w14:paraId="6B438890">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严格新改扩建涉气重点行业绩效评级限制条件。各区、开发区范围内新改扩建涉气重点行业企业应达到环保绩效A级、绩效引领性水平，周至县、蓝田县应达到环保绩效 B级及以上水平。</w:t>
                  </w:r>
                </w:p>
              </w:tc>
              <w:tc>
                <w:tcPr>
                  <w:tcW w:w="1299" w:type="pct"/>
                  <w:noWrap w:val="0"/>
                  <w:vAlign w:val="center"/>
                </w:tcPr>
                <w:p w14:paraId="7B7E775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《重污染天气重点行业应急减排措施制定技术指南（2020年修订版）》（环办大气函（2020）340号）中包装印刷行业包含国民经济行业分类（GB/T 4754-2017）中规定的包装装潢及其他印刷（C2319），本企业国民经济行业类别为C2312本册印制和C2320装订及印刷相关服务，本项目不包含在内，因此不属于</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涉气重点行业</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 xml:space="preserve"> </w:t>
                  </w:r>
                </w:p>
              </w:tc>
              <w:tc>
                <w:tcPr>
                  <w:tcW w:w="433" w:type="pct"/>
                  <w:noWrap w:val="0"/>
                  <w:vAlign w:val="center"/>
                </w:tcPr>
                <w:p w14:paraId="43D958F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7106C3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312" w:type="pct"/>
                  <w:vMerge w:val="continue"/>
                  <w:noWrap w:val="0"/>
                  <w:vAlign w:val="center"/>
                </w:tcPr>
                <w:p w14:paraId="1827A030">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56E7CE0B">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11738BC7">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持续推进老旧车辆及非道路移动机械淘汰。2023年底前完成企业内部国三及以下排放标准柴油货车和国一及以下排放标准非道路移动工程机械淘汰工作。2025年底前，全市淘汰国三及以下排放标准柴油货车，推进淘汰国一及以下排放标准非道路移动工程机械。2025年全市新能源和国六排放标准货车保有量占比不低于50%。</w:t>
                  </w:r>
                </w:p>
              </w:tc>
              <w:tc>
                <w:tcPr>
                  <w:tcW w:w="1299" w:type="pct"/>
                  <w:noWrap w:val="0"/>
                  <w:vAlign w:val="center"/>
                </w:tcPr>
                <w:p w14:paraId="0B15C344">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color w:val="auto"/>
                      <w:sz w:val="21"/>
                      <w:szCs w:val="21"/>
                    </w:rPr>
                    <w:t>本项目厂外</w:t>
                  </w:r>
                  <w:r>
                    <w:rPr>
                      <w:rFonts w:hint="default" w:ascii="Times New Roman" w:hAnsi="Times New Roman" w:cs="Times New Roman" w:eastAsiaTheme="minorEastAsia"/>
                      <w:b w:val="0"/>
                      <w:bCs w:val="0"/>
                      <w:color w:val="auto"/>
                      <w:kern w:val="21"/>
                      <w:sz w:val="21"/>
                      <w:szCs w:val="21"/>
                    </w:rPr>
                    <w:t>负责原料、产品运输的车辆将使用国</w:t>
                  </w:r>
                  <w:r>
                    <w:rPr>
                      <w:rFonts w:hint="default" w:ascii="Times New Roman" w:hAnsi="Times New Roman" w:cs="Times New Roman" w:eastAsiaTheme="minorEastAsia"/>
                      <w:b w:val="0"/>
                      <w:bCs w:val="0"/>
                      <w:color w:val="auto"/>
                      <w:kern w:val="21"/>
                      <w:sz w:val="21"/>
                      <w:szCs w:val="21"/>
                      <w:lang w:val="en-US" w:eastAsia="zh-CN"/>
                    </w:rPr>
                    <w:t>五</w:t>
                  </w:r>
                  <w:r>
                    <w:rPr>
                      <w:rFonts w:hint="default" w:ascii="Times New Roman" w:hAnsi="Times New Roman" w:cs="Times New Roman" w:eastAsiaTheme="minorEastAsia"/>
                      <w:b w:val="0"/>
                      <w:bCs w:val="0"/>
                      <w:color w:val="auto"/>
                      <w:kern w:val="21"/>
                      <w:sz w:val="21"/>
                      <w:szCs w:val="21"/>
                    </w:rPr>
                    <w:t>排放标准重型载货车辆(含燃气)；</w:t>
                  </w:r>
                  <w:r>
                    <w:rPr>
                      <w:rFonts w:hint="default" w:ascii="Times New Roman" w:hAnsi="Times New Roman" w:cs="Times New Roman" w:eastAsiaTheme="minorEastAsia"/>
                      <w:sz w:val="21"/>
                      <w:szCs w:val="21"/>
                    </w:rPr>
                    <w:t>本项目建成后企业将对厂区内非道路移动机械进行升级替换，将现有非道路移动机械全部更新为国三以上排放标准机械。</w:t>
                  </w:r>
                </w:p>
              </w:tc>
              <w:tc>
                <w:tcPr>
                  <w:tcW w:w="433" w:type="pct"/>
                  <w:noWrap w:val="0"/>
                  <w:vAlign w:val="center"/>
                </w:tcPr>
                <w:p w14:paraId="14AAB91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47C6C8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7656B95C">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5A312DE0">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7067AA92">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强化非道路移动机械排放控制区管控，到2025年，不符合</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双三标准</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的机械禁止使用，具备条件的可更换国四及以上标准的发动机。</w:t>
                  </w:r>
                </w:p>
              </w:tc>
              <w:tc>
                <w:tcPr>
                  <w:tcW w:w="1299" w:type="pct"/>
                  <w:noWrap w:val="0"/>
                  <w:vAlign w:val="center"/>
                </w:tcPr>
                <w:p w14:paraId="2EA92976">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本项目建成后企业将对厂区内非道路移动机械进行升级替换，将现有非道路移动机械全部更新为国三以上排放标准机械。</w:t>
                  </w:r>
                </w:p>
              </w:tc>
              <w:tc>
                <w:tcPr>
                  <w:tcW w:w="433" w:type="pct"/>
                  <w:noWrap w:val="0"/>
                  <w:vAlign w:val="center"/>
                </w:tcPr>
                <w:p w14:paraId="1F89528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6C06E4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4BA5CA8A">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54D62C3D">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2B6549A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持续推进重点企业门禁系统建设。督促指导企业落实重污染天气重点行业绩效分级技术指南要求，日运输车辆10辆次及以上的企业全部安装门禁系统。2023年底前完成60家企业门禁系统安装，2025年底前全部完成相关企业门禁系统安装。</w:t>
                  </w:r>
                </w:p>
              </w:tc>
              <w:tc>
                <w:tcPr>
                  <w:tcW w:w="1299" w:type="pct"/>
                  <w:noWrap w:val="0"/>
                  <w:vAlign w:val="center"/>
                </w:tcPr>
                <w:p w14:paraId="170E49AA">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企业</w:t>
                  </w:r>
                  <w:r>
                    <w:rPr>
                      <w:rFonts w:hint="default" w:ascii="Times New Roman" w:hAnsi="Times New Roman" w:cs="Times New Roman" w:eastAsiaTheme="minorEastAsia"/>
                      <w:sz w:val="21"/>
                      <w:szCs w:val="21"/>
                      <w:lang w:val="en-US" w:eastAsia="zh-CN"/>
                    </w:rPr>
                    <w:t>已</w:t>
                  </w:r>
                  <w:r>
                    <w:rPr>
                      <w:rFonts w:hint="default" w:ascii="Times New Roman" w:hAnsi="Times New Roman" w:cs="Times New Roman" w:eastAsiaTheme="minorEastAsia"/>
                      <w:sz w:val="21"/>
                      <w:szCs w:val="21"/>
                    </w:rPr>
                    <w:t>安装门禁系统，以监控运输车辆进出厂情况，并记录车辆进出台账。</w:t>
                  </w:r>
                </w:p>
              </w:tc>
              <w:tc>
                <w:tcPr>
                  <w:tcW w:w="433" w:type="pct"/>
                  <w:noWrap w:val="0"/>
                  <w:vAlign w:val="center"/>
                </w:tcPr>
                <w:p w14:paraId="76EFEBF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09BD72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772FF273">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296C04E9">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6F8E21F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强化涉活性炭VOCs处理工艺治理。深入开展简易低效挥发性有机物治理设施清理整治，组织开展涉活性炭挥发性有机物处理工艺专项整治行动，推广先进VOCs治理工艺，全面提升VOCs治理水平。</w:t>
                  </w:r>
                </w:p>
              </w:tc>
              <w:tc>
                <w:tcPr>
                  <w:tcW w:w="1299" w:type="pct"/>
                  <w:noWrap w:val="0"/>
                  <w:vAlign w:val="center"/>
                </w:tcPr>
                <w:p w14:paraId="7DF6F06B">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本项目</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有机废气采用“集气罩+二级活性炭吸附+15米排气筒”处理达标排放。</w:t>
                  </w:r>
                </w:p>
              </w:tc>
              <w:tc>
                <w:tcPr>
                  <w:tcW w:w="433" w:type="pct"/>
                  <w:noWrap w:val="0"/>
                  <w:vAlign w:val="center"/>
                </w:tcPr>
                <w:p w14:paraId="3DA6906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074FAEE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1B3535D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2D261159">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19E95F2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强化源头管控。严格落实国家和我省产业规划、产业政策、“三线一单”、规划环评等要求，深入开展我市区域空间生态环境评价工作，积极推行区域、规划环境影响评价，新改扩建化工、石化、建材、有色等项目的环境影响评价应满足区域和规划环评要求。</w:t>
                  </w:r>
                </w:p>
              </w:tc>
              <w:tc>
                <w:tcPr>
                  <w:tcW w:w="1299" w:type="pct"/>
                  <w:noWrap w:val="0"/>
                  <w:vAlign w:val="center"/>
                </w:tcPr>
                <w:p w14:paraId="0F87EAAA">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本项目为改扩建项目，将</w:t>
                  </w:r>
                  <w:r>
                    <w:rPr>
                      <w:rFonts w:hint="default" w:ascii="Times New Roman" w:hAnsi="Times New Roman" w:cs="Times New Roman" w:eastAsiaTheme="minorEastAsia"/>
                      <w:color w:val="000000" w:themeColor="text1"/>
                      <w:sz w:val="21"/>
                      <w:szCs w:val="21"/>
                      <w14:textFill>
                        <w14:solidFill>
                          <w14:schemeClr w14:val="tx1"/>
                        </w14:solidFill>
                      </w14:textFill>
                    </w:rPr>
                    <w:t>严格落实国家和我省产业规划、产业政策、“三线一单”、规划环评等要求</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环境影响评价满足区域和规划环评要求</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433" w:type="pct"/>
                  <w:noWrap w:val="0"/>
                  <w:vAlign w:val="center"/>
                </w:tcPr>
                <w:p w14:paraId="284C8EB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0FC127B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06" w:hRule="atLeast"/>
                <w:jc w:val="center"/>
              </w:trPr>
              <w:tc>
                <w:tcPr>
                  <w:tcW w:w="312" w:type="pct"/>
                  <w:vMerge w:val="restart"/>
                  <w:noWrap w:val="0"/>
                  <w:vAlign w:val="center"/>
                </w:tcPr>
                <w:p w14:paraId="70FFFF6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6</w:t>
                  </w:r>
                </w:p>
              </w:tc>
              <w:tc>
                <w:tcPr>
                  <w:tcW w:w="938" w:type="pct"/>
                  <w:vMerge w:val="restart"/>
                  <w:noWrap w:val="0"/>
                  <w:vAlign w:val="center"/>
                </w:tcPr>
                <w:p w14:paraId="7817955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《西咸新区大气污染治理专项行动方案（2023-2027年）》（陕西咸党发〔2023〕4 号）</w:t>
                  </w:r>
                </w:p>
              </w:tc>
              <w:tc>
                <w:tcPr>
                  <w:tcW w:w="2016" w:type="pct"/>
                  <w:noWrap w:val="0"/>
                  <w:vAlign w:val="center"/>
                </w:tcPr>
                <w:p w14:paraId="1389D78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严格新、改、扩建涉气重点行业绩效评级限制条件。新区范围内新、改、扩建涉气重点行业企业应达到环保绩效A级、绩效引领性水平。</w:t>
                  </w:r>
                </w:p>
              </w:tc>
              <w:tc>
                <w:tcPr>
                  <w:tcW w:w="1299" w:type="pct"/>
                  <w:noWrap w:val="0"/>
                  <w:vAlign w:val="center"/>
                </w:tcPr>
                <w:p w14:paraId="21072FB2">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《重污染天气重点行业应急减排措施制定技术指南（2020年修订版）》（环办大气函（2020）340号）中包装印刷行业包含国民经济行业分类（GB/T 4754-2017）中规定的包装装潢及其他印刷（C2319），本企业国民经济行业类别为C2312本册印制和C2320装订及印刷相关服务，本项目不包含在内，因此不属于</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涉气重点行业</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p>
              </w:tc>
              <w:tc>
                <w:tcPr>
                  <w:tcW w:w="433" w:type="pct"/>
                  <w:noWrap w:val="0"/>
                  <w:vAlign w:val="center"/>
                </w:tcPr>
                <w:p w14:paraId="7E4C593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lang w:val="en-US" w:eastAsia="zh-CN"/>
                    </w:rPr>
                    <w:t>相符</w:t>
                  </w:r>
                </w:p>
              </w:tc>
            </w:tr>
            <w:tr w14:paraId="3DFD56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06" w:hRule="atLeast"/>
                <w:jc w:val="center"/>
              </w:trPr>
              <w:tc>
                <w:tcPr>
                  <w:tcW w:w="312" w:type="pct"/>
                  <w:vMerge w:val="continue"/>
                  <w:noWrap w:val="0"/>
                  <w:vAlign w:val="center"/>
                </w:tcPr>
                <w:p w14:paraId="297A810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20D916D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p>
              </w:tc>
              <w:tc>
                <w:tcPr>
                  <w:tcW w:w="2016" w:type="pct"/>
                  <w:noWrap w:val="0"/>
                  <w:vAlign w:val="center"/>
                </w:tcPr>
                <w:p w14:paraId="2F75222A">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强化末端处理工艺治理。动态更新挥发性有机物治理设施台账，开展简易低效挥发性有机物治理设施清理整治、涉活性炭挥发性有机物处理工艺专项整治行动，强化挥发性有机物无组织排放整治，确保达到相关标准要求。新建项目不再采用低温等离子、光氧化、光催化等处理方式，非水溶性废气不再采用喷淋吸收方式处理。</w:t>
                  </w:r>
                </w:p>
              </w:tc>
              <w:tc>
                <w:tcPr>
                  <w:tcW w:w="1299" w:type="pct"/>
                  <w:noWrap w:val="0"/>
                  <w:vAlign w:val="center"/>
                </w:tcPr>
                <w:p w14:paraId="7E6BE6BA">
                  <w:pPr>
                    <w:keepNext w:val="0"/>
                    <w:keepLines w:val="0"/>
                    <w:suppressLineNumbers w:val="0"/>
                    <w:spacing w:before="0" w:beforeAutospacing="0" w:after="0" w:afterAutospacing="0"/>
                    <w:ind w:left="0" w:leftChars="0" w:right="0" w:rightChars="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本项目</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有机废气采用“集气罩+二级活性炭吸附+15米排气筒”处理达标排放。</w:t>
                  </w:r>
                </w:p>
              </w:tc>
              <w:tc>
                <w:tcPr>
                  <w:tcW w:w="433" w:type="pct"/>
                  <w:noWrap w:val="0"/>
                  <w:vAlign w:val="center"/>
                </w:tcPr>
                <w:p w14:paraId="3B49227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3FB8FA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06" w:hRule="atLeast"/>
                <w:jc w:val="center"/>
              </w:trPr>
              <w:tc>
                <w:tcPr>
                  <w:tcW w:w="312" w:type="pct"/>
                  <w:noWrap w:val="0"/>
                  <w:vAlign w:val="center"/>
                </w:tcPr>
                <w:p w14:paraId="075709E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7</w:t>
                  </w:r>
                </w:p>
              </w:tc>
              <w:tc>
                <w:tcPr>
                  <w:tcW w:w="938" w:type="pct"/>
                  <w:noWrap w:val="0"/>
                  <w:vAlign w:val="center"/>
                </w:tcPr>
                <w:p w14:paraId="74CD810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西咸新区“</w:t>
                  </w:r>
                  <w:r>
                    <w:rPr>
                      <w:rFonts w:hint="default" w:ascii="Times New Roman" w:hAnsi="Times New Roman" w:cs="Times New Roman" w:eastAsiaTheme="minorEastAsia"/>
                      <w:color w:val="000000" w:themeColor="text1"/>
                      <w:sz w:val="21"/>
                      <w:szCs w:val="21"/>
                      <w:lang w:val="en-US"/>
                      <w14:textFill>
                        <w14:solidFill>
                          <w14:schemeClr w14:val="tx1"/>
                        </w14:solidFill>
                      </w14:textFill>
                    </w:rPr>
                    <w:t>十四五</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14:textFill>
                        <w14:solidFill>
                          <w14:schemeClr w14:val="tx1"/>
                        </w14:solidFill>
                      </w14:textFill>
                    </w:rPr>
                    <w:t>生态环境保护规划》</w:t>
                  </w:r>
                </w:p>
              </w:tc>
              <w:tc>
                <w:tcPr>
                  <w:tcW w:w="2016" w:type="pct"/>
                  <w:noWrap w:val="0"/>
                  <w:vAlign w:val="center"/>
                </w:tcPr>
                <w:p w14:paraId="0E47D315">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生产、销售和使用的涂料、油墨、胶粘剂和清洗剂等产品达到VOCs含量限值要求，将全面使用符合国家要求的低VOCs含量原辅材料的企业纳入正面清单和政府绿色采购清单，重点行业企业依法安装 VOCs在线监测设施并联网。</w:t>
                  </w:r>
                </w:p>
              </w:tc>
              <w:tc>
                <w:tcPr>
                  <w:tcW w:w="1299" w:type="pct"/>
                  <w:noWrap w:val="0"/>
                  <w:vAlign w:val="center"/>
                </w:tcPr>
                <w:p w14:paraId="19B09F0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本项目使用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水性油墨、植物型胶印油墨</w:t>
                  </w:r>
                  <w:r>
                    <w:rPr>
                      <w:rFonts w:hint="default" w:ascii="Times New Roman" w:hAnsi="Times New Roman" w:cs="Times New Roman" w:eastAsiaTheme="minorEastAsia"/>
                      <w:color w:val="000000" w:themeColor="text1"/>
                      <w:sz w:val="21"/>
                      <w:szCs w:val="21"/>
                      <w14:textFill>
                        <w14:solidFill>
                          <w14:schemeClr w14:val="tx1"/>
                        </w14:solidFill>
                      </w14:textFill>
                    </w:rPr>
                    <w:t>等低VOCs含量的涂料</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使用的清洁剂为无挥发清洁剂。</w:t>
                  </w:r>
                </w:p>
              </w:tc>
              <w:tc>
                <w:tcPr>
                  <w:tcW w:w="433" w:type="pct"/>
                  <w:noWrap w:val="0"/>
                  <w:vAlign w:val="center"/>
                </w:tcPr>
                <w:p w14:paraId="40CFC2E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2861FE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57" w:hRule="atLeast"/>
                <w:jc w:val="center"/>
              </w:trPr>
              <w:tc>
                <w:tcPr>
                  <w:tcW w:w="312" w:type="pct"/>
                  <w:vMerge w:val="restart"/>
                  <w:noWrap w:val="0"/>
                  <w:vAlign w:val="center"/>
                </w:tcPr>
                <w:p w14:paraId="6778D7D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8</w:t>
                  </w:r>
                </w:p>
              </w:tc>
              <w:tc>
                <w:tcPr>
                  <w:tcW w:w="938" w:type="pct"/>
                  <w:vMerge w:val="restart"/>
                  <w:noWrap w:val="0"/>
                  <w:vAlign w:val="center"/>
                </w:tcPr>
                <w:p w14:paraId="0129039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关于印发《</w:t>
                  </w:r>
                  <w:r>
                    <w:rPr>
                      <w:rFonts w:hint="default" w:ascii="Times New Roman" w:hAnsi="Times New Roman" w:cs="Times New Roman" w:eastAsiaTheme="minorEastAsia"/>
                      <w:sz w:val="21"/>
                      <w:szCs w:val="21"/>
                      <w:lang w:val="en-US" w:eastAsia="zh-CN"/>
                    </w:rPr>
                    <w:t>沣东</w:t>
                  </w:r>
                  <w:r>
                    <w:rPr>
                      <w:rFonts w:hint="default" w:ascii="Times New Roman" w:hAnsi="Times New Roman" w:cs="Times New Roman" w:eastAsiaTheme="minorEastAsia"/>
                      <w:sz w:val="21"/>
                      <w:szCs w:val="21"/>
                    </w:rPr>
                    <w:t>新城大气污染治理专项行动方案（2023-2027年）的通知》</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西咸沣东党发〔2023〕29号</w:t>
                  </w:r>
                  <w:r>
                    <w:rPr>
                      <w:rFonts w:hint="default" w:ascii="Times New Roman" w:hAnsi="Times New Roman" w:cs="Times New Roman" w:eastAsiaTheme="minorEastAsia"/>
                      <w:sz w:val="21"/>
                      <w:szCs w:val="21"/>
                      <w:lang w:eastAsia="zh-CN"/>
                    </w:rPr>
                    <w:t>）</w:t>
                  </w:r>
                </w:p>
              </w:tc>
              <w:tc>
                <w:tcPr>
                  <w:tcW w:w="2016" w:type="pct"/>
                  <w:noWrap w:val="0"/>
                  <w:vAlign w:val="center"/>
                </w:tcPr>
                <w:p w14:paraId="1568D8B9">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严格新、改、扩建涉气重点行业绩效评级限制条件。新城范围内新、改、扩建涉气重点行业企业应达到环保绩效A级、绩效引领性水平。</w:t>
                  </w:r>
                </w:p>
              </w:tc>
              <w:tc>
                <w:tcPr>
                  <w:tcW w:w="1299" w:type="pct"/>
                  <w:noWrap w:val="0"/>
                  <w:vAlign w:val="center"/>
                </w:tcPr>
                <w:p w14:paraId="12F77CB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《重污染天气重点行业应急减排措施制定技术指南（2020年修订版）》（环办大气函（2020）340号）中包装印刷行业包含国民经济行业分类（GB/T 4754-2017）中规定的包装装潢及其他印刷（C2319），本企业国民经济行业类别为C2312本册印制和C2320装订及印刷相关服务，本项目不包含在内，因此不属于</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涉气重点行业</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p>
              </w:tc>
              <w:tc>
                <w:tcPr>
                  <w:tcW w:w="433" w:type="pct"/>
                  <w:noWrap w:val="0"/>
                  <w:vAlign w:val="center"/>
                </w:tcPr>
                <w:p w14:paraId="3211D8C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2AF98B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2F19BA98">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3BEBF8EB">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60284074">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强化非道路移动机械排放区管控，到2025年，不符合第三阶段和在用非道路移动机械排放标准三类限值（</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双三标准</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）的机械禁止使用，具备条件的可更换国四及以上排放标准的发动机。</w:t>
                  </w:r>
                </w:p>
              </w:tc>
              <w:tc>
                <w:tcPr>
                  <w:tcW w:w="1299" w:type="pct"/>
                  <w:noWrap w:val="0"/>
                  <w:vAlign w:val="center"/>
                </w:tcPr>
                <w:p w14:paraId="160CC9AA">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本项目建成后企业将对厂区内非道路移动机械进行升级替换，将现有非道路移动机械全部更新为国三以上排放标准机械。</w:t>
                  </w:r>
                </w:p>
              </w:tc>
              <w:tc>
                <w:tcPr>
                  <w:tcW w:w="433" w:type="pct"/>
                  <w:noWrap w:val="0"/>
                  <w:vAlign w:val="center"/>
                </w:tcPr>
                <w:p w14:paraId="5546E18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22F7F3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491C945F">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938" w:type="pct"/>
                  <w:vMerge w:val="continue"/>
                  <w:noWrap w:val="0"/>
                  <w:vAlign w:val="center"/>
                </w:tcPr>
                <w:p w14:paraId="66747698">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7AC833A4">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持续推进重点企业门禁系统建设。督促指导企业落实重污染天气重点行业绩效分级技术指南要求，日运输车辆10辆次及以上的企业全部安装门禁系统。2025年底前全部完成相关企业门禁系统安装。</w:t>
                  </w:r>
                </w:p>
              </w:tc>
              <w:tc>
                <w:tcPr>
                  <w:tcW w:w="1299" w:type="pct"/>
                  <w:noWrap w:val="0"/>
                  <w:vAlign w:val="center"/>
                </w:tcPr>
                <w:p w14:paraId="5FC2EBD9">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企业</w:t>
                  </w:r>
                  <w:r>
                    <w:rPr>
                      <w:rFonts w:hint="default" w:ascii="Times New Roman" w:hAnsi="Times New Roman" w:cs="Times New Roman" w:eastAsiaTheme="minorEastAsia"/>
                      <w:sz w:val="21"/>
                      <w:szCs w:val="21"/>
                      <w:lang w:val="en-US" w:eastAsia="zh-CN"/>
                    </w:rPr>
                    <w:t>已</w:t>
                  </w:r>
                  <w:r>
                    <w:rPr>
                      <w:rFonts w:hint="default" w:ascii="Times New Roman" w:hAnsi="Times New Roman" w:cs="Times New Roman" w:eastAsiaTheme="minorEastAsia"/>
                      <w:sz w:val="21"/>
                      <w:szCs w:val="21"/>
                    </w:rPr>
                    <w:t>安装门禁系统，以监控运输车辆进出厂情况，并记录车辆进出台账。</w:t>
                  </w:r>
                </w:p>
              </w:tc>
              <w:tc>
                <w:tcPr>
                  <w:tcW w:w="433" w:type="pct"/>
                  <w:noWrap w:val="0"/>
                  <w:vAlign w:val="center"/>
                </w:tcPr>
                <w:p w14:paraId="659F10E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664E14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noWrap w:val="0"/>
                  <w:vAlign w:val="center"/>
                </w:tcPr>
                <w:p w14:paraId="3E33AAC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9</w:t>
                  </w:r>
                </w:p>
              </w:tc>
              <w:tc>
                <w:tcPr>
                  <w:tcW w:w="938" w:type="pct"/>
                  <w:noWrap w:val="0"/>
                  <w:vAlign w:val="center"/>
                </w:tcPr>
                <w:p w14:paraId="7C00119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《陕西省生态环境厅关于进一步加强关中地区涉气重点行业项目环评管理的通知》（陕环环评函〔2023〕76号）</w:t>
                  </w:r>
                </w:p>
              </w:tc>
              <w:tc>
                <w:tcPr>
                  <w:tcW w:w="2016" w:type="pct"/>
                  <w:noWrap w:val="0"/>
                  <w:vAlign w:val="center"/>
                </w:tcPr>
                <w:p w14:paraId="145BBBEE">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关中地区涉气重点行业项目范围为生态环境部确定的39个重点行业的新改扩建项目，涉及关中各市（区）辖区及开发区范围内的应达到环保绩效A级、绩效引领性水平要求，西安市、咸阳市、渭南市的其他区域应达到环保绩效B级及以上要求。</w:t>
                  </w:r>
                </w:p>
              </w:tc>
              <w:tc>
                <w:tcPr>
                  <w:tcW w:w="1299" w:type="pct"/>
                  <w:noWrap w:val="0"/>
                  <w:vAlign w:val="center"/>
                </w:tcPr>
                <w:p w14:paraId="15AE92C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《重污染天气重点行业应急减排措施制定技术指南（2020年修订版）》（环办大气函（2020）340号）中包装印刷行业包含国民经济行业分类（GB/T 4754-2017）中规定的包装装潢及其他印刷（C2319），本企业国民经济行业类别为C2312本册印制和C2320装订及印刷相关服务，本项目不包含在内，因此不属于</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涉气重点行业</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p>
              </w:tc>
              <w:tc>
                <w:tcPr>
                  <w:tcW w:w="433" w:type="pct"/>
                  <w:noWrap w:val="0"/>
                  <w:vAlign w:val="center"/>
                </w:tcPr>
                <w:p w14:paraId="1E24D53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0D05BAA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restart"/>
                  <w:noWrap w:val="0"/>
                  <w:vAlign w:val="center"/>
                </w:tcPr>
                <w:p w14:paraId="3FBD81A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10</w:t>
                  </w:r>
                </w:p>
              </w:tc>
              <w:tc>
                <w:tcPr>
                  <w:tcW w:w="938" w:type="pct"/>
                  <w:vMerge w:val="restart"/>
                  <w:noWrap w:val="0"/>
                  <w:vAlign w:val="center"/>
                </w:tcPr>
                <w:p w14:paraId="2B62A9D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《非道路移动机械污染防治技术政策》（公告2018年 第34号）</w:t>
                  </w:r>
                </w:p>
              </w:tc>
              <w:tc>
                <w:tcPr>
                  <w:tcW w:w="2016" w:type="pct"/>
                  <w:noWrap w:val="0"/>
                  <w:vAlign w:val="center"/>
                </w:tcPr>
                <w:p w14:paraId="431B277A">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加强在用非道路移动机械的排放检测和维修。加强非道路移动机械的维修、保养，使其保持良好的技术状态。加强对非道路移动机械排放检测能力的建设；经检测排放不达标的非道路移动机械，应强制进行维修、保养，保证非道路移动机械及其污染控制装置处于正常技术状态。</w:t>
                  </w:r>
                </w:p>
              </w:tc>
              <w:tc>
                <w:tcPr>
                  <w:tcW w:w="1299" w:type="pct"/>
                  <w:noWrap w:val="0"/>
                  <w:vAlign w:val="center"/>
                </w:tcPr>
                <w:p w14:paraId="488993CC">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本项目建成后将对厂区内非道路移动机械进行升级替换，全部更新为国三以上排放标准机械，并定期进行保养和维修，保证其良好运行状态。</w:t>
                  </w:r>
                </w:p>
              </w:tc>
              <w:tc>
                <w:tcPr>
                  <w:tcW w:w="433" w:type="pct"/>
                  <w:noWrap w:val="0"/>
                  <w:vAlign w:val="center"/>
                </w:tcPr>
                <w:p w14:paraId="568B54D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3C45E42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10DD74B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3A102028">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p>
              </w:tc>
              <w:tc>
                <w:tcPr>
                  <w:tcW w:w="2016" w:type="pct"/>
                  <w:noWrap w:val="0"/>
                  <w:vAlign w:val="center"/>
                </w:tcPr>
                <w:p w14:paraId="2D634556">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加强非道路移动机械的噪声控制。禁止任何单位或个人擅自拆除弃用非道路移动机械的消声、隔声和吸声装置，加强对噪声控制装置的维护保养。</w:t>
                  </w:r>
                </w:p>
              </w:tc>
              <w:tc>
                <w:tcPr>
                  <w:tcW w:w="1299" w:type="pct"/>
                  <w:noWrap w:val="0"/>
                  <w:vAlign w:val="center"/>
                </w:tcPr>
                <w:p w14:paraId="70AB8672">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本项目建成后将对厂区内非道路移动机械进行升级替换，全部更新为国三以上排放标准机械，并严格控制相关机械的噪声排放。</w:t>
                  </w:r>
                </w:p>
              </w:tc>
              <w:tc>
                <w:tcPr>
                  <w:tcW w:w="433" w:type="pct"/>
                  <w:noWrap w:val="0"/>
                  <w:vAlign w:val="center"/>
                </w:tcPr>
                <w:p w14:paraId="3218B67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5C812F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noWrap w:val="0"/>
                  <w:vAlign w:val="center"/>
                </w:tcPr>
                <w:p w14:paraId="2B5ABAC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11</w:t>
                  </w:r>
                </w:p>
              </w:tc>
              <w:tc>
                <w:tcPr>
                  <w:tcW w:w="938" w:type="pct"/>
                  <w:noWrap w:val="0"/>
                  <w:vAlign w:val="center"/>
                </w:tcPr>
                <w:p w14:paraId="57E9847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关于印发《</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十三五</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挥发性有机物污染防治工作方案》的通知（环大气[2017]121号）</w:t>
                  </w:r>
                </w:p>
              </w:tc>
              <w:tc>
                <w:tcPr>
                  <w:tcW w:w="2016" w:type="pct"/>
                  <w:noWrap w:val="0"/>
                  <w:vAlign w:val="center"/>
                </w:tcPr>
                <w:p w14:paraId="52184BC8">
                  <w:pPr>
                    <w:keepNext w:val="0"/>
                    <w:keepLines w:val="0"/>
                    <w:numPr>
                      <w:ilvl w:val="0"/>
                      <w:numId w:val="0"/>
                    </w:numPr>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1"/>
                      <w:szCs w:val="21"/>
                      <w14:textFill>
                        <w14:solidFill>
                          <w14:schemeClr w14:val="tx1"/>
                        </w14:solidFill>
                      </w14:textFill>
                    </w:rPr>
                    <w:t>深入推进包装印刷行业VOCs综合治理。</w:t>
                  </w:r>
                </w:p>
                <w:p w14:paraId="07FDCB10">
                  <w:pPr>
                    <w:keepNext w:val="0"/>
                    <w:keepLines w:val="0"/>
                    <w:numPr>
                      <w:ilvl w:val="0"/>
                      <w:numId w:val="0"/>
                    </w:numPr>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大力推广使用水性、大豆基、能量固化等低（无） VOCs 含量的油墨和低（无）VOCs含量的胶粘剂、清洗剂、润版液、洗车水、涂布液，到2019年底前，低（无）VOCs含量绿色原辅材料替代比例不低于60%。加强废气收集与处理。对油墨、胶粘剂等有机原辅材料调配和使用等，要采取车间环境负压改造、安装高效集气装置等措施，有机废气收集率达到70%以上。对转运、储存等，要采取密闭措施，减少无组织排放。</w:t>
                  </w:r>
                </w:p>
              </w:tc>
              <w:tc>
                <w:tcPr>
                  <w:tcW w:w="1299" w:type="pct"/>
                  <w:noWrap w:val="0"/>
                  <w:vAlign w:val="center"/>
                </w:tcPr>
                <w:p w14:paraId="7F72050E">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本项目使用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水性油墨、植物型胶印油墨、</w:t>
                  </w:r>
                  <w:r>
                    <w:rPr>
                      <w:rFonts w:hint="default" w:ascii="Times New Roman" w:hAnsi="Times New Roman" w:cs="Times New Roman" w:eastAsiaTheme="minorEastAsia"/>
                      <w:color w:val="000000" w:themeColor="text1"/>
                      <w:sz w:val="21"/>
                      <w:szCs w:val="21"/>
                      <w14:textFill>
                        <w14:solidFill>
                          <w14:schemeClr w14:val="tx1"/>
                        </w14:solidFill>
                      </w14:textFill>
                    </w:rPr>
                    <w:t>低（无）VOCs含量的清洗剂</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有机废气采用“集气罩+二级活性炭吸附+15米排气筒”处理达标排放，有机废气收集率达到85%。本项目油墨、胶粘剂等均为成品油墨和胶粘剂，无调配工序，油墨的储存在密闭的油墨桶中，采用管道进行密闭运输。</w:t>
                  </w:r>
                </w:p>
              </w:tc>
              <w:tc>
                <w:tcPr>
                  <w:tcW w:w="433" w:type="pct"/>
                  <w:noWrap w:val="0"/>
                  <w:vAlign w:val="center"/>
                </w:tcPr>
                <w:p w14:paraId="383804C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lang w:val="en-US" w:eastAsia="zh-CN"/>
                    </w:rPr>
                    <w:t>相符</w:t>
                  </w:r>
                </w:p>
              </w:tc>
            </w:tr>
            <w:tr w14:paraId="0187D97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noWrap w:val="0"/>
                  <w:vAlign w:val="center"/>
                </w:tcPr>
                <w:p w14:paraId="26E07D5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2</w:t>
                  </w:r>
                </w:p>
              </w:tc>
              <w:tc>
                <w:tcPr>
                  <w:tcW w:w="938" w:type="pct"/>
                  <w:noWrap w:val="0"/>
                  <w:vAlign w:val="center"/>
                </w:tcPr>
                <w:p w14:paraId="32401ED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《挥发性有机物（VOCs）污染防治技术政策》</w:t>
                  </w:r>
                </w:p>
              </w:tc>
              <w:tc>
                <w:tcPr>
                  <w:tcW w:w="2016" w:type="pct"/>
                  <w:noWrap w:val="0"/>
                  <w:vAlign w:val="center"/>
                </w:tcPr>
                <w:p w14:paraId="4B5F1E8B">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（十）在涂装、印刷、粘合、工业清洗等含VOCs产品的使用过程中的VOCs污染防治技术措施包括：</w:t>
                  </w:r>
                </w:p>
                <w:p w14:paraId="0C1594B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1.鼓励使用通过环境标志产品认证的环保型涂料、油墨、胶粘剂和清洗剂；</w:t>
                  </w:r>
                </w:p>
                <w:p w14:paraId="775EDB3C">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5.淘汰以三氟三氯乙烷、甲基氯仿和四氯化碳为清洗剂或溶剂的生产工艺。清洗过程中产生的废溶剂宜密闭收集，有回收价值的废溶剂经处理后回用，其他废溶剂应妥善处置；</w:t>
                  </w:r>
                </w:p>
                <w:p w14:paraId="4D65087A">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6.含VOCs产品的使用过程中，应采取废气收集措施，提高废气收集效率，减少废气的无组织排放与逸散，并对收集后的废气进行回收或处理后达标排放。</w:t>
                  </w:r>
                </w:p>
              </w:tc>
              <w:tc>
                <w:tcPr>
                  <w:tcW w:w="1299" w:type="pct"/>
                  <w:noWrap w:val="0"/>
                  <w:vAlign w:val="center"/>
                </w:tcPr>
                <w:p w14:paraId="639F76C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1、本项目所用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的水性油墨、胶印油墨、清洗剂</w:t>
                  </w:r>
                  <w:r>
                    <w:rPr>
                      <w:rFonts w:hint="default" w:ascii="Times New Roman" w:hAnsi="Times New Roman" w:cs="Times New Roman" w:eastAsiaTheme="minorEastAsia"/>
                      <w:color w:val="000000" w:themeColor="text1"/>
                      <w:sz w:val="21"/>
                      <w:szCs w:val="21"/>
                      <w14:textFill>
                        <w14:solidFill>
                          <w14:schemeClr w14:val="tx1"/>
                        </w14:solidFill>
                      </w14:textFill>
                    </w:rPr>
                    <w:t>等，均属于环保型</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材料。</w:t>
                  </w:r>
                </w:p>
                <w:p w14:paraId="6DD4B48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5、本项目不使用三氟三氯乙烷、甲基氯仿、四氯化碳等作为清洗剂</w:t>
                  </w:r>
                  <w:r>
                    <w:rPr>
                      <w:rFonts w:hint="default" w:ascii="Times New Roman" w:hAnsi="Times New Roman" w:cs="Times New Roman" w:eastAsiaTheme="minorEastAsia"/>
                      <w:color w:val="000000" w:themeColor="text1"/>
                      <w:sz w:val="21"/>
                      <w:szCs w:val="21"/>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使用的油墨清洗剂属于水基清洗剂</w:t>
                  </w:r>
                  <w:r>
                    <w:rPr>
                      <w:rFonts w:hint="default" w:ascii="Times New Roman" w:hAnsi="Times New Roman" w:cs="Times New Roman" w:eastAsiaTheme="minorEastAsia"/>
                      <w:color w:val="000000" w:themeColor="text1"/>
                      <w:sz w:val="21"/>
                      <w:szCs w:val="21"/>
                      <w:highlight w:val="none"/>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使</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用后的废清洗剂密闭收集，暂存于危废贮存间，定期交由有资质单位回收处置。</w:t>
                  </w:r>
                </w:p>
                <w:p w14:paraId="289AD18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6、本项目</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对</w:t>
                  </w:r>
                  <w:r>
                    <w:rPr>
                      <w:rFonts w:hint="default" w:ascii="Times New Roman" w:hAnsi="Times New Roman" w:cs="Times New Roman" w:eastAsiaTheme="minorEastAsia"/>
                      <w:color w:val="000000" w:themeColor="text1"/>
                      <w:sz w:val="21"/>
                      <w:szCs w:val="21"/>
                      <w14:textFill>
                        <w14:solidFill>
                          <w14:schemeClr w14:val="tx1"/>
                        </w14:solidFill>
                      </w14:textFill>
                    </w:rPr>
                    <w:t>产生的有机废气均进行收集处理后达标排放。</w:t>
                  </w:r>
                </w:p>
              </w:tc>
              <w:tc>
                <w:tcPr>
                  <w:tcW w:w="433" w:type="pct"/>
                  <w:noWrap w:val="0"/>
                  <w:vAlign w:val="center"/>
                </w:tcPr>
                <w:p w14:paraId="4AEB45C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0EB265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noWrap w:val="0"/>
                  <w:vAlign w:val="center"/>
                </w:tcPr>
                <w:p w14:paraId="752F36DA">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3</w:t>
                  </w:r>
                </w:p>
              </w:tc>
              <w:tc>
                <w:tcPr>
                  <w:tcW w:w="938" w:type="pct"/>
                  <w:noWrap w:val="0"/>
                  <w:vAlign w:val="center"/>
                </w:tcPr>
                <w:p w14:paraId="0D3B69F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关于印发《重点行业挥发性有机物综合治理方案》的通知（环大气[2019]53号）</w:t>
                  </w:r>
                </w:p>
              </w:tc>
              <w:tc>
                <w:tcPr>
                  <w:tcW w:w="2016" w:type="pct"/>
                  <w:noWrap w:val="0"/>
                  <w:vAlign w:val="center"/>
                </w:tcPr>
                <w:p w14:paraId="408BBCB0">
                  <w:pPr>
                    <w:keepNext w:val="0"/>
                    <w:keepLines w:val="0"/>
                    <w:numPr>
                      <w:ilvl w:val="0"/>
                      <w:numId w:val="7"/>
                    </w:numPr>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包装印刷行业VOCs综合治理。</w:t>
                  </w:r>
                </w:p>
                <w:p w14:paraId="4BB88072">
                  <w:pPr>
                    <w:keepNext w:val="0"/>
                    <w:keepLines w:val="0"/>
                    <w:numPr>
                      <w:ilvl w:val="0"/>
                      <w:numId w:val="0"/>
                    </w:numPr>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1"/>
                      <w:szCs w:val="21"/>
                      <w14:textFill>
                        <w14:solidFill>
                          <w14:schemeClr w14:val="tx1"/>
                        </w14:solidFill>
                      </w14:textFill>
                    </w:rPr>
                    <w:t>强化源头控制。塑料软包装印刷企业推广使用水醇性油墨、单一组分溶剂油墨，无溶剂复合技术、共挤出复合技术等，鼓励使用水性油墨、辐射固化油墨、紫外光固化光油、低（无）挥发和高沸点的清洁剂等。印铁企业加快推广使用辐射固化涂料、辐射固化油墨、紫外光固化光油。制罐企业推广使用水性油墨、水性涂料。鼓励包装印刷企业实施胶印、柔印等技术改造。</w:t>
                  </w:r>
                </w:p>
                <w:p w14:paraId="34F61533">
                  <w:pPr>
                    <w:keepNext w:val="0"/>
                    <w:keepLines w:val="0"/>
                    <w:numPr>
                      <w:ilvl w:val="0"/>
                      <w:numId w:val="0"/>
                    </w:numPr>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加强无组织排放控制。加强油墨、稀释剂、胶粘剂、涂布液、清洗剂等含VOCs物料储存、调配、输送、使用等工艺环节VOCs无组织逸散控制。含VOCs物料储存和输送过程应保持密闭。调配应在密闭装置或空间内进行并有效收集，非即用状态应加盖密封。</w:t>
                  </w:r>
                </w:p>
              </w:tc>
              <w:tc>
                <w:tcPr>
                  <w:tcW w:w="1299" w:type="pct"/>
                  <w:noWrap w:val="0"/>
                  <w:vAlign w:val="center"/>
                </w:tcPr>
                <w:p w14:paraId="4CAFDBA8">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本项目使用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水性油墨、植物型胶印油墨</w:t>
                  </w:r>
                  <w:r>
                    <w:rPr>
                      <w:rFonts w:hint="default" w:ascii="Times New Roman" w:hAnsi="Times New Roman" w:cs="Times New Roman" w:eastAsiaTheme="minorEastAsia"/>
                      <w:color w:val="000000" w:themeColor="text1"/>
                      <w:sz w:val="21"/>
                      <w:szCs w:val="21"/>
                      <w14:textFill>
                        <w14:solidFill>
                          <w14:schemeClr w14:val="tx1"/>
                        </w14:solidFill>
                      </w14:textFill>
                    </w:rPr>
                    <w:t>等低VOCs含量的涂料</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使用的清洁剂为无挥发清洁剂。</w:t>
                  </w:r>
                </w:p>
                <w:p w14:paraId="7813EEF8">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 xml:space="preserve"> </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本项目无油墨、稀释剂、胶粘剂、</w:t>
                  </w:r>
                  <w:r>
                    <w:rPr>
                      <w:rFonts w:hint="default" w:ascii="Times New Roman" w:hAnsi="Times New Roman" w:cs="Times New Roman" w:eastAsiaTheme="minorEastAsia"/>
                      <w:color w:val="000000" w:themeColor="text1"/>
                      <w:sz w:val="21"/>
                      <w:szCs w:val="21"/>
                      <w14:textFill>
                        <w14:solidFill>
                          <w14:schemeClr w14:val="tx1"/>
                        </w14:solidFill>
                      </w14:textFill>
                    </w:rPr>
                    <w:t>涂布液、清洗剂等含VOCs物料</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等调配工序，油墨的储存在密闭的油墨桶中，采用管道进行密闭运输。</w:t>
                  </w:r>
                </w:p>
              </w:tc>
              <w:tc>
                <w:tcPr>
                  <w:tcW w:w="433" w:type="pct"/>
                  <w:noWrap w:val="0"/>
                  <w:vAlign w:val="center"/>
                </w:tcPr>
                <w:p w14:paraId="21A7219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36338F7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2" w:hRule="atLeast"/>
                <w:jc w:val="center"/>
              </w:trPr>
              <w:tc>
                <w:tcPr>
                  <w:tcW w:w="312" w:type="pct"/>
                  <w:vMerge w:val="restart"/>
                  <w:noWrap w:val="0"/>
                  <w:vAlign w:val="center"/>
                </w:tcPr>
                <w:p w14:paraId="0E4D77F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4</w:t>
                  </w:r>
                </w:p>
              </w:tc>
              <w:tc>
                <w:tcPr>
                  <w:tcW w:w="938" w:type="pct"/>
                  <w:vMerge w:val="restart"/>
                  <w:noWrap w:val="0"/>
                  <w:vAlign w:val="center"/>
                </w:tcPr>
                <w:p w14:paraId="4EB7EF79">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西安市生态环境局西咸新区分局</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关于加强挥发性有机物活性炭吸附处理设施运行管理工作的通知</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（陕西咸环发[2023]1号）</w:t>
                  </w:r>
                </w:p>
              </w:tc>
              <w:tc>
                <w:tcPr>
                  <w:tcW w:w="2016" w:type="pct"/>
                  <w:noWrap w:val="0"/>
                  <w:vAlign w:val="center"/>
                </w:tcPr>
                <w:p w14:paraId="090C006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三、工作要求：</w:t>
                  </w:r>
                </w:p>
                <w:p w14:paraId="037FEB1B">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一）规范治理技术。涉气企业根据当前VOCs治理的法律法规、技术规范、政策文件等要求，选择合理的治理工艺。除恶臭异味治理外，淘汰单一使用低温等离子、光催化氧化、活性炭吸附棉、水喷淋等低效处理工艺或其组合工艺。</w:t>
                  </w:r>
                </w:p>
              </w:tc>
              <w:tc>
                <w:tcPr>
                  <w:tcW w:w="1299" w:type="pct"/>
                  <w:noWrap w:val="0"/>
                  <w:vAlign w:val="center"/>
                </w:tcPr>
                <w:p w14:paraId="42B8B20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本项目建成后将对厂区现有废气处理设施进行升级改造，</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改造</w:t>
                  </w:r>
                  <w:r>
                    <w:rPr>
                      <w:rFonts w:hint="default" w:ascii="Times New Roman" w:hAnsi="Times New Roman" w:cs="Times New Roman" w:eastAsiaTheme="minorEastAsia"/>
                      <w:color w:val="000000" w:themeColor="text1"/>
                      <w:sz w:val="21"/>
                      <w:szCs w:val="21"/>
                      <w14:textFill>
                        <w14:solidFill>
                          <w14:schemeClr w14:val="tx1"/>
                        </w14:solidFill>
                      </w14:textFill>
                    </w:rPr>
                    <w:t>为</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集气罩+二级活性炭吸附</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处理措施</w:t>
                  </w:r>
                  <w:r>
                    <w:rPr>
                      <w:rFonts w:hint="default" w:ascii="Times New Roman" w:hAnsi="Times New Roman" w:cs="Times New Roman" w:eastAsiaTheme="minorEastAsia"/>
                      <w:color w:val="000000" w:themeColor="text1"/>
                      <w:sz w:val="21"/>
                      <w:szCs w:val="21"/>
                      <w14:textFill>
                        <w14:solidFill>
                          <w14:schemeClr w14:val="tx1"/>
                        </w14:solidFill>
                      </w14:textFill>
                    </w:rPr>
                    <w:t xml:space="preserve">。 </w:t>
                  </w:r>
                </w:p>
              </w:tc>
              <w:tc>
                <w:tcPr>
                  <w:tcW w:w="433" w:type="pct"/>
                  <w:noWrap w:val="0"/>
                  <w:vAlign w:val="center"/>
                </w:tcPr>
                <w:p w14:paraId="78F1F0C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7C6C97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0A91856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060C015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2016" w:type="pct"/>
                  <w:noWrap w:val="0"/>
                  <w:vAlign w:val="center"/>
                </w:tcPr>
                <w:p w14:paraId="20DEEC06">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二）保证活性炭质量。企业购置活性炭必须提供活性炭检测报告，技术指标至少应包括水分含量、耐磨强度(颗粒活性炭)、抗压强度（蜂窝活性炭)、碘吸附值、四氯化碳吸附率、着火点等。活性炭技术指标应符合《工业有机废气净化用活性炭技术指标及试验方法》(LY/T3284）规定的优级活性炭指标要求。</w:t>
                  </w:r>
                </w:p>
              </w:tc>
              <w:tc>
                <w:tcPr>
                  <w:tcW w:w="1299" w:type="pct"/>
                  <w:noWrap w:val="0"/>
                  <w:vAlign w:val="center"/>
                </w:tcPr>
                <w:p w14:paraId="42094330">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本项目使用蜂窝活性炭，购买活性炭时，需要求厂家提供活性炭检测报告，使用符合《工业有机废气净化用活性炭技术指标及试验方法》（LY/T3284）规定的优级活性炭指标要求的活性炭。</w:t>
                  </w:r>
                </w:p>
              </w:tc>
              <w:tc>
                <w:tcPr>
                  <w:tcW w:w="433" w:type="pct"/>
                  <w:noWrap w:val="0"/>
                  <w:vAlign w:val="center"/>
                </w:tcPr>
                <w:p w14:paraId="4534D33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461F56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2BF14A1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5814150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2016" w:type="pct"/>
                  <w:noWrap w:val="0"/>
                  <w:vAlign w:val="center"/>
                </w:tcPr>
                <w:p w14:paraId="274426F5">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（五）严格控制无组织排放。涂料、稀释剂、固化剂、清洗剂、胶粘剂等VOCs物料应密闭储存。盛装 VOCs 物料的容器或包装袋应密闭储存于室内，或存放于设置有雨棚、遮阳和防渗设施的专用场地，非取用状态时应加盖、封口，保持封闭。含VOCs废料(渣、液）以及VOCs物料废包装物等属于危险废物的应密封储存于危废储存间。VOCs物料的调配过程应采用密闭设备或在密闭空间内操作，并设置专门的密闭调配间，调配废气应排至VOCs废气收集处理系统</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无法密闭的，应采取局部气体收集措施，废气应排至VOCs 废气收集处理系统。</w:t>
                  </w:r>
                </w:p>
              </w:tc>
              <w:tc>
                <w:tcPr>
                  <w:tcW w:w="1299" w:type="pct"/>
                  <w:noWrap w:val="0"/>
                  <w:vAlign w:val="center"/>
                </w:tcPr>
                <w:p w14:paraId="617D127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本项目所用</w:t>
                  </w:r>
                  <w:r>
                    <w:rPr>
                      <w:rFonts w:hint="default" w:ascii="Times New Roman" w:hAnsi="Times New Roman" w:cs="Times New Roman" w:eastAsiaTheme="minorEastAsia"/>
                      <w:sz w:val="21"/>
                      <w:szCs w:val="21"/>
                      <w:lang w:val="en-US" w:eastAsia="zh-CN"/>
                    </w:rPr>
                    <w:t>水性油墨、植物型胶印油墨</w:t>
                  </w:r>
                  <w:r>
                    <w:rPr>
                      <w:rFonts w:hint="default" w:ascii="Times New Roman" w:hAnsi="Times New Roman" w:cs="Times New Roman" w:eastAsiaTheme="minorEastAsia"/>
                      <w:sz w:val="21"/>
                      <w:szCs w:val="21"/>
                    </w:rPr>
                    <w:t>等VOCs物料储存于密闭容器内，密闭容器存放于原料仓库中，非取用状态下容器加盖封口，保持密闭。含VOCs危险废物密闭存放于危废贮存库，涉VOCs危险废物转移、储存过程中均处于密闭容器内，不会挥发产生有机废气。</w:t>
                  </w:r>
                </w:p>
              </w:tc>
              <w:tc>
                <w:tcPr>
                  <w:tcW w:w="433" w:type="pct"/>
                  <w:noWrap w:val="0"/>
                  <w:vAlign w:val="center"/>
                </w:tcPr>
                <w:p w14:paraId="5AB1EFD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249D3C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436F537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45B8DFE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2016" w:type="pct"/>
                  <w:noWrap w:val="0"/>
                  <w:vAlign w:val="center"/>
                </w:tcPr>
                <w:p w14:paraId="1495F15B">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（六）严格危废管理。产生废活性炭的企业，必须与有许可证的危废经营单位签订危废处置协议。</w:t>
                  </w:r>
                </w:p>
              </w:tc>
              <w:tc>
                <w:tcPr>
                  <w:tcW w:w="1299" w:type="pct"/>
                  <w:noWrap w:val="0"/>
                  <w:vAlign w:val="center"/>
                </w:tcPr>
                <w:p w14:paraId="3F42B3E3">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本项目所委托的危废处置单位拥有相关资质及许可证，属于合规单位。</w:t>
                  </w:r>
                </w:p>
              </w:tc>
              <w:tc>
                <w:tcPr>
                  <w:tcW w:w="433" w:type="pct"/>
                  <w:noWrap w:val="0"/>
                  <w:vAlign w:val="center"/>
                </w:tcPr>
                <w:p w14:paraId="5BC40A3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6B2D6D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7" w:hRule="atLeast"/>
                <w:jc w:val="center"/>
              </w:trPr>
              <w:tc>
                <w:tcPr>
                  <w:tcW w:w="312" w:type="pct"/>
                  <w:vMerge w:val="restart"/>
                  <w:noWrap w:val="0"/>
                  <w:vAlign w:val="center"/>
                </w:tcPr>
                <w:p w14:paraId="0348DB5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5</w:t>
                  </w:r>
                </w:p>
              </w:tc>
              <w:tc>
                <w:tcPr>
                  <w:tcW w:w="938" w:type="pct"/>
                  <w:vMerge w:val="restart"/>
                  <w:noWrap w:val="0"/>
                  <w:vAlign w:val="center"/>
                </w:tcPr>
                <w:p w14:paraId="07642086">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西安市空气质量达标规划</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（2023-2030年）</w:t>
                  </w:r>
                </w:p>
              </w:tc>
              <w:tc>
                <w:tcPr>
                  <w:tcW w:w="2016" w:type="pct"/>
                  <w:noWrap w:val="0"/>
                  <w:vAlign w:val="center"/>
                </w:tcPr>
                <w:p w14:paraId="4A721357">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四、主要任务和治理措施</w:t>
                  </w:r>
                </w:p>
                <w:p w14:paraId="4BF99688">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新建项目不再采用单一低温等离子、光氧化、光催化等治理技术，非水溶性VOCs废气不再采用单一喷淋吸收方式处理。严格新改扩建涉气重点行业绩效评级限制条件，各区县、开发区范围内新改扩建涉气重点行业企业应达到环保绩效A级、绩效引领性水平，周至县、蓝田县应达到环保绩效B级及以上水平。督促指导企业落实重污染天气重点行业绩效分级技术指南要求。</w:t>
                  </w:r>
                </w:p>
              </w:tc>
              <w:tc>
                <w:tcPr>
                  <w:tcW w:w="1299" w:type="pct"/>
                  <w:noWrap w:val="0"/>
                  <w:vAlign w:val="center"/>
                </w:tcPr>
                <w:p w14:paraId="7751DE31">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本项目建成后将对厂区现有废气处理设施进行升级改造，</w:t>
                  </w:r>
                  <w:r>
                    <w:rPr>
                      <w:rFonts w:hint="default" w:ascii="Times New Roman" w:hAnsi="Times New Roman" w:cs="Times New Roman" w:eastAsiaTheme="minorEastAsia"/>
                      <w:sz w:val="21"/>
                      <w:szCs w:val="21"/>
                      <w:lang w:val="en-US" w:eastAsia="zh-CN"/>
                    </w:rPr>
                    <w:t>对所有</w:t>
                  </w:r>
                  <w:r>
                    <w:rPr>
                      <w:rFonts w:hint="default" w:ascii="Times New Roman" w:hAnsi="Times New Roman" w:cs="Times New Roman" w:eastAsiaTheme="minorEastAsia"/>
                      <w:sz w:val="21"/>
                      <w:szCs w:val="21"/>
                    </w:rPr>
                    <w:t>VOCs废气</w:t>
                  </w:r>
                  <w:r>
                    <w:rPr>
                      <w:rFonts w:hint="default" w:ascii="Times New Roman" w:hAnsi="Times New Roman" w:cs="Times New Roman" w:eastAsiaTheme="minorEastAsia"/>
                      <w:sz w:val="21"/>
                      <w:szCs w:val="21"/>
                      <w:lang w:val="en-US" w:eastAsia="zh-CN"/>
                    </w:rPr>
                    <w:t>进行</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lang w:val="en-US" w:eastAsia="zh-CN"/>
                    </w:rPr>
                    <w:t>集气罩+</w:t>
                  </w:r>
                  <w:r>
                    <w:rPr>
                      <w:rFonts w:hint="default" w:ascii="Times New Roman" w:hAnsi="Times New Roman" w:cs="Times New Roman" w:eastAsiaTheme="minorEastAsia"/>
                      <w:color w:val="auto"/>
                      <w:sz w:val="21"/>
                      <w:szCs w:val="21"/>
                      <w:lang w:val="en-US" w:eastAsia="zh-CN"/>
                    </w:rPr>
                    <w:t>二级活性炭吸附+15米排气筒</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lang w:val="en-US" w:eastAsia="zh-CN"/>
                    </w:rPr>
                    <w:t>处理</w:t>
                  </w:r>
                  <w:r>
                    <w:rPr>
                      <w:rFonts w:hint="default" w:ascii="Times New Roman" w:hAnsi="Times New Roman" w:cs="Times New Roman" w:eastAsiaTheme="minorEastAsia"/>
                      <w:sz w:val="21"/>
                      <w:szCs w:val="21"/>
                    </w:rPr>
                    <w:t>。</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《重污染天气重点行业应急减排措施制定技术指南（2020年修订版）》（环办大气函（2020）340号）中包装印刷行业包含国民经济行业分类（GB/T 4754-2017）中规定的包装装潢及其他印刷（C2319），本企业国民经济行业类别为C2312本册印制和C2320装订及印刷相关服务，本项目不包含在内，因此不属于</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涉气重点行业</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p>
              </w:tc>
              <w:tc>
                <w:tcPr>
                  <w:tcW w:w="433" w:type="pct"/>
                  <w:noWrap w:val="0"/>
                  <w:vAlign w:val="center"/>
                </w:tcPr>
                <w:p w14:paraId="4AC9AE3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6820139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72925221">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6E854F8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2016" w:type="pct"/>
                  <w:noWrap w:val="0"/>
                  <w:vAlign w:val="center"/>
                </w:tcPr>
                <w:p w14:paraId="2BFC2ACC">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大力推进涉VOCs企业低挥发性原辅材料替代和污染治理设施升级改造，鼓励企业积极进行源头替代，推广使用低（无）挥发性有机物含量、低反应活性的原辅材料。现有工业涂装、包装印刷、汽车整车制造等重点涉VOCs行业企业要加快产品升级转型，制定工作计划，加大低VOCs含量原辅材料的源头替代力度，提高水性、高固体分、无溶剂、粉末等低VOCs含量产品的比重。深入开展重点行业工业企业环保绩效提升工作，逐步提高绩效分级B级及以上和引领性企业占比，推动重点行业头部企业、排放大户率先升级。2025年底前评定为环保绩效最低等级水平的涉气企业，由区县政府、开发区管委会依法依规处置。</w:t>
                  </w:r>
                </w:p>
              </w:tc>
              <w:tc>
                <w:tcPr>
                  <w:tcW w:w="1299" w:type="pct"/>
                  <w:noWrap w:val="0"/>
                  <w:vAlign w:val="center"/>
                </w:tcPr>
                <w:p w14:paraId="6300794D">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本项目所用</w:t>
                  </w:r>
                  <w:r>
                    <w:rPr>
                      <w:rFonts w:hint="default" w:ascii="Times New Roman" w:hAnsi="Times New Roman" w:cs="Times New Roman" w:eastAsiaTheme="minorEastAsia"/>
                      <w:sz w:val="21"/>
                      <w:szCs w:val="21"/>
                      <w:lang w:val="en-US" w:eastAsia="zh-CN"/>
                    </w:rPr>
                    <w:t>水性油墨、植物型胶印油墨</w:t>
                  </w:r>
                  <w:r>
                    <w:rPr>
                      <w:rFonts w:hint="default" w:ascii="Times New Roman" w:hAnsi="Times New Roman" w:cs="Times New Roman" w:eastAsiaTheme="minorEastAsia"/>
                      <w:sz w:val="21"/>
                      <w:szCs w:val="21"/>
                    </w:rPr>
                    <w:t>等皆为低VOCs含量</w:t>
                  </w:r>
                  <w:r>
                    <w:rPr>
                      <w:rFonts w:hint="default" w:ascii="Times New Roman" w:hAnsi="Times New Roman" w:cs="Times New Roman" w:eastAsiaTheme="minorEastAsia"/>
                      <w:sz w:val="21"/>
                      <w:szCs w:val="21"/>
                      <w:lang w:val="en-US" w:eastAsia="zh-CN"/>
                    </w:rPr>
                    <w:t>油墨</w:t>
                  </w:r>
                  <w:r>
                    <w:rPr>
                      <w:rFonts w:hint="default" w:ascii="Times New Roman" w:hAnsi="Times New Roman" w:cs="Times New Roman" w:eastAsiaTheme="minorEastAsia"/>
                      <w:sz w:val="21"/>
                      <w:szCs w:val="21"/>
                    </w:rPr>
                    <w:t>；</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《重污染天气重点行业应急减排措施制定技术指南（2020年修订版）》（环办大气函（2020）340号）中包装印刷行业包含国民经济行业分类（GB/T 4754-2017）中规定的包装装潢及其他印刷（C2319），本企业国民经济行业类别为C2312本册印制和C2320装订及印刷相关服务，本项目不包含在内，因此不属于</w:t>
                  </w:r>
                  <w:r>
                    <w:rPr>
                      <w:rFonts w:hint="default" w:ascii="Times New Roman" w:hAnsi="Times New Roman" w:cs="Times New Roman" w:eastAsiaTheme="minorEastAsia"/>
                      <w:color w:val="000000" w:themeColor="text1"/>
                      <w:sz w:val="21"/>
                      <w:szCs w:val="21"/>
                      <w:highlight w:val="none"/>
                      <w14:textFill>
                        <w14:solidFill>
                          <w14:schemeClr w14:val="tx1"/>
                        </w14:solidFill>
                      </w14:textFill>
                    </w:rPr>
                    <w:t>涉气重点行业</w:t>
                  </w: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w:t>
                  </w:r>
                </w:p>
              </w:tc>
              <w:tc>
                <w:tcPr>
                  <w:tcW w:w="433" w:type="pct"/>
                  <w:noWrap w:val="0"/>
                  <w:vAlign w:val="center"/>
                </w:tcPr>
                <w:p w14:paraId="335BC36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3BB0D43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6F63CFD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727896CC">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2016" w:type="pct"/>
                  <w:noWrap w:val="0"/>
                  <w:vAlign w:val="center"/>
                </w:tcPr>
                <w:p w14:paraId="5042FEB9">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3、推动能源清洁低碳转型。调整优化城市能源消费结构，扩大清洁能源使用范围，严格实施煤炭消费减量替代，实现煤炭消费总量负增长。</w:t>
                  </w:r>
                </w:p>
              </w:tc>
              <w:tc>
                <w:tcPr>
                  <w:tcW w:w="1299" w:type="pct"/>
                  <w:noWrap w:val="0"/>
                  <w:vAlign w:val="center"/>
                </w:tcPr>
                <w:p w14:paraId="68BEDA09">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本项目所用能源为电能</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属于清洁能源。</w:t>
                  </w:r>
                </w:p>
              </w:tc>
              <w:tc>
                <w:tcPr>
                  <w:tcW w:w="433" w:type="pct"/>
                  <w:noWrap w:val="0"/>
                  <w:vAlign w:val="center"/>
                </w:tcPr>
                <w:p w14:paraId="27EAB99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lang w:val="en-US" w:eastAsia="zh-CN"/>
                    </w:rPr>
                    <w:t>相符</w:t>
                  </w:r>
                </w:p>
              </w:tc>
            </w:tr>
            <w:tr w14:paraId="5023E73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noWrap w:val="0"/>
                  <w:vAlign w:val="center"/>
                </w:tcPr>
                <w:p w14:paraId="0BE433D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6</w:t>
                  </w:r>
                </w:p>
              </w:tc>
              <w:tc>
                <w:tcPr>
                  <w:tcW w:w="938" w:type="pct"/>
                  <w:noWrap w:val="0"/>
                  <w:vAlign w:val="center"/>
                </w:tcPr>
                <w:p w14:paraId="1A4D660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《环境保护综合名录（2021年版）》</w:t>
                  </w:r>
                </w:p>
              </w:tc>
              <w:tc>
                <w:tcPr>
                  <w:tcW w:w="2016" w:type="pct"/>
                  <w:noWrap w:val="0"/>
                  <w:vAlign w:val="center"/>
                </w:tcPr>
                <w:p w14:paraId="3A640F73">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高污染、高环境风险</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产品名录</w:t>
                  </w:r>
                </w:p>
              </w:tc>
              <w:tc>
                <w:tcPr>
                  <w:tcW w:w="1299" w:type="pct"/>
                  <w:noWrap w:val="0"/>
                  <w:vAlign w:val="center"/>
                </w:tcPr>
                <w:p w14:paraId="520E789C">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本项目不属于高污染、高环境风险企业。</w:t>
                  </w:r>
                </w:p>
              </w:tc>
              <w:tc>
                <w:tcPr>
                  <w:tcW w:w="433" w:type="pct"/>
                  <w:noWrap w:val="0"/>
                  <w:vAlign w:val="center"/>
                </w:tcPr>
                <w:p w14:paraId="743A858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1ACCE2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noWrap w:val="0"/>
                  <w:vAlign w:val="center"/>
                </w:tcPr>
                <w:p w14:paraId="403A3BB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7</w:t>
                  </w:r>
                </w:p>
              </w:tc>
              <w:tc>
                <w:tcPr>
                  <w:tcW w:w="938" w:type="pct"/>
                  <w:noWrap w:val="0"/>
                  <w:vAlign w:val="center"/>
                </w:tcPr>
                <w:p w14:paraId="3B9EF03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陕西省西咸新区开发建设管理委员会关于印发《西咸新区</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十四五</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生态环境保护规划》的通知（陕西咸发[2021]4号）</w:t>
                  </w:r>
                </w:p>
              </w:tc>
              <w:tc>
                <w:tcPr>
                  <w:tcW w:w="2016" w:type="pct"/>
                  <w:noWrap w:val="0"/>
                  <w:vAlign w:val="center"/>
                </w:tcPr>
                <w:p w14:paraId="44881388">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实施重点领域VOCs综合治理。</w:t>
                  </w:r>
                </w:p>
                <w:p w14:paraId="5C7C7A26">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建立石化、化工、工业涂装、包装印刷等重点行业及工业园区的源头替代、过程控制和末端治理全过程治理体系，实施VOCs排放总量控制。全面落实《挥发性有机物无组织排放控制标准》要求，加强含VOCs物料密闭管理。生产、销售和使用的涂料、油墨、胶黏剂和清洗剂等产品达到VOCs含量限值要求。将全面使用符合国家要求的低VOCs含量原辅材料的企业纳入正面清单和政府绿色采购清单，重点行业企业依法安装VOCs在线监测设施并联网。</w:t>
                  </w:r>
                </w:p>
              </w:tc>
              <w:tc>
                <w:tcPr>
                  <w:tcW w:w="1299" w:type="pct"/>
                  <w:noWrap w:val="0"/>
                  <w:vAlign w:val="center"/>
                </w:tcPr>
                <w:p w14:paraId="0D2EA04F">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本项目所用</w:t>
                  </w:r>
                  <w:r>
                    <w:rPr>
                      <w:rFonts w:hint="default" w:ascii="Times New Roman" w:hAnsi="Times New Roman" w:cs="Times New Roman" w:eastAsiaTheme="minorEastAsia"/>
                      <w:sz w:val="21"/>
                      <w:szCs w:val="21"/>
                      <w:lang w:val="en-US" w:eastAsia="zh-CN"/>
                    </w:rPr>
                    <w:t>油墨</w:t>
                  </w:r>
                  <w:r>
                    <w:rPr>
                      <w:rFonts w:hint="default" w:ascii="Times New Roman" w:hAnsi="Times New Roman" w:cs="Times New Roman" w:eastAsiaTheme="minorEastAsia"/>
                      <w:sz w:val="21"/>
                      <w:szCs w:val="21"/>
                    </w:rPr>
                    <w:t>符合国家标准的低VOCs含量</w:t>
                  </w:r>
                  <w:r>
                    <w:rPr>
                      <w:rFonts w:hint="default" w:ascii="Times New Roman" w:hAnsi="Times New Roman" w:cs="Times New Roman" w:eastAsiaTheme="minorEastAsia"/>
                      <w:sz w:val="21"/>
                      <w:szCs w:val="21"/>
                      <w:lang w:val="en-US" w:eastAsia="zh-CN"/>
                    </w:rPr>
                    <w:t>油墨</w:t>
                  </w:r>
                  <w:r>
                    <w:rPr>
                      <w:rFonts w:hint="default" w:ascii="Times New Roman" w:hAnsi="Times New Roman" w:cs="Times New Roman" w:eastAsiaTheme="minorEastAsia"/>
                      <w:sz w:val="21"/>
                      <w:szCs w:val="21"/>
                    </w:rPr>
                    <w:t>；本项目涉VOCs原辅料储存于密闭容器内。</w:t>
                  </w:r>
                </w:p>
              </w:tc>
              <w:tc>
                <w:tcPr>
                  <w:tcW w:w="433" w:type="pct"/>
                  <w:noWrap w:val="0"/>
                  <w:vAlign w:val="center"/>
                </w:tcPr>
                <w:p w14:paraId="40B8F68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0E1E35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restart"/>
                  <w:noWrap w:val="0"/>
                  <w:vAlign w:val="center"/>
                </w:tcPr>
                <w:p w14:paraId="37BD8B0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8</w:t>
                  </w:r>
                </w:p>
              </w:tc>
              <w:tc>
                <w:tcPr>
                  <w:tcW w:w="938" w:type="pct"/>
                  <w:vMerge w:val="restart"/>
                  <w:noWrap w:val="0"/>
                  <w:vAlign w:val="center"/>
                </w:tcPr>
                <w:p w14:paraId="542D985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《西安市挥发性有机物污染整治专项实施方案（2023-2027年）》</w:t>
                  </w:r>
                </w:p>
              </w:tc>
              <w:tc>
                <w:tcPr>
                  <w:tcW w:w="2016" w:type="pct"/>
                  <w:noWrap w:val="0"/>
                  <w:vAlign w:val="center"/>
                </w:tcPr>
                <w:p w14:paraId="0BCFCF85">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三、主要任务</w:t>
                  </w:r>
                </w:p>
                <w:p w14:paraId="342E7B8F">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（一）低效治理设施升级改造行动。组织开展企业VOCs治理设施排查，对涉及使用低温等离子、光氧化、光催化技术的废气治理设施，非水溶性 VOCs 废气采用单一喷淋吸收等治理技术，以及有机化工生产企业使用简易低效污染治理设施的，逐一进行排查。</w:t>
                  </w:r>
                </w:p>
              </w:tc>
              <w:tc>
                <w:tcPr>
                  <w:tcW w:w="1299" w:type="pct"/>
                  <w:noWrap w:val="0"/>
                  <w:vAlign w:val="center"/>
                </w:tcPr>
                <w:p w14:paraId="631049ED">
                  <w:pPr>
                    <w:keepNext w:val="0"/>
                    <w:keepLines w:val="0"/>
                    <w:suppressLineNumbers w:val="0"/>
                    <w:spacing w:before="0" w:beforeAutospacing="0" w:after="0" w:afterAutospacing="0"/>
                    <w:ind w:left="0" w:right="0"/>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本项目建成后将对厂区现有废气处理设施进行升级改造，</w:t>
                  </w:r>
                  <w:r>
                    <w:rPr>
                      <w:rFonts w:hint="default" w:ascii="Times New Roman" w:hAnsi="Times New Roman" w:cs="Times New Roman" w:eastAsiaTheme="minorEastAsia"/>
                      <w:sz w:val="21"/>
                      <w:szCs w:val="21"/>
                      <w:lang w:val="en-US" w:eastAsia="zh-CN"/>
                    </w:rPr>
                    <w:t>对所有</w:t>
                  </w:r>
                  <w:r>
                    <w:rPr>
                      <w:rFonts w:hint="default" w:ascii="Times New Roman" w:hAnsi="Times New Roman" w:cs="Times New Roman" w:eastAsiaTheme="minorEastAsia"/>
                      <w:sz w:val="21"/>
                      <w:szCs w:val="21"/>
                    </w:rPr>
                    <w:t>VOCs废气</w:t>
                  </w:r>
                  <w:r>
                    <w:rPr>
                      <w:rFonts w:hint="default" w:ascii="Times New Roman" w:hAnsi="Times New Roman" w:cs="Times New Roman" w:eastAsiaTheme="minorEastAsia"/>
                      <w:sz w:val="21"/>
                      <w:szCs w:val="21"/>
                      <w:lang w:val="en-US" w:eastAsia="zh-CN"/>
                    </w:rPr>
                    <w:t>进行</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lang w:val="en-US" w:eastAsia="zh-CN"/>
                    </w:rPr>
                    <w:t>集气罩+</w:t>
                  </w:r>
                  <w:r>
                    <w:rPr>
                      <w:rFonts w:hint="default" w:ascii="Times New Roman" w:hAnsi="Times New Roman" w:cs="Times New Roman" w:eastAsiaTheme="minorEastAsia"/>
                      <w:color w:val="auto"/>
                      <w:sz w:val="21"/>
                      <w:szCs w:val="21"/>
                      <w:lang w:val="en-US" w:eastAsia="zh-CN"/>
                    </w:rPr>
                    <w:t>二级活性炭吸附+15米排气筒</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lang w:val="en-US" w:eastAsia="zh-CN"/>
                    </w:rPr>
                    <w:t>处理</w:t>
                  </w:r>
                  <w:r>
                    <w:rPr>
                      <w:rFonts w:hint="default" w:ascii="Times New Roman" w:hAnsi="Times New Roman" w:cs="Times New Roman" w:eastAsiaTheme="minorEastAsia"/>
                      <w:sz w:val="21"/>
                      <w:szCs w:val="21"/>
                    </w:rPr>
                    <w:t xml:space="preserve">。 </w:t>
                  </w:r>
                </w:p>
              </w:tc>
              <w:tc>
                <w:tcPr>
                  <w:tcW w:w="433" w:type="pct"/>
                  <w:noWrap w:val="0"/>
                  <w:vAlign w:val="center"/>
                </w:tcPr>
                <w:p w14:paraId="3A0FBD1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726068A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534BCE80">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022EEFC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2016" w:type="pct"/>
                  <w:noWrap w:val="0"/>
                  <w:vAlign w:val="center"/>
                </w:tcPr>
                <w:p w14:paraId="629888F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（二）重点行业VOCs源头替代行动。生态环境部门做好溶剂型涂料、油墨、胶粘剂、清洗剂使用情况摸排并形成清单，工信部门督促清单内企业 2023 年内完成溶剂型涂料、油墨、胶粘剂、清洗剂原辅材料替代，工业涂装企业应使用低挥发性有机物含量的涂料，因特殊工艺要求等原因无法使用非溶剂型涂料、油墨、胶粘剂、清洗剂的企业，企业应出具行业内专家给出的意见并纳入台账。2025 年工业涂装企业完成清洁生产审核。</w:t>
                  </w:r>
                </w:p>
              </w:tc>
              <w:tc>
                <w:tcPr>
                  <w:tcW w:w="1299" w:type="pct"/>
                  <w:noWrap w:val="0"/>
                  <w:vAlign w:val="center"/>
                </w:tcPr>
                <w:p w14:paraId="7DEF9011">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本项目使用的植物型胶印油墨未检出挥发性有机化合物（</w:t>
                  </w:r>
                  <w:r>
                    <w:rPr>
                      <w:rFonts w:hint="default" w:ascii="Times New Roman" w:hAnsi="Times New Roman" w:cs="Times New Roman" w:eastAsiaTheme="minorEastAsia"/>
                      <w:color w:val="000000" w:themeColor="text1"/>
                      <w:sz w:val="21"/>
                      <w:szCs w:val="21"/>
                      <w14:textFill>
                        <w14:solidFill>
                          <w14:schemeClr w14:val="tx1"/>
                        </w14:solidFill>
                      </w14:textFill>
                    </w:rPr>
                    <w:t>VOCs</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），水性油墨中挥发性有机化合物（</w:t>
                  </w:r>
                  <w:r>
                    <w:rPr>
                      <w:rFonts w:hint="default" w:ascii="Times New Roman" w:hAnsi="Times New Roman" w:cs="Times New Roman" w:eastAsiaTheme="minorEastAsia"/>
                      <w:color w:val="000000" w:themeColor="text1"/>
                      <w:sz w:val="21"/>
                      <w:szCs w:val="21"/>
                      <w14:textFill>
                        <w14:solidFill>
                          <w14:schemeClr w14:val="tx1"/>
                        </w14:solidFill>
                      </w14:textFill>
                    </w:rPr>
                    <w:t>VOCs</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）含量为0.2%，符合</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油墨中可挥发性有机化合物</w:t>
                  </w:r>
                  <w:r>
                    <w:rPr>
                      <w:rFonts w:hint="default" w:ascii="Times New Roman" w:hAnsi="Times New Roman" w:cs="Times New Roman" w:eastAsiaTheme="minorEastAsia"/>
                      <w:color w:val="000000" w:themeColor="text1"/>
                      <w:sz w:val="21"/>
                      <w:szCs w:val="21"/>
                      <w14:textFill>
                        <w14:solidFill>
                          <w14:schemeClr w14:val="tx1"/>
                        </w14:solidFill>
                      </w14:textFill>
                    </w:rPr>
                    <w:t>VOCs</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含量的限值</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GB38507-2020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要求，属于</w:t>
                  </w:r>
                  <w:r>
                    <w:rPr>
                      <w:rFonts w:hint="default" w:ascii="Times New Roman" w:hAnsi="Times New Roman" w:cs="Times New Roman" w:eastAsiaTheme="minorEastAsia"/>
                      <w:color w:val="000000" w:themeColor="text1"/>
                      <w:sz w:val="21"/>
                      <w:szCs w:val="21"/>
                      <w14:textFill>
                        <w14:solidFill>
                          <w14:schemeClr w14:val="tx1"/>
                        </w14:solidFill>
                      </w14:textFill>
                    </w:rPr>
                    <w:t>低VOCs</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油墨</w:t>
                  </w:r>
                  <w:r>
                    <w:rPr>
                      <w:rFonts w:hint="default" w:ascii="Times New Roman" w:hAnsi="Times New Roman" w:cs="Times New Roman" w:eastAsiaTheme="minorEastAsia"/>
                      <w:color w:val="000000" w:themeColor="text1"/>
                      <w:sz w:val="21"/>
                      <w:szCs w:val="21"/>
                      <w14:textFill>
                        <w14:solidFill>
                          <w14:schemeClr w14:val="tx1"/>
                        </w14:solidFill>
                      </w14:textFill>
                    </w:rPr>
                    <w:t>。</w:t>
                  </w:r>
                </w:p>
              </w:tc>
              <w:tc>
                <w:tcPr>
                  <w:tcW w:w="433" w:type="pct"/>
                  <w:noWrap w:val="0"/>
                  <w:vAlign w:val="center"/>
                </w:tcPr>
                <w:p w14:paraId="6A00AB8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0DAA0AD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767" w:hRule="atLeast"/>
                <w:jc w:val="center"/>
              </w:trPr>
              <w:tc>
                <w:tcPr>
                  <w:tcW w:w="312" w:type="pct"/>
                  <w:vMerge w:val="continue"/>
                  <w:noWrap w:val="0"/>
                  <w:vAlign w:val="center"/>
                </w:tcPr>
                <w:p w14:paraId="440F020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938" w:type="pct"/>
                  <w:vMerge w:val="continue"/>
                  <w:noWrap w:val="0"/>
                  <w:vAlign w:val="center"/>
                </w:tcPr>
                <w:p w14:paraId="51A72B0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rPr>
                  </w:pPr>
                </w:p>
              </w:tc>
              <w:tc>
                <w:tcPr>
                  <w:tcW w:w="2016" w:type="pct"/>
                  <w:noWrap w:val="0"/>
                  <w:vAlign w:val="center"/>
                </w:tcPr>
                <w:p w14:paraId="522EA0B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（四）强化涉活性炭 VOCs 处理工艺治理。采用活性炭吸附技术的，其中颗粒碳碘吸附值不低于800mg/g 或四氯化碳吸附率不低于60%，蜂窝活性炭碘吸附值不低于600mg/g或四氯化碳吸附率不低于30%，按设计要求足量添加、定期更换，动态更新挥发性有机物治理设施台账。组织开展活性炭技术等 VOCs 治理设施排查，对达不到要求的，应当更换或升级改造，实现稳定达标排放。</w:t>
                  </w:r>
                </w:p>
              </w:tc>
              <w:tc>
                <w:tcPr>
                  <w:tcW w:w="1299" w:type="pct"/>
                  <w:noWrap w:val="0"/>
                  <w:vAlign w:val="center"/>
                </w:tcPr>
                <w:p w14:paraId="017DEBF4">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 xml:space="preserve">本项目采用蜂窝活性炭，项目运营期将严格把控活性炭质量，每次更换活性炭均要求厂家提供碘值检测报告并根据环保文件足量添加，及时更换，设置活性炭更换台账，以确保达标排放。 </w:t>
                  </w:r>
                </w:p>
              </w:tc>
              <w:tc>
                <w:tcPr>
                  <w:tcW w:w="433" w:type="pct"/>
                  <w:noWrap w:val="0"/>
                  <w:vAlign w:val="center"/>
                </w:tcPr>
                <w:p w14:paraId="7117A23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sz w:val="21"/>
                      <w:szCs w:val="21"/>
                    </w:rPr>
                    <w:t>相符</w:t>
                  </w:r>
                </w:p>
              </w:tc>
            </w:tr>
            <w:tr w14:paraId="203A36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7" w:hRule="atLeast"/>
                <w:jc w:val="center"/>
              </w:trPr>
              <w:tc>
                <w:tcPr>
                  <w:tcW w:w="312" w:type="pct"/>
                  <w:noWrap w:val="0"/>
                  <w:vAlign w:val="center"/>
                </w:tcPr>
                <w:p w14:paraId="206E279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19</w:t>
                  </w:r>
                </w:p>
              </w:tc>
              <w:tc>
                <w:tcPr>
                  <w:tcW w:w="938" w:type="pct"/>
                  <w:noWrap w:val="0"/>
                  <w:vAlign w:val="center"/>
                </w:tcPr>
                <w:p w14:paraId="7BE88104">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《挥发性有机物无组织排放控制标准》（GB37822-2019）</w:t>
                  </w:r>
                </w:p>
              </w:tc>
              <w:tc>
                <w:tcPr>
                  <w:tcW w:w="2016" w:type="pct"/>
                  <w:noWrap w:val="0"/>
                  <w:vAlign w:val="center"/>
                </w:tcPr>
                <w:p w14:paraId="553F13F6">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盛装 VOCs 物料的容器或包装袋应存放于室内，或存放于设置有雨棚、遮阳和防渗设施的专用场地。盛装 VOCs 物料的容器或包装袋在非取用状态时应加盖、封口，保持密闭</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；液态 VOCs 物料应采用密闭管道输送。采用非管道输送方式转移液态 VOC 物料时，应采用密闭容器、罐车。</w:t>
                  </w:r>
                </w:p>
              </w:tc>
              <w:tc>
                <w:tcPr>
                  <w:tcW w:w="1299" w:type="pct"/>
                  <w:noWrap w:val="0"/>
                  <w:vAlign w:val="center"/>
                </w:tcPr>
                <w:p w14:paraId="463D1BF9">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本项目所用</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水性油墨、植物型胶印油墨</w:t>
                  </w:r>
                  <w:r>
                    <w:rPr>
                      <w:rFonts w:hint="default" w:ascii="Times New Roman" w:hAnsi="Times New Roman" w:cs="Times New Roman" w:eastAsiaTheme="minorEastAsia"/>
                      <w:color w:val="000000" w:themeColor="text1"/>
                      <w:sz w:val="21"/>
                      <w:szCs w:val="21"/>
                      <w14:textFill>
                        <w14:solidFill>
                          <w14:schemeClr w14:val="tx1"/>
                        </w14:solidFill>
                      </w14:textFill>
                    </w:rPr>
                    <w:t>等VOCs物料储存于密闭容器内，密闭容器存放于原料仓库中，非取用状态下容器加盖封口，保持密闭</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14:textFill>
                        <w14:solidFill>
                          <w14:schemeClr w14:val="tx1"/>
                        </w14:solidFill>
                      </w14:textFill>
                    </w:rPr>
                    <w:t xml:space="preserve"> </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油墨的储存在密闭的油墨桶中，采用管道进行密闭运输。</w:t>
                  </w:r>
                </w:p>
              </w:tc>
              <w:tc>
                <w:tcPr>
                  <w:tcW w:w="433" w:type="pct"/>
                  <w:noWrap w:val="0"/>
                  <w:vAlign w:val="center"/>
                </w:tcPr>
                <w:p w14:paraId="6531088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相符</w:t>
                  </w:r>
                </w:p>
              </w:tc>
            </w:tr>
            <w:tr w14:paraId="55A37A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7" w:hRule="atLeast"/>
                <w:jc w:val="center"/>
              </w:trPr>
              <w:tc>
                <w:tcPr>
                  <w:tcW w:w="312" w:type="pct"/>
                  <w:noWrap w:val="0"/>
                  <w:vAlign w:val="center"/>
                </w:tcPr>
                <w:p w14:paraId="5C3AC10D">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20</w:t>
                  </w:r>
                </w:p>
              </w:tc>
              <w:tc>
                <w:tcPr>
                  <w:tcW w:w="938" w:type="pct"/>
                  <w:noWrap w:val="0"/>
                  <w:vAlign w:val="center"/>
                </w:tcPr>
                <w:p w14:paraId="228ECA3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《印刷工业大气污染物排放标准》（GB41616-2022）</w:t>
                  </w:r>
                </w:p>
              </w:tc>
              <w:tc>
                <w:tcPr>
                  <w:tcW w:w="2016" w:type="pct"/>
                  <w:noWrap w:val="0"/>
                  <w:vAlign w:val="center"/>
                </w:tcPr>
                <w:p w14:paraId="14D105C3">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车间或生产设施排气中NMHC初始排放速率≥3 kg/h的，VOCs 处理设施的处理效率不应低于 80%；对于重点地区，车间或生产设施排气中NMHC初始排放速率≥2 kg/h的，VOCs处理设施的处理效率不应低于80%</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1299" w:type="pct"/>
                  <w:noWrap w:val="0"/>
                  <w:vAlign w:val="center"/>
                </w:tcPr>
                <w:p w14:paraId="02F0968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本项目建成后将对厂区现有废气处理设施进行升级改造，VOCs废气</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采用</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集气罩+二级活性炭吸附</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收集处理，收集效率为85%，处理效率为85%。</w:t>
                  </w:r>
                </w:p>
              </w:tc>
              <w:tc>
                <w:tcPr>
                  <w:tcW w:w="433" w:type="pct"/>
                  <w:noWrap w:val="0"/>
                  <w:vAlign w:val="center"/>
                </w:tcPr>
                <w:p w14:paraId="12E6519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相符</w:t>
                  </w:r>
                </w:p>
              </w:tc>
            </w:tr>
            <w:tr w14:paraId="19AB1B3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7" w:hRule="atLeast"/>
                <w:jc w:val="center"/>
              </w:trPr>
              <w:tc>
                <w:tcPr>
                  <w:tcW w:w="312" w:type="pct"/>
                  <w:noWrap w:val="0"/>
                  <w:vAlign w:val="center"/>
                </w:tcPr>
                <w:p w14:paraId="0CC7AF92">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21</w:t>
                  </w:r>
                </w:p>
              </w:tc>
              <w:tc>
                <w:tcPr>
                  <w:tcW w:w="938" w:type="pct"/>
                  <w:noWrap w:val="0"/>
                  <w:vAlign w:val="center"/>
                </w:tcPr>
                <w:p w14:paraId="7F9848E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《油墨中可挥发性有机化合物（</w:t>
                  </w:r>
                  <w:r>
                    <w:rPr>
                      <w:rFonts w:hint="default" w:ascii="Times New Roman" w:hAnsi="Times New Roman" w:cs="Times New Roman" w:eastAsiaTheme="minorEastAsia"/>
                      <w:color w:val="000000" w:themeColor="text1"/>
                      <w:sz w:val="21"/>
                      <w:szCs w:val="21"/>
                      <w14:textFill>
                        <w14:solidFill>
                          <w14:schemeClr w14:val="tx1"/>
                        </w14:solidFill>
                      </w14:textFill>
                    </w:rPr>
                    <w:t>VOCs</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）含量的限值》（GB38507-2020）</w:t>
                  </w:r>
                </w:p>
              </w:tc>
              <w:tc>
                <w:tcPr>
                  <w:tcW w:w="2016" w:type="pct"/>
                  <w:noWrap w:val="0"/>
                  <w:vAlign w:val="center"/>
                </w:tcPr>
                <w:p w14:paraId="04D85A52">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胶印油墨中单张胶印油墨挥发性有机化合物（</w:t>
                  </w:r>
                  <w:r>
                    <w:rPr>
                      <w:rFonts w:hint="default" w:ascii="Times New Roman" w:hAnsi="Times New Roman" w:cs="Times New Roman" w:eastAsiaTheme="minorEastAsia"/>
                      <w:color w:val="000000" w:themeColor="text1"/>
                      <w:sz w:val="21"/>
                      <w:szCs w:val="21"/>
                      <w14:textFill>
                        <w14:solidFill>
                          <w14:schemeClr w14:val="tx1"/>
                        </w14:solidFill>
                      </w14:textFill>
                    </w:rPr>
                    <w:t>VOCs</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）限值≤3%，水性油墨中柔印油墨吸收性承印物挥发性有机化合物（</w:t>
                  </w:r>
                  <w:r>
                    <w:rPr>
                      <w:rFonts w:hint="default" w:ascii="Times New Roman" w:hAnsi="Times New Roman" w:cs="Times New Roman" w:eastAsiaTheme="minorEastAsia"/>
                      <w:color w:val="000000" w:themeColor="text1"/>
                      <w:sz w:val="21"/>
                      <w:szCs w:val="21"/>
                      <w14:textFill>
                        <w14:solidFill>
                          <w14:schemeClr w14:val="tx1"/>
                        </w14:solidFill>
                      </w14:textFill>
                    </w:rPr>
                    <w:t>VOCs</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）限值≤5%</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1299" w:type="pct"/>
                  <w:noWrap w:val="0"/>
                  <w:vAlign w:val="center"/>
                </w:tcPr>
                <w:p w14:paraId="24C9F5A8">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本项目使用的植物型胶印油墨未检出挥发性有机化合物（</w:t>
                  </w:r>
                  <w:r>
                    <w:rPr>
                      <w:rFonts w:hint="default" w:ascii="Times New Roman" w:hAnsi="Times New Roman" w:cs="Times New Roman" w:eastAsiaTheme="minorEastAsia"/>
                      <w:color w:val="000000" w:themeColor="text1"/>
                      <w:sz w:val="21"/>
                      <w:szCs w:val="21"/>
                      <w14:textFill>
                        <w14:solidFill>
                          <w14:schemeClr w14:val="tx1"/>
                        </w14:solidFill>
                      </w14:textFill>
                    </w:rPr>
                    <w:t>VOCs</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），水性油墨中吸收性承印物挥发性有机化合物（</w:t>
                  </w:r>
                  <w:r>
                    <w:rPr>
                      <w:rFonts w:hint="default" w:ascii="Times New Roman" w:hAnsi="Times New Roman" w:cs="Times New Roman" w:eastAsiaTheme="minorEastAsia"/>
                      <w:color w:val="000000" w:themeColor="text1"/>
                      <w:sz w:val="21"/>
                      <w:szCs w:val="21"/>
                      <w14:textFill>
                        <w14:solidFill>
                          <w14:schemeClr w14:val="tx1"/>
                        </w14:solidFill>
                      </w14:textFill>
                    </w:rPr>
                    <w:t>VOCs</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）含量为0.2%，符合相关限值要求。（检测报告见附件7）</w:t>
                  </w:r>
                </w:p>
              </w:tc>
              <w:tc>
                <w:tcPr>
                  <w:tcW w:w="433" w:type="pct"/>
                  <w:noWrap w:val="0"/>
                  <w:vAlign w:val="center"/>
                </w:tcPr>
                <w:p w14:paraId="1A1AFA6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相符</w:t>
                  </w:r>
                </w:p>
              </w:tc>
            </w:tr>
            <w:tr w14:paraId="0C1A470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7" w:hRule="atLeast"/>
                <w:jc w:val="center"/>
              </w:trPr>
              <w:tc>
                <w:tcPr>
                  <w:tcW w:w="312" w:type="pct"/>
                  <w:noWrap w:val="0"/>
                  <w:vAlign w:val="center"/>
                </w:tcPr>
                <w:p w14:paraId="4A0C70C3">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22</w:t>
                  </w:r>
                </w:p>
              </w:tc>
              <w:tc>
                <w:tcPr>
                  <w:tcW w:w="938" w:type="pct"/>
                  <w:noWrap w:val="0"/>
                  <w:vAlign w:val="center"/>
                </w:tcPr>
                <w:p w14:paraId="082B4768">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《清洗剂挥发性有机化合物含量限值》（GB38508-2020）</w:t>
                  </w:r>
                </w:p>
              </w:tc>
              <w:tc>
                <w:tcPr>
                  <w:tcW w:w="2016" w:type="pct"/>
                  <w:noWrap w:val="0"/>
                  <w:vAlign w:val="center"/>
                </w:tcPr>
                <w:p w14:paraId="35DD1BC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表1清洗剂VOC含量及特定挥发性有机物限制要求：水基清洗剂VOC含量≤50g/L。</w:t>
                  </w:r>
                </w:p>
              </w:tc>
              <w:tc>
                <w:tcPr>
                  <w:tcW w:w="1299" w:type="pct"/>
                  <w:noWrap w:val="0"/>
                  <w:vAlign w:val="center"/>
                </w:tcPr>
                <w:p w14:paraId="2CAF0C6D">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本项目使用的油墨清洗剂未检出VOC，低于检出限（检测报告见附件7），符合限值要求。</w:t>
                  </w:r>
                </w:p>
              </w:tc>
              <w:tc>
                <w:tcPr>
                  <w:tcW w:w="433" w:type="pct"/>
                  <w:noWrap w:val="0"/>
                  <w:vAlign w:val="center"/>
                </w:tcPr>
                <w:p w14:paraId="6FE9D34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相符</w:t>
                  </w:r>
                </w:p>
              </w:tc>
            </w:tr>
            <w:tr w14:paraId="600398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77" w:hRule="atLeast"/>
                <w:jc w:val="center"/>
              </w:trPr>
              <w:tc>
                <w:tcPr>
                  <w:tcW w:w="312" w:type="pct"/>
                  <w:noWrap w:val="0"/>
                  <w:vAlign w:val="center"/>
                </w:tcPr>
                <w:p w14:paraId="741D919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23</w:t>
                  </w:r>
                </w:p>
              </w:tc>
              <w:tc>
                <w:tcPr>
                  <w:tcW w:w="938" w:type="pct"/>
                  <w:noWrap w:val="0"/>
                  <w:vAlign w:val="center"/>
                </w:tcPr>
                <w:p w14:paraId="393F2DAB">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《胶粘剂挥发性有机化合物限量》（GB33372-2020）</w:t>
                  </w:r>
                </w:p>
              </w:tc>
              <w:tc>
                <w:tcPr>
                  <w:tcW w:w="2016" w:type="pct"/>
                  <w:noWrap w:val="0"/>
                  <w:vAlign w:val="center"/>
                </w:tcPr>
                <w:p w14:paraId="1C8B12BC">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表3本体型胶粘剂VOC含量限值要求：室内装饰装修应用领域中有机硅类≤100g/kg、MS类≤50g/kg、聚氨酯类≤50g/kg、聚硫类≤50g/kg、环氧树脂类≤50g/kg、α-氰基丙稀酸类≤20g/kg、热塑类≤50g/kg、其它≤50g/kg。</w:t>
                  </w:r>
                </w:p>
              </w:tc>
              <w:tc>
                <w:tcPr>
                  <w:tcW w:w="1299" w:type="pct"/>
                  <w:noWrap w:val="0"/>
                  <w:vAlign w:val="center"/>
                </w:tcPr>
                <w:p w14:paraId="57B15F6E">
                  <w:pPr>
                    <w:keepNext w:val="0"/>
                    <w:keepLines w:val="0"/>
                    <w:suppressLineNumbers w:val="0"/>
                    <w:spacing w:before="0" w:beforeAutospacing="0" w:after="0" w:afterAutospacing="0"/>
                    <w:ind w:left="0" w:right="0"/>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本项目使用的热熔胶VOC含量为5g/kg（检测报告见附件7），符合限值要求。</w:t>
                  </w:r>
                </w:p>
              </w:tc>
              <w:tc>
                <w:tcPr>
                  <w:tcW w:w="433" w:type="pct"/>
                  <w:noWrap w:val="0"/>
                  <w:vAlign w:val="center"/>
                </w:tcPr>
                <w:p w14:paraId="29EAC2EF">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相符</w:t>
                  </w:r>
                </w:p>
              </w:tc>
            </w:tr>
          </w:tbl>
          <w:p w14:paraId="59406135">
            <w:pPr>
              <w:pStyle w:val="2"/>
              <w:keepNext w:val="0"/>
              <w:keepLines w:val="0"/>
              <w:suppressLineNumbers w:val="0"/>
              <w:spacing w:before="0" w:beforeAutospacing="0" w:after="0" w:afterAutospacing="0"/>
              <w:ind w:left="0" w:leftChars="0" w:right="0" w:firstLine="0" w:firstLineChars="0"/>
              <w:rPr>
                <w:rFonts w:hint="eastAsia" w:ascii="Times New Roman" w:hAnsi="Times New Roman" w:cs="Times New Roman"/>
                <w:color w:val="auto"/>
              </w:rPr>
            </w:pPr>
          </w:p>
        </w:tc>
      </w:tr>
    </w:tbl>
    <w:p w14:paraId="51BD6868">
      <w:pPr>
        <w:rPr>
          <w:color w:val="auto"/>
        </w:rPr>
        <w:sectPr>
          <w:pgSz w:w="16838" w:h="11906" w:orient="landscape"/>
          <w:pgMar w:top="1531" w:right="1701" w:bottom="1531" w:left="1701" w:header="851" w:footer="1077" w:gutter="0"/>
          <w:pgBorders>
            <w:top w:val="none" w:sz="0" w:space="0"/>
            <w:left w:val="none" w:sz="0" w:space="0"/>
            <w:bottom w:val="none" w:sz="0" w:space="0"/>
            <w:right w:val="none" w:sz="0" w:space="0"/>
          </w:pgBorders>
          <w:pgNumType w:fmt="decimal"/>
          <w:cols w:space="720" w:num="1"/>
          <w:docGrid w:linePitch="312" w:charSpace="0"/>
        </w:sectPr>
      </w:pPr>
    </w:p>
    <w:tbl>
      <w:tblPr>
        <w:tblStyle w:val="26"/>
        <w:tblW w:w="486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7"/>
        <w:gridCol w:w="7985"/>
      </w:tblGrid>
      <w:tr w14:paraId="140052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83" w:hRule="atLeast"/>
          <w:jc w:val="center"/>
        </w:trPr>
        <w:tc>
          <w:tcPr>
            <w:tcW w:w="469" w:type="pct"/>
            <w:noWrap w:val="0"/>
            <w:vAlign w:val="center"/>
          </w:tcPr>
          <w:p w14:paraId="133CE24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br w:type="page"/>
            </w:r>
            <w:r>
              <w:rPr>
                <w:rFonts w:hint="default" w:ascii="Times New Roman" w:hAnsi="Times New Roman" w:cs="Times New Roman"/>
                <w:color w:val="auto"/>
                <w:kern w:val="0"/>
                <w:sz w:val="24"/>
              </w:rPr>
              <w:t>其他符合性分析</w:t>
            </w:r>
          </w:p>
        </w:tc>
        <w:tc>
          <w:tcPr>
            <w:tcW w:w="4530" w:type="pct"/>
            <w:noWrap w:val="0"/>
            <w:vAlign w:val="top"/>
          </w:tcPr>
          <w:p w14:paraId="4472F0F0">
            <w:pPr>
              <w:keepNext w:val="0"/>
              <w:keepLines w:val="0"/>
              <w:suppressLineNumbers w:val="0"/>
              <w:adjustRightInd w:val="0"/>
              <w:snapToGrid w:val="0"/>
              <w:spacing w:before="0" w:beforeAutospacing="0" w:after="0" w:afterAutospacing="0" w:line="360" w:lineRule="auto"/>
              <w:ind w:left="0" w:right="0" w:firstLine="482" w:firstLineChars="200"/>
              <w:jc w:val="both"/>
              <w:outlineLvl w:val="1"/>
              <w:rPr>
                <w:rFonts w:hint="default" w:ascii="Times New Roman" w:hAnsi="Times New Roman" w:cs="Times New Roman"/>
                <w:b/>
                <w:color w:val="auto"/>
                <w:sz w:val="24"/>
              </w:rPr>
            </w:pPr>
            <w:r>
              <w:rPr>
                <w:rFonts w:hint="default" w:ascii="Times New Roman" w:hAnsi="Times New Roman" w:cs="Times New Roman"/>
                <w:b/>
                <w:color w:val="auto"/>
                <w:sz w:val="24"/>
              </w:rPr>
              <w:t>3、产业政策的符合性</w:t>
            </w:r>
          </w:p>
          <w:p w14:paraId="16C3EC76">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sz w:val="24"/>
                <w:lang w:eastAsia="zh-CN"/>
              </w:rPr>
            </w:pPr>
            <w:r>
              <w:rPr>
                <w:rFonts w:hint="default" w:ascii="Times New Roman" w:hAnsi="Times New Roman" w:cs="Times New Roman"/>
                <w:color w:val="auto"/>
                <w:sz w:val="24"/>
              </w:rPr>
              <w:t>对照《产业结构调整指导目录（2024年本）》，本项目</w:t>
            </w:r>
            <w:r>
              <w:rPr>
                <w:rFonts w:hint="default" w:ascii="Times New Roman" w:hAnsi="Times New Roman" w:cs="Times New Roman"/>
                <w:color w:val="auto"/>
                <w:sz w:val="24"/>
                <w:lang w:val="en-US" w:eastAsia="zh-CN"/>
              </w:rPr>
              <w:t>不属于鼓励类、限制类、淘汰类项目，属于国家允许建设项目，符合国家产业政策</w:t>
            </w:r>
            <w:r>
              <w:rPr>
                <w:rFonts w:hint="eastAsia" w:cs="Times New Roman"/>
                <w:color w:val="auto"/>
                <w:sz w:val="24"/>
                <w:lang w:eastAsia="zh-CN"/>
              </w:rPr>
              <w:t>。</w:t>
            </w:r>
          </w:p>
          <w:p w14:paraId="0D351E29">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sz w:val="24"/>
              </w:rPr>
            </w:pPr>
            <w:r>
              <w:rPr>
                <w:rFonts w:hint="default" w:ascii="Times New Roman" w:hAnsi="Times New Roman" w:cs="Times New Roman"/>
                <w:color w:val="auto"/>
                <w:sz w:val="24"/>
              </w:rPr>
              <w:t>本项目为</w:t>
            </w:r>
            <w:r>
              <w:rPr>
                <w:rFonts w:hint="eastAsia" w:cs="Times New Roman"/>
                <w:color w:val="auto"/>
                <w:sz w:val="24"/>
                <w:lang w:val="en-US" w:eastAsia="zh-CN"/>
              </w:rPr>
              <w:t>本册印制</w:t>
            </w:r>
            <w:r>
              <w:rPr>
                <w:rFonts w:hint="default" w:ascii="Times New Roman" w:hAnsi="Times New Roman" w:cs="Times New Roman"/>
                <w:color w:val="auto"/>
                <w:sz w:val="24"/>
              </w:rPr>
              <w:t>，不属于《市场准入负面清单（2022年版）》（发改体改规〔2022〕397号）中禁止类项目，视为允许类。同时，根据《陕西省限制投资类产业指导目录》（陕改发产业﹝2007﹞97号），该项目不属于限制投资类。</w:t>
            </w:r>
          </w:p>
          <w:p w14:paraId="0DDA0BEA">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sz w:val="24"/>
              </w:rPr>
            </w:pPr>
            <w:r>
              <w:rPr>
                <w:rFonts w:hint="default" w:ascii="Times New Roman" w:hAnsi="Times New Roman" w:cs="Times New Roman"/>
                <w:color w:val="auto"/>
                <w:sz w:val="24"/>
              </w:rPr>
              <w:t>综上，项目的建设符合国家及地方产业政策要求。</w:t>
            </w:r>
          </w:p>
          <w:p w14:paraId="35B917FA">
            <w:pPr>
              <w:keepNext w:val="0"/>
              <w:keepLines w:val="0"/>
              <w:suppressLineNumbers w:val="0"/>
              <w:adjustRightInd w:val="0"/>
              <w:snapToGrid w:val="0"/>
              <w:spacing w:before="0" w:beforeAutospacing="0" w:after="0" w:afterAutospacing="0" w:line="360" w:lineRule="auto"/>
              <w:ind w:left="0" w:right="0" w:firstLine="482" w:firstLineChars="200"/>
              <w:jc w:val="both"/>
              <w:outlineLvl w:val="1"/>
              <w:rPr>
                <w:rFonts w:hint="default" w:ascii="Times New Roman" w:hAnsi="Times New Roman" w:cs="Times New Roman"/>
                <w:b/>
                <w:color w:val="auto"/>
                <w:sz w:val="24"/>
              </w:rPr>
            </w:pPr>
            <w:r>
              <w:rPr>
                <w:rFonts w:hint="default" w:ascii="Times New Roman" w:hAnsi="Times New Roman" w:cs="Times New Roman"/>
                <w:b/>
                <w:color w:val="auto"/>
                <w:sz w:val="24"/>
              </w:rPr>
              <w:t>4、选址合理性分析</w:t>
            </w:r>
          </w:p>
          <w:p w14:paraId="029C8E03">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（1）位置及交通</w:t>
            </w:r>
          </w:p>
          <w:p w14:paraId="3F535DA2">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本项目位于陕西省西咸新区沣东新城建章路</w:t>
            </w:r>
            <w:r>
              <w:rPr>
                <w:rFonts w:hint="default" w:ascii="Times New Roman" w:hAnsi="Times New Roman" w:cs="Times New Roman"/>
                <w:color w:val="auto"/>
                <w:sz w:val="24"/>
                <w:lang w:val="en-US" w:eastAsia="zh-CN"/>
              </w:rPr>
              <w:t>168</w:t>
            </w:r>
            <w:r>
              <w:rPr>
                <w:rFonts w:hint="eastAsia" w:ascii="Times New Roman" w:hAnsi="Times New Roman" w:cs="Times New Roman"/>
                <w:color w:val="auto"/>
                <w:sz w:val="24"/>
                <w:lang w:val="en-US" w:eastAsia="zh-CN"/>
              </w:rPr>
              <w:t>号，项目区交通运输较便捷。</w:t>
            </w:r>
          </w:p>
          <w:p w14:paraId="5DA64F5D">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（2）基础设施条件</w:t>
            </w:r>
          </w:p>
          <w:p w14:paraId="6CA4C79A">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经调查，项目所在地供水、供电管网已铺设到位</w:t>
            </w:r>
            <w:r>
              <w:rPr>
                <w:rFonts w:hint="eastAsia" w:cs="Times New Roman"/>
                <w:color w:val="auto"/>
                <w:sz w:val="24"/>
                <w:lang w:val="en-US" w:eastAsia="zh-CN"/>
              </w:rPr>
              <w:t>，</w:t>
            </w:r>
            <w:r>
              <w:rPr>
                <w:rFonts w:hint="eastAsia" w:ascii="Times New Roman" w:hAnsi="Times New Roman" w:cs="Times New Roman"/>
                <w:color w:val="auto"/>
                <w:sz w:val="24"/>
                <w:lang w:val="en-US" w:eastAsia="zh-CN"/>
              </w:rPr>
              <w:t>水源、电源有保障，可满足生产及生活需要。</w:t>
            </w:r>
          </w:p>
          <w:p w14:paraId="2930503E">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（3）环境敏感性</w:t>
            </w:r>
          </w:p>
          <w:p w14:paraId="671BDC78">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本项目位于陕西省西咸新区沣东新城建章路</w:t>
            </w:r>
            <w:r>
              <w:rPr>
                <w:rFonts w:hint="default" w:ascii="Times New Roman" w:hAnsi="Times New Roman" w:cs="Times New Roman"/>
                <w:color w:val="auto"/>
                <w:sz w:val="24"/>
                <w:lang w:val="en-US" w:eastAsia="zh-CN"/>
              </w:rPr>
              <w:t>168</w:t>
            </w:r>
            <w:r>
              <w:rPr>
                <w:rFonts w:hint="eastAsia" w:ascii="Times New Roman" w:hAnsi="Times New Roman" w:cs="Times New Roman"/>
                <w:color w:val="auto"/>
                <w:sz w:val="24"/>
                <w:lang w:val="en-US" w:eastAsia="zh-CN"/>
              </w:rPr>
              <w:t>号，所选场址及周围无自然保护区、风景名胜区、生态保护区、集中式的饮用水水源地等环境敏感区。</w:t>
            </w:r>
          </w:p>
          <w:p w14:paraId="021DDD7F">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（4）污染物达标排放的可达性</w:t>
            </w:r>
          </w:p>
          <w:p w14:paraId="56580CF4">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项目内生活污水经化粪池收集处理后排入市政污水管网，最终进入西安市第六污水处理厂；噪声经厂房隔声、基础减振、距离衰减后对周围环境影响小；运营期废气经</w:t>
            </w:r>
            <w:r>
              <w:rPr>
                <w:rFonts w:hint="eastAsia" w:cs="Times New Roman"/>
                <w:color w:val="auto"/>
                <w:sz w:val="24"/>
                <w:lang w:val="en-US" w:eastAsia="zh-CN"/>
              </w:rPr>
              <w:t>二级</w:t>
            </w:r>
            <w:r>
              <w:rPr>
                <w:rFonts w:hint="eastAsia" w:ascii="Times New Roman" w:hAnsi="Times New Roman" w:cs="Times New Roman"/>
                <w:color w:val="auto"/>
                <w:sz w:val="24"/>
                <w:lang w:val="en-US" w:eastAsia="zh-CN"/>
              </w:rPr>
              <w:t>活性炭吸附处理后，废气能达标排放；</w:t>
            </w:r>
            <w:r>
              <w:rPr>
                <w:rFonts w:hint="eastAsia" w:cs="Times New Roman"/>
                <w:color w:val="auto"/>
                <w:sz w:val="24"/>
                <w:lang w:val="en-US" w:eastAsia="zh-CN"/>
              </w:rPr>
              <w:t>生活垃圾收集后委托环卫部门清运处置，</w:t>
            </w:r>
            <w:r>
              <w:rPr>
                <w:rFonts w:hint="eastAsia" w:ascii="Times New Roman" w:hAnsi="Times New Roman" w:cs="Times New Roman"/>
                <w:color w:val="auto"/>
                <w:sz w:val="24"/>
                <w:lang w:val="en-US" w:eastAsia="zh-CN"/>
              </w:rPr>
              <w:t>废包装材料、纸张边角料、印刷不合格产品定期交由收购站收购处置</w:t>
            </w:r>
            <w:r>
              <w:rPr>
                <w:rFonts w:hint="eastAsia" w:cs="Times New Roman"/>
                <w:color w:val="auto"/>
                <w:sz w:val="24"/>
                <w:lang w:eastAsia="zh-CN"/>
              </w:rPr>
              <w:t>，</w:t>
            </w:r>
            <w:r>
              <w:rPr>
                <w:rFonts w:hint="eastAsia" w:ascii="Times New Roman" w:hAnsi="Times New Roman" w:cs="Times New Roman"/>
                <w:color w:val="auto"/>
                <w:sz w:val="24"/>
                <w:lang w:val="en-US" w:eastAsia="zh-CN"/>
              </w:rPr>
              <w:t>空油墨桶、废含油抹布、废污泥、废空胶桶、</w:t>
            </w:r>
            <w:r>
              <w:rPr>
                <w:rFonts w:hint="eastAsia" w:cs="Times New Roman"/>
                <w:color w:val="auto"/>
                <w:sz w:val="24"/>
                <w:lang w:val="en-US" w:eastAsia="zh-CN"/>
              </w:rPr>
              <w:t>废机油、废显影液、废定影液、废活性炭、废擦机布、废清洗剂、废版</w:t>
            </w:r>
            <w:r>
              <w:rPr>
                <w:rFonts w:hint="eastAsia" w:ascii="Times New Roman" w:hAnsi="Times New Roman" w:cs="Times New Roman"/>
                <w:color w:val="auto"/>
                <w:sz w:val="24"/>
                <w:lang w:val="en-US" w:eastAsia="zh-CN"/>
              </w:rPr>
              <w:t>暂存于危险废物贮存库，定期交由有资质单位统一处置。</w:t>
            </w:r>
          </w:p>
          <w:p w14:paraId="1DB2608E">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综上，在采取相应环保措施后，本项目产生的各类污染物均可实现达标排放，不会改变当地环境质量现状，不会对周围环境产生明显影响。</w:t>
            </w:r>
          </w:p>
          <w:p w14:paraId="383BBE3D">
            <w:pPr>
              <w:keepNext w:val="0"/>
              <w:keepLines w:val="0"/>
              <w:widowControl/>
              <w:numPr>
                <w:ilvl w:val="0"/>
                <w:numId w:val="0"/>
              </w:numPr>
              <w:suppressLineNumbers w:val="0"/>
              <w:spacing w:before="0" w:beforeAutospacing="0" w:after="0" w:afterAutospacing="0" w:line="360" w:lineRule="auto"/>
              <w:ind w:left="420" w:leftChars="200" w:right="0" w:rightChars="0"/>
              <w:jc w:val="both"/>
              <w:rPr>
                <w:rFonts w:hint="default" w:eastAsia="宋体"/>
                <w:lang w:val="en-US" w:eastAsia="zh-CN"/>
              </w:rPr>
            </w:pPr>
            <w:r>
              <w:rPr>
                <w:rFonts w:hint="eastAsia" w:cs="Times New Roman"/>
                <w:color w:val="auto"/>
                <w:sz w:val="24"/>
                <w:lang w:val="en-US" w:eastAsia="zh-CN"/>
              </w:rPr>
              <w:t>（5）与文物保护区位置关系</w:t>
            </w:r>
          </w:p>
          <w:p w14:paraId="57499A5B">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both"/>
              <w:rPr>
                <w:rFonts w:hint="default" w:eastAsia="宋体"/>
                <w:lang w:val="en-US" w:eastAsia="zh-CN"/>
              </w:rPr>
            </w:pPr>
            <w:r>
              <w:rPr>
                <w:rFonts w:hint="eastAsia" w:cs="Times New Roman"/>
                <w:color w:val="auto"/>
                <w:sz w:val="24"/>
                <w:lang w:val="en-US" w:eastAsia="zh-CN"/>
              </w:rPr>
              <w:t>本项目西南侧250m处为汉建章宫遗址，根据《汉长安城遗址保护总体规划（2009-2025）》（具体见附图9），本项目属于一类建设控制地带，根据《汉长安城遗址保护总体规划（2009-2025）》中1类建设控制地带要求：</w:t>
            </w:r>
            <w:r>
              <w:rPr>
                <w:rFonts w:hint="default" w:ascii="Times New Roman" w:hAnsi="Times New Roman" w:eastAsia="宋体" w:cs="Times New Roman"/>
                <w:sz w:val="24"/>
                <w:szCs w:val="32"/>
              </w:rPr>
              <w:t>区内企事业单位、居民住宅小区和村落的现有建筑不准扩建和改建</w:t>
            </w:r>
            <w:r>
              <w:rPr>
                <w:rFonts w:hint="eastAsia" w:cs="Times New Roman"/>
                <w:color w:val="auto"/>
                <w:sz w:val="24"/>
                <w:lang w:val="en-US" w:eastAsia="zh-CN"/>
              </w:rPr>
              <w:t>。</w:t>
            </w:r>
            <w:r>
              <w:rPr>
                <w:rFonts w:hint="default" w:ascii="Times New Roman" w:hAnsi="Times New Roman" w:cs="Times New Roman"/>
                <w:color w:val="auto"/>
                <w:sz w:val="24"/>
                <w:lang w:val="en-US" w:eastAsia="zh-CN"/>
              </w:rPr>
              <w:t>西安唐都纸品有限责任公司</w:t>
            </w:r>
            <w:r>
              <w:rPr>
                <w:rFonts w:hint="eastAsia" w:ascii="Times New Roman" w:hAnsi="Times New Roman" w:cs="Times New Roman"/>
                <w:color w:val="auto"/>
                <w:sz w:val="24"/>
                <w:lang w:val="en-US" w:eastAsia="zh-CN"/>
              </w:rPr>
              <w:t>成立</w:t>
            </w:r>
            <w:r>
              <w:rPr>
                <w:rFonts w:hint="default" w:ascii="Times New Roman" w:hAnsi="Times New Roman" w:cs="Times New Roman"/>
                <w:color w:val="auto"/>
                <w:sz w:val="24"/>
                <w:lang w:val="en-US" w:eastAsia="zh-CN"/>
              </w:rPr>
              <w:t>于1997年11月12日</w:t>
            </w:r>
            <w:r>
              <w:rPr>
                <w:rFonts w:hint="eastAsia" w:ascii="Times New Roman" w:hAnsi="Times New Roman" w:cs="Times New Roman"/>
                <w:color w:val="auto"/>
                <w:sz w:val="24"/>
                <w:lang w:val="en-US" w:eastAsia="zh-CN"/>
              </w:rPr>
              <w:t>，处于规划前建成项目，且本</w:t>
            </w:r>
            <w:r>
              <w:rPr>
                <w:rFonts w:hint="eastAsia" w:cs="Times New Roman"/>
                <w:color w:val="auto"/>
                <w:sz w:val="24"/>
                <w:lang w:val="en-US" w:eastAsia="zh-CN"/>
              </w:rPr>
              <w:t>项目在已有厂区内进行改扩建，只在原有厂房内新增设备，不进行土建开挖工作，不对现有建筑进行扩建和改建，因此符合规划要求，对汉建章宫遗址无干扰和影响。</w:t>
            </w:r>
          </w:p>
          <w:p w14:paraId="438ADADE">
            <w:pPr>
              <w:pStyle w:val="9"/>
              <w:keepNext w:val="0"/>
              <w:keepLines w:val="0"/>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sz w:val="24"/>
                <w:szCs w:val="24"/>
              </w:rPr>
            </w:pPr>
            <w:r>
              <w:rPr>
                <w:rFonts w:hint="eastAsia" w:cs="Times New Roman"/>
                <w:color w:val="auto"/>
                <w:sz w:val="24"/>
                <w:lang w:val="en-US" w:eastAsia="zh-CN"/>
              </w:rPr>
              <w:t>因此，</w:t>
            </w:r>
            <w:r>
              <w:rPr>
                <w:rFonts w:hint="eastAsia" w:ascii="Times New Roman" w:hAnsi="Times New Roman" w:cs="Times New Roman"/>
                <w:color w:val="auto"/>
                <w:sz w:val="24"/>
                <w:lang w:val="en-US" w:eastAsia="zh-CN"/>
              </w:rPr>
              <w:t>从环保角度分析，项目选址合理。</w:t>
            </w:r>
          </w:p>
        </w:tc>
      </w:tr>
    </w:tbl>
    <w:p w14:paraId="366ED74A">
      <w:pPr>
        <w:spacing w:line="360" w:lineRule="auto"/>
        <w:rPr>
          <w:rFonts w:eastAsia="黑体"/>
          <w:color w:val="auto"/>
          <w:sz w:val="30"/>
        </w:rPr>
        <w:sectPr>
          <w:pgSz w:w="11906" w:h="16838"/>
          <w:pgMar w:top="1701" w:right="1531" w:bottom="1701" w:left="1531" w:header="851" w:footer="1077" w:gutter="0"/>
          <w:pgBorders>
            <w:top w:val="none" w:sz="0" w:space="0"/>
            <w:left w:val="none" w:sz="0" w:space="0"/>
            <w:bottom w:val="none" w:sz="0" w:space="0"/>
            <w:right w:val="none" w:sz="0" w:space="0"/>
          </w:pgBorders>
          <w:pgNumType w:fmt="decimal"/>
          <w:cols w:space="720" w:num="1"/>
          <w:docGrid w:linePitch="312" w:charSpace="0"/>
        </w:sectPr>
      </w:pPr>
    </w:p>
    <w:p w14:paraId="1994B7DC">
      <w:pPr>
        <w:jc w:val="center"/>
        <w:outlineLvl w:val="0"/>
        <w:rPr>
          <w:rFonts w:ascii="宋体" w:hAnsi="宋体"/>
          <w:b/>
          <w:bCs/>
          <w:color w:val="auto"/>
          <w:sz w:val="28"/>
          <w:szCs w:val="28"/>
        </w:rPr>
      </w:pPr>
      <w:r>
        <w:rPr>
          <w:rFonts w:hint="eastAsia" w:ascii="宋体" w:hAnsi="宋体"/>
          <w:b/>
          <w:bCs/>
          <w:color w:val="auto"/>
          <w:sz w:val="28"/>
          <w:szCs w:val="28"/>
        </w:rPr>
        <w:t>二、</w:t>
      </w:r>
      <w:r>
        <w:rPr>
          <w:rFonts w:ascii="宋体" w:hAnsi="宋体"/>
          <w:b/>
          <w:bCs/>
          <w:color w:val="auto"/>
          <w:sz w:val="28"/>
          <w:szCs w:val="28"/>
        </w:rPr>
        <w:t>建设项目工程分析</w:t>
      </w:r>
    </w:p>
    <w:tbl>
      <w:tblPr>
        <w:tblStyle w:val="26"/>
        <w:tblW w:w="92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6"/>
        <w:gridCol w:w="8843"/>
      </w:tblGrid>
      <w:tr w14:paraId="135F18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12" w:hRule="atLeast"/>
          <w:jc w:val="center"/>
        </w:trPr>
        <w:tc>
          <w:tcPr>
            <w:tcW w:w="436" w:type="dxa"/>
            <w:tcBorders>
              <w:top w:val="single" w:color="auto" w:sz="4" w:space="0"/>
              <w:left w:val="single" w:color="auto" w:sz="4" w:space="0"/>
            </w:tcBorders>
            <w:noWrap w:val="0"/>
            <w:vAlign w:val="center"/>
          </w:tcPr>
          <w:p w14:paraId="366AACFF">
            <w:pPr>
              <w:pStyle w:val="23"/>
              <w:keepNext w:val="0"/>
              <w:keepLines w:val="0"/>
              <w:suppressLineNumbers w:val="0"/>
              <w:adjustRightInd w:val="0"/>
              <w:snapToGrid w:val="0"/>
              <w:spacing w:before="0" w:beforeAutospacing="0" w:after="0" w:afterAutospacing="0"/>
              <w:ind w:left="0" w:right="0"/>
              <w:jc w:val="center"/>
              <w:rPr>
                <w:rFonts w:hint="default" w:cs="宋体"/>
                <w:color w:val="auto"/>
                <w:szCs w:val="24"/>
              </w:rPr>
            </w:pPr>
            <w:r>
              <w:rPr>
                <w:rFonts w:hint="eastAsia" w:cs="宋体"/>
                <w:color w:val="auto"/>
                <w:szCs w:val="24"/>
              </w:rPr>
              <w:t>建设内容</w:t>
            </w:r>
          </w:p>
        </w:tc>
        <w:tc>
          <w:tcPr>
            <w:tcW w:w="8843" w:type="dxa"/>
            <w:tcBorders>
              <w:top w:val="single" w:color="auto" w:sz="4" w:space="0"/>
              <w:right w:val="single" w:color="auto" w:sz="4" w:space="0"/>
            </w:tcBorders>
            <w:noWrap w:val="0"/>
            <w:vAlign w:val="top"/>
          </w:tcPr>
          <w:p w14:paraId="358DF8C3">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rPr>
            </w:pPr>
            <w:r>
              <w:rPr>
                <w:rFonts w:hint="eastAsia" w:ascii="Times New Roman" w:hAnsi="Times New Roman" w:cs="Times New Roman"/>
                <w:b/>
                <w:color w:val="auto"/>
                <w:sz w:val="24"/>
              </w:rPr>
              <w:t>1、</w:t>
            </w:r>
            <w:r>
              <w:rPr>
                <w:rFonts w:hint="default" w:ascii="Times New Roman" w:hAnsi="Times New Roman" w:cs="Times New Roman"/>
                <w:b/>
                <w:color w:val="auto"/>
                <w:sz w:val="24"/>
              </w:rPr>
              <w:t>项目由来</w:t>
            </w:r>
          </w:p>
          <w:p w14:paraId="3E07CFDE">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西安唐都纸品有限责任公司注册于1997年11月12日，位于陕西省西咸新区沣东新城建章路168号。该公司是集研发、生产和销售为一体的文化办公用纸纸品专业企业，自成立以来一直致力于研发、生产本册。</w:t>
            </w:r>
          </w:p>
          <w:p w14:paraId="4BB59C5B">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eastAsia"/>
                <w:sz w:val="24"/>
                <w:szCs w:val="32"/>
                <w:lang w:val="en-US" w:eastAsia="zh-CN"/>
              </w:rPr>
              <w:t>公司于2014年投资1600万，建设</w:t>
            </w:r>
            <w:r>
              <w:rPr>
                <w:rFonts w:hint="default" w:ascii="Times New Roman" w:hAnsi="Times New Roman" w:cs="Times New Roman"/>
                <w:color w:val="auto"/>
                <w:sz w:val="24"/>
                <w:szCs w:val="28"/>
                <w:lang w:val="en-US" w:eastAsia="zh-CN"/>
              </w:rPr>
              <w:t>可平摊笔记本生产线技改产业化项目</w:t>
            </w:r>
            <w:r>
              <w:rPr>
                <w:rFonts w:hint="eastAsia" w:cs="Times New Roman"/>
                <w:color w:val="auto"/>
                <w:sz w:val="24"/>
                <w:szCs w:val="28"/>
                <w:lang w:val="en-US" w:eastAsia="zh-CN"/>
              </w:rPr>
              <w:t>，主要建设全自动包背条联动线两条，日产8000本可平摊笔记本，</w:t>
            </w:r>
            <w:r>
              <w:rPr>
                <w:rFonts w:hint="default" w:ascii="Times New Roman" w:hAnsi="Times New Roman" w:cs="Times New Roman"/>
                <w:color w:val="auto"/>
                <w:sz w:val="24"/>
                <w:szCs w:val="28"/>
                <w:lang w:val="en-US" w:eastAsia="zh-CN"/>
              </w:rPr>
              <w:t>于2014年12月取得了西安市环保局沣渭新区分局关于《可平摊笔记本生产线技改产业化项目环境影响报告表》的批复文件（市环沣渭批复[2014]72号）</w:t>
            </w:r>
            <w:r>
              <w:rPr>
                <w:rFonts w:hint="eastAsia" w:cs="Times New Roman"/>
                <w:color w:val="auto"/>
                <w:sz w:val="24"/>
                <w:szCs w:val="28"/>
                <w:lang w:val="en-US" w:eastAsia="zh-CN"/>
              </w:rPr>
              <w:t>，见附件4。2018年9月14日，西安唐都纸品有限责任公司在西安组织召开了“西安唐都纸品有限责任公司可平摊笔记本生产线技改产业化项目”（废水、废气部分）竣工环境保护验收会和“西安唐都纸品有限责任公司可平摊笔记本生产线技改产业化项目”（噪声、固废部分）竣工环境保护验收会，</w:t>
            </w:r>
            <w:r>
              <w:rPr>
                <w:rFonts w:hint="default" w:ascii="Times New Roman" w:hAnsi="Times New Roman" w:cs="Times New Roman"/>
                <w:color w:val="auto"/>
                <w:sz w:val="24"/>
                <w:szCs w:val="28"/>
                <w:lang w:val="en-US" w:eastAsia="zh-CN"/>
              </w:rPr>
              <w:t>于2018年11月取得陕西省西咸新区沣东新城环境保护局关于《西安唐都纸品有限责任公司可平摊笔记本生产线技改产业化项目（噪声、固体废物污染防治设施）竣工环保验收》的批复（沣东环验批复[2018]12号）</w:t>
            </w:r>
            <w:r>
              <w:rPr>
                <w:rFonts w:hint="eastAsia" w:cs="Times New Roman"/>
                <w:color w:val="auto"/>
                <w:sz w:val="24"/>
                <w:szCs w:val="28"/>
                <w:lang w:val="en-US" w:eastAsia="zh-CN"/>
              </w:rPr>
              <w:t>，见附件5</w:t>
            </w:r>
            <w:r>
              <w:rPr>
                <w:rFonts w:hint="default" w:ascii="Times New Roman" w:hAnsi="Times New Roman" w:cs="Times New Roman"/>
                <w:color w:val="auto"/>
                <w:sz w:val="24"/>
                <w:szCs w:val="28"/>
              </w:rPr>
              <w:t>。</w:t>
            </w:r>
            <w:r>
              <w:rPr>
                <w:rFonts w:hint="default" w:ascii="Times New Roman" w:hAnsi="Times New Roman" w:cs="Times New Roman"/>
                <w:color w:val="auto"/>
                <w:sz w:val="24"/>
                <w:highlight w:val="none"/>
              </w:rPr>
              <w:t>20</w:t>
            </w:r>
            <w:r>
              <w:rPr>
                <w:rFonts w:hint="eastAsia" w:cs="Times New Roman"/>
                <w:color w:val="auto"/>
                <w:sz w:val="24"/>
                <w:highlight w:val="none"/>
                <w:lang w:val="en-US" w:eastAsia="zh-CN"/>
              </w:rPr>
              <w:t>20</w:t>
            </w:r>
            <w:r>
              <w:rPr>
                <w:rFonts w:hint="default" w:ascii="Times New Roman" w:hAnsi="Times New Roman" w:cs="Times New Roman"/>
                <w:color w:val="auto"/>
                <w:sz w:val="24"/>
                <w:highlight w:val="none"/>
              </w:rPr>
              <w:t>年</w:t>
            </w:r>
            <w:r>
              <w:rPr>
                <w:rFonts w:hint="eastAsia" w:cs="Times New Roman"/>
                <w:color w:val="auto"/>
                <w:sz w:val="24"/>
                <w:highlight w:val="none"/>
                <w:lang w:val="en-US" w:eastAsia="zh-CN"/>
              </w:rPr>
              <w:t>11</w:t>
            </w:r>
            <w:r>
              <w:rPr>
                <w:rFonts w:hint="default" w:ascii="Times New Roman" w:hAnsi="Times New Roman" w:cs="Times New Roman"/>
                <w:color w:val="auto"/>
                <w:sz w:val="24"/>
                <w:highlight w:val="none"/>
              </w:rPr>
              <w:t>月</w:t>
            </w:r>
            <w:r>
              <w:rPr>
                <w:rFonts w:hint="eastAsia" w:cs="Times New Roman"/>
                <w:color w:val="auto"/>
                <w:sz w:val="24"/>
                <w:highlight w:val="none"/>
                <w:lang w:val="en-US" w:eastAsia="zh-CN"/>
              </w:rPr>
              <w:t>12</w:t>
            </w:r>
            <w:r>
              <w:rPr>
                <w:rFonts w:hint="default" w:ascii="Times New Roman" w:hAnsi="Times New Roman" w:cs="Times New Roman"/>
                <w:color w:val="auto"/>
                <w:sz w:val="24"/>
                <w:highlight w:val="none"/>
              </w:rPr>
              <w:t>日取得</w:t>
            </w:r>
            <w:r>
              <w:rPr>
                <w:rFonts w:hint="eastAsia" w:cs="Times New Roman"/>
                <w:color w:val="auto"/>
                <w:sz w:val="24"/>
                <w:highlight w:val="none"/>
                <w:lang w:val="en-US" w:eastAsia="zh-CN"/>
              </w:rPr>
              <w:t>了固定污染源</w:t>
            </w:r>
            <w:r>
              <w:rPr>
                <w:rFonts w:hint="default" w:ascii="Times New Roman" w:hAnsi="Times New Roman" w:cs="Times New Roman"/>
                <w:color w:val="auto"/>
                <w:sz w:val="24"/>
                <w:highlight w:val="none"/>
              </w:rPr>
              <w:t>排污许可</w:t>
            </w:r>
            <w:r>
              <w:rPr>
                <w:rFonts w:hint="eastAsia" w:cs="Times New Roman"/>
                <w:color w:val="auto"/>
                <w:sz w:val="24"/>
                <w:highlight w:val="none"/>
                <w:lang w:val="en-US" w:eastAsia="zh-CN"/>
              </w:rPr>
              <w:t>登记回执</w:t>
            </w:r>
            <w:r>
              <w:rPr>
                <w:rFonts w:hint="default" w:ascii="Times New Roman" w:hAnsi="Times New Roman" w:cs="Times New Roman"/>
                <w:color w:val="auto"/>
                <w:sz w:val="24"/>
                <w:highlight w:val="none"/>
              </w:rPr>
              <w:t>，</w:t>
            </w:r>
            <w:r>
              <w:rPr>
                <w:rFonts w:hint="eastAsia" w:cs="Times New Roman"/>
                <w:color w:val="auto"/>
                <w:sz w:val="24"/>
                <w:highlight w:val="none"/>
                <w:lang w:val="en-US" w:eastAsia="zh-CN"/>
              </w:rPr>
              <w:t>登记</w:t>
            </w:r>
            <w:r>
              <w:rPr>
                <w:rFonts w:hint="default" w:ascii="Times New Roman" w:hAnsi="Times New Roman" w:cs="Times New Roman"/>
                <w:color w:val="auto"/>
                <w:sz w:val="24"/>
                <w:highlight w:val="none"/>
              </w:rPr>
              <w:t>编号9161</w:t>
            </w:r>
            <w:r>
              <w:rPr>
                <w:rFonts w:hint="eastAsia" w:cs="Times New Roman"/>
                <w:color w:val="auto"/>
                <w:sz w:val="24"/>
                <w:highlight w:val="none"/>
                <w:lang w:val="en-US" w:eastAsia="zh-CN"/>
              </w:rPr>
              <w:t>1105634002147T001Y</w:t>
            </w:r>
            <w:r>
              <w:rPr>
                <w:rFonts w:hint="default" w:ascii="Times New Roman" w:hAnsi="Times New Roman" w:cs="Times New Roman"/>
                <w:color w:val="auto"/>
                <w:sz w:val="24"/>
                <w:highlight w:val="none"/>
              </w:rPr>
              <w:t>，见附件</w:t>
            </w:r>
            <w:r>
              <w:rPr>
                <w:rFonts w:hint="eastAsia" w:cs="Times New Roman"/>
                <w:color w:val="auto"/>
                <w:sz w:val="24"/>
                <w:highlight w:val="none"/>
                <w:lang w:val="en-US" w:eastAsia="zh-CN"/>
              </w:rPr>
              <w:t>6</w:t>
            </w:r>
            <w:r>
              <w:rPr>
                <w:rFonts w:hint="default" w:ascii="Times New Roman" w:hAnsi="Times New Roman" w:cs="Times New Roman"/>
                <w:color w:val="auto"/>
                <w:sz w:val="24"/>
                <w:highlight w:val="none"/>
              </w:rPr>
              <w:t>。</w:t>
            </w:r>
          </w:p>
          <w:p w14:paraId="3D8586A1">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lang w:val="en-US" w:eastAsia="zh-CN"/>
              </w:rPr>
              <w:t>由于市场需求及生产需要，西安唐都纸品有限公司本次</w:t>
            </w:r>
            <w:r>
              <w:rPr>
                <w:rFonts w:hint="eastAsia" w:cs="Times New Roman"/>
                <w:color w:val="auto"/>
                <w:sz w:val="24"/>
                <w:lang w:val="en-US" w:eastAsia="zh-CN"/>
              </w:rPr>
              <w:t>拟</w:t>
            </w:r>
            <w:r>
              <w:rPr>
                <w:rFonts w:hint="default" w:ascii="Times New Roman" w:hAnsi="Times New Roman" w:cs="Times New Roman"/>
                <w:color w:val="auto"/>
                <w:sz w:val="24"/>
                <w:lang w:val="en-US" w:eastAsia="zh-CN"/>
              </w:rPr>
              <w:t>投资4000万元引进和安装新的设备，进行本册印制改扩建生产。生产厂房利用现有车间，其他公用及附属工程包括厂区道路、给排水、供热、供电及通讯设施等均依托西安唐都纸品有限责任公司内现有设施。</w:t>
            </w:r>
            <w:r>
              <w:rPr>
                <w:rFonts w:hint="eastAsia" w:cs="Times New Roman"/>
                <w:color w:val="auto"/>
                <w:sz w:val="24"/>
                <w:lang w:val="en-US" w:eastAsia="zh-CN"/>
              </w:rPr>
              <w:t>本项目改造3号车间1200平方米，改造5号车间300平方米，建设车线本生产线1条，铁钉本联动线6条，胶装本生产线4条，NB联动线4条，新增印刷机、覆膜机等设备。建成后可达到年产铁钉本1500吨、胶装本1000吨、车线本1000吨、线环本800吨、胶套本1200吨、复印纸200吨、封面1000吨、教材教辅3000吨等生产规模。本项目产品主要为学生、办公用品，本企业已取得《中国环境标志产品认证证书》（见附件3）。</w:t>
            </w:r>
          </w:p>
          <w:p w14:paraId="0601DD9E">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ascii="Times New Roman" w:hAnsi="Times New Roman" w:cs="Times New Roman"/>
                <w:b/>
                <w:bCs/>
                <w:color w:val="auto"/>
                <w:sz w:val="24"/>
              </w:rPr>
              <w:t>2、项目基本情况</w:t>
            </w:r>
          </w:p>
          <w:p w14:paraId="69031054">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eastAsia="zh-CN"/>
              </w:rPr>
            </w:pPr>
            <w:r>
              <w:rPr>
                <w:rFonts w:hint="default" w:ascii="Times New Roman" w:hAnsi="Times New Roman" w:cs="Times New Roman"/>
                <w:color w:val="auto"/>
                <w:sz w:val="24"/>
              </w:rPr>
              <w:t>项目名称：</w:t>
            </w:r>
            <w:r>
              <w:rPr>
                <w:rFonts w:hint="eastAsia" w:ascii="Times New Roman" w:hAnsi="Times New Roman" w:cs="Times New Roman"/>
                <w:bCs/>
                <w:color w:val="auto"/>
                <w:sz w:val="24"/>
                <w:lang w:eastAsia="zh-CN"/>
              </w:rPr>
              <w:t>唐都纸品本册印制改扩建项目</w:t>
            </w:r>
          </w:p>
          <w:p w14:paraId="36A46711">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eastAsia="zh-CN"/>
              </w:rPr>
            </w:pPr>
            <w:r>
              <w:rPr>
                <w:rFonts w:hint="default" w:ascii="Times New Roman" w:hAnsi="Times New Roman" w:cs="Times New Roman"/>
                <w:color w:val="auto"/>
                <w:sz w:val="24"/>
              </w:rPr>
              <w:t>建设单位：</w:t>
            </w:r>
            <w:r>
              <w:rPr>
                <w:rFonts w:hint="eastAsia" w:ascii="Times New Roman" w:hAnsi="Times New Roman" w:cs="Times New Roman"/>
                <w:color w:val="auto"/>
                <w:sz w:val="24"/>
                <w:lang w:eastAsia="zh-CN"/>
              </w:rPr>
              <w:t>西安唐都纸品有限责任公司</w:t>
            </w:r>
          </w:p>
          <w:p w14:paraId="6D34D5A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建设性质：</w:t>
            </w:r>
            <w:r>
              <w:rPr>
                <w:rFonts w:hint="eastAsia" w:cs="Times New Roman"/>
                <w:color w:val="auto"/>
                <w:sz w:val="24"/>
                <w:lang w:val="en-US" w:eastAsia="zh-CN"/>
              </w:rPr>
              <w:t>改</w:t>
            </w:r>
            <w:r>
              <w:rPr>
                <w:rFonts w:hint="eastAsia" w:ascii="Times New Roman" w:hAnsi="Times New Roman" w:cs="Times New Roman"/>
                <w:color w:val="auto"/>
                <w:sz w:val="24"/>
              </w:rPr>
              <w:t>扩建</w:t>
            </w:r>
          </w:p>
          <w:p w14:paraId="018B940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项目投资：项目总投资为</w:t>
            </w:r>
            <w:r>
              <w:rPr>
                <w:rFonts w:hint="eastAsia" w:cs="Times New Roman"/>
                <w:color w:val="auto"/>
                <w:sz w:val="24"/>
                <w:lang w:val="en-US" w:eastAsia="zh-CN"/>
              </w:rPr>
              <w:t>4</w:t>
            </w:r>
            <w:r>
              <w:rPr>
                <w:rFonts w:hint="eastAsia" w:ascii="Times New Roman" w:hAnsi="Times New Roman" w:cs="Times New Roman"/>
                <w:color w:val="auto"/>
                <w:sz w:val="24"/>
              </w:rPr>
              <w:t>000</w:t>
            </w:r>
            <w:r>
              <w:rPr>
                <w:rFonts w:hint="default" w:ascii="Times New Roman" w:hAnsi="Times New Roman" w:cs="Times New Roman"/>
                <w:color w:val="auto"/>
                <w:sz w:val="24"/>
              </w:rPr>
              <w:t>万元，资金</w:t>
            </w:r>
            <w:r>
              <w:rPr>
                <w:rFonts w:hint="eastAsia" w:ascii="Times New Roman" w:hAnsi="Times New Roman" w:cs="Times New Roman"/>
                <w:color w:val="auto"/>
                <w:sz w:val="24"/>
              </w:rPr>
              <w:t>全部由</w:t>
            </w:r>
            <w:r>
              <w:rPr>
                <w:rFonts w:hint="default" w:ascii="Times New Roman" w:hAnsi="Times New Roman" w:cs="Times New Roman"/>
                <w:color w:val="auto"/>
                <w:sz w:val="24"/>
              </w:rPr>
              <w:t>企业自筹。</w:t>
            </w:r>
          </w:p>
          <w:p w14:paraId="23D9BBF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建设地点：陕西省西咸新区</w:t>
            </w:r>
            <w:r>
              <w:rPr>
                <w:rFonts w:hint="eastAsia" w:cs="Times New Roman"/>
                <w:color w:val="auto"/>
                <w:sz w:val="24"/>
                <w:lang w:val="en-US" w:eastAsia="zh-CN"/>
              </w:rPr>
              <w:t>沣东新城建章路168号</w:t>
            </w:r>
            <w:r>
              <w:rPr>
                <w:rFonts w:hint="default" w:ascii="Times New Roman" w:hAnsi="Times New Roman" w:cs="Times New Roman"/>
                <w:color w:val="auto"/>
                <w:sz w:val="24"/>
              </w:rPr>
              <w:t>，中心位置地理为东经108度5</w:t>
            </w:r>
            <w:r>
              <w:rPr>
                <w:rFonts w:hint="eastAsia" w:cs="Times New Roman"/>
                <w:color w:val="auto"/>
                <w:sz w:val="24"/>
                <w:lang w:val="en-US" w:eastAsia="zh-CN"/>
              </w:rPr>
              <w:t>0</w:t>
            </w:r>
            <w:r>
              <w:rPr>
                <w:rFonts w:hint="default" w:ascii="Times New Roman" w:hAnsi="Times New Roman" w:cs="Times New Roman"/>
                <w:color w:val="auto"/>
                <w:sz w:val="24"/>
              </w:rPr>
              <w:t>分</w:t>
            </w:r>
            <w:r>
              <w:rPr>
                <w:rFonts w:hint="eastAsia" w:cs="Times New Roman"/>
                <w:color w:val="auto"/>
                <w:sz w:val="24"/>
                <w:lang w:val="en-US" w:eastAsia="zh-CN"/>
              </w:rPr>
              <w:t>11.26</w:t>
            </w:r>
            <w:r>
              <w:rPr>
                <w:rFonts w:hint="default" w:ascii="Times New Roman" w:hAnsi="Times New Roman" w:cs="Times New Roman"/>
                <w:color w:val="auto"/>
                <w:sz w:val="24"/>
              </w:rPr>
              <w:t>秒，北纬34度</w:t>
            </w:r>
            <w:r>
              <w:rPr>
                <w:rFonts w:hint="eastAsia" w:cs="Times New Roman"/>
                <w:color w:val="auto"/>
                <w:sz w:val="24"/>
                <w:lang w:val="en-US" w:eastAsia="zh-CN"/>
              </w:rPr>
              <w:t>18</w:t>
            </w:r>
            <w:r>
              <w:rPr>
                <w:rFonts w:hint="default" w:ascii="Times New Roman" w:hAnsi="Times New Roman" w:cs="Times New Roman"/>
                <w:color w:val="auto"/>
                <w:sz w:val="24"/>
              </w:rPr>
              <w:t>分</w:t>
            </w:r>
            <w:r>
              <w:rPr>
                <w:rFonts w:hint="eastAsia" w:cs="Times New Roman"/>
                <w:color w:val="auto"/>
                <w:sz w:val="24"/>
                <w:lang w:val="en-US" w:eastAsia="zh-CN"/>
              </w:rPr>
              <w:t>37.09</w:t>
            </w:r>
            <w:r>
              <w:rPr>
                <w:rFonts w:hint="default" w:ascii="Times New Roman" w:hAnsi="Times New Roman" w:cs="Times New Roman"/>
                <w:color w:val="auto"/>
                <w:sz w:val="24"/>
              </w:rPr>
              <w:t>秒。详见附图1地理位置图。</w:t>
            </w:r>
          </w:p>
          <w:p w14:paraId="6B5D281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四邻关系：</w:t>
            </w:r>
            <w:r>
              <w:rPr>
                <w:rFonts w:hint="eastAsia" w:ascii="Times New Roman" w:hAnsi="Times New Roman" w:cs="Times New Roman"/>
                <w:color w:val="auto"/>
                <w:sz w:val="24"/>
              </w:rPr>
              <w:t>本项目位于</w:t>
            </w:r>
            <w:r>
              <w:rPr>
                <w:rFonts w:hint="eastAsia" w:cs="Times New Roman"/>
                <w:color w:val="auto"/>
                <w:sz w:val="24"/>
                <w:lang w:eastAsia="zh-CN"/>
              </w:rPr>
              <w:t>陕西省西咸新区沣东新城建章路168号</w:t>
            </w:r>
            <w:r>
              <w:rPr>
                <w:rFonts w:hint="eastAsia" w:ascii="Times New Roman" w:hAnsi="Times New Roman" w:cs="Times New Roman"/>
                <w:color w:val="auto"/>
                <w:sz w:val="24"/>
              </w:rPr>
              <w:t>。厂区</w:t>
            </w:r>
            <w:r>
              <w:rPr>
                <w:rFonts w:hint="eastAsia" w:ascii="Times New Roman" w:hAnsi="Times New Roman" w:cs="Times New Roman"/>
                <w:color w:val="auto"/>
                <w:sz w:val="24"/>
                <w:lang w:val="en-US" w:eastAsia="zh-CN"/>
              </w:rPr>
              <w:t>路东为双凤村用地，路边为沿街商铺，南侧为五一村，西侧为高堡子村，北侧</w:t>
            </w:r>
            <w:r>
              <w:rPr>
                <w:rFonts w:hint="eastAsia" w:cs="Times New Roman"/>
                <w:color w:val="auto"/>
                <w:sz w:val="24"/>
                <w:lang w:val="en-US" w:eastAsia="zh-CN"/>
              </w:rPr>
              <w:t>为红星汽修厂，</w:t>
            </w:r>
            <w:r>
              <w:rPr>
                <w:rFonts w:hint="eastAsia" w:ascii="Times New Roman" w:hAnsi="Times New Roman" w:cs="Times New Roman"/>
                <w:color w:val="auto"/>
                <w:sz w:val="24"/>
                <w:lang w:val="en-US" w:eastAsia="zh-CN"/>
              </w:rPr>
              <w:t>隔零五路</w:t>
            </w:r>
            <w:r>
              <w:rPr>
                <w:rFonts w:hint="eastAsia" w:cs="Times New Roman"/>
                <w:color w:val="auto"/>
                <w:sz w:val="24"/>
                <w:lang w:val="en-US" w:eastAsia="zh-CN"/>
              </w:rPr>
              <w:t>路北</w:t>
            </w:r>
            <w:r>
              <w:rPr>
                <w:rFonts w:hint="eastAsia" w:ascii="Times New Roman" w:hAnsi="Times New Roman" w:cs="Times New Roman"/>
                <w:color w:val="auto"/>
                <w:sz w:val="24"/>
                <w:lang w:val="en-US" w:eastAsia="zh-CN"/>
              </w:rPr>
              <w:t>为沣东发展集团</w:t>
            </w:r>
            <w:r>
              <w:rPr>
                <w:rFonts w:hint="eastAsia" w:ascii="Times New Roman" w:hAnsi="Times New Roman" w:cs="Times New Roman"/>
                <w:color w:val="auto"/>
                <w:sz w:val="24"/>
              </w:rPr>
              <w:t>。</w:t>
            </w:r>
            <w:r>
              <w:rPr>
                <w:rFonts w:hint="default" w:ascii="Times New Roman" w:hAnsi="Times New Roman" w:cs="Times New Roman"/>
                <w:color w:val="auto"/>
                <w:kern w:val="0"/>
                <w:sz w:val="24"/>
                <w:lang w:bidi="ar"/>
              </w:rPr>
              <w:t>本项目</w:t>
            </w:r>
            <w:r>
              <w:rPr>
                <w:rFonts w:hint="eastAsia" w:cs="Times New Roman"/>
                <w:color w:val="auto"/>
                <w:kern w:val="0"/>
                <w:sz w:val="24"/>
                <w:lang w:val="en-US" w:eastAsia="zh-CN" w:bidi="ar"/>
              </w:rPr>
              <w:t>利用现有厂房，</w:t>
            </w:r>
            <w:r>
              <w:rPr>
                <w:rFonts w:hint="default" w:ascii="Times New Roman" w:hAnsi="Times New Roman" w:cs="Times New Roman"/>
                <w:color w:val="auto"/>
                <w:kern w:val="0"/>
                <w:sz w:val="24"/>
                <w:lang w:bidi="ar"/>
              </w:rPr>
              <w:t>不新增用地</w:t>
            </w:r>
            <w:r>
              <w:rPr>
                <w:rFonts w:hint="eastAsia" w:ascii="Times New Roman" w:hAnsi="Times New Roman" w:cs="Times New Roman"/>
                <w:color w:val="auto"/>
                <w:sz w:val="24"/>
              </w:rPr>
              <w:t>。</w:t>
            </w:r>
            <w:r>
              <w:rPr>
                <w:rFonts w:hint="default" w:ascii="Times New Roman" w:hAnsi="Times New Roman" w:cs="Times New Roman"/>
                <w:color w:val="auto"/>
                <w:sz w:val="24"/>
              </w:rPr>
              <w:t>详见附图</w:t>
            </w:r>
            <w:r>
              <w:rPr>
                <w:rFonts w:hint="eastAsia" w:ascii="Times New Roman" w:hAnsi="Times New Roman" w:cs="Times New Roman"/>
                <w:color w:val="auto"/>
                <w:sz w:val="24"/>
              </w:rPr>
              <w:t>2</w:t>
            </w:r>
            <w:r>
              <w:rPr>
                <w:rFonts w:hint="default" w:ascii="Times New Roman" w:hAnsi="Times New Roman" w:cs="Times New Roman"/>
                <w:color w:val="auto"/>
                <w:sz w:val="24"/>
              </w:rPr>
              <w:t>四邻关系图。</w:t>
            </w:r>
          </w:p>
          <w:p w14:paraId="01A99BE0">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ascii="Times New Roman" w:hAnsi="Times New Roman" w:cs="Times New Roman"/>
                <w:b/>
                <w:bCs/>
                <w:color w:val="auto"/>
                <w:sz w:val="24"/>
              </w:rPr>
              <w:t>2</w:t>
            </w:r>
            <w:r>
              <w:rPr>
                <w:rFonts w:hint="default" w:ascii="Times New Roman" w:hAnsi="Times New Roman" w:cs="Times New Roman"/>
                <w:b/>
                <w:bCs/>
                <w:color w:val="auto"/>
                <w:sz w:val="24"/>
              </w:rPr>
              <w:t>、建设规模及建设内容</w:t>
            </w:r>
          </w:p>
          <w:p w14:paraId="50AA171B">
            <w:pPr>
              <w:keepNext w:val="0"/>
              <w:keepLines w:val="0"/>
              <w:widowControl/>
              <w:suppressLineNumbers w:val="0"/>
              <w:spacing w:before="0" w:beforeAutospacing="0" w:after="0" w:afterAutospacing="0" w:line="360" w:lineRule="auto"/>
              <w:ind w:left="0" w:right="0" w:firstLine="480" w:firstLineChars="200"/>
              <w:rPr>
                <w:rFonts w:hint="default" w:cs="Times New Roman"/>
                <w:color w:val="auto"/>
                <w:sz w:val="24"/>
                <w:lang w:val="en-US" w:eastAsia="zh-CN"/>
              </w:rPr>
            </w:pPr>
            <w:r>
              <w:rPr>
                <w:rFonts w:hint="eastAsia" w:cs="Times New Roman"/>
                <w:color w:val="auto"/>
                <w:sz w:val="24"/>
                <w:lang w:val="en-US" w:eastAsia="zh-CN"/>
              </w:rPr>
              <w:t>因设备老旧，</w:t>
            </w:r>
            <w:r>
              <w:rPr>
                <w:rFonts w:hint="eastAsia" w:ascii="Times New Roman" w:hAnsi="Times New Roman" w:cs="Times New Roman"/>
                <w:color w:val="auto"/>
                <w:sz w:val="24"/>
              </w:rPr>
              <w:t>本项目</w:t>
            </w:r>
            <w:r>
              <w:rPr>
                <w:rFonts w:hint="eastAsia" w:cs="Times New Roman"/>
                <w:color w:val="auto"/>
                <w:sz w:val="24"/>
                <w:lang w:val="en-US" w:eastAsia="zh-CN"/>
              </w:rPr>
              <w:t>拆除原有车间所有设备，</w:t>
            </w:r>
            <w:r>
              <w:rPr>
                <w:rFonts w:hint="eastAsia" w:ascii="Times New Roman" w:hAnsi="Times New Roman" w:cs="Times New Roman"/>
                <w:color w:val="auto"/>
                <w:kern w:val="0"/>
                <w:sz w:val="24"/>
                <w:szCs w:val="36"/>
                <w:lang w:val="en-US" w:eastAsia="zh-CN"/>
              </w:rPr>
              <w:t>并</w:t>
            </w:r>
            <w:r>
              <w:rPr>
                <w:rFonts w:hint="eastAsia" w:cs="Times New Roman"/>
                <w:color w:val="auto"/>
                <w:sz w:val="24"/>
                <w:lang w:val="en-US" w:eastAsia="zh-CN"/>
              </w:rPr>
              <w:t>利用原有闲置北侧厂房改造1200平方米设为3号车间，设置1条铁钉本联动线和1条胶装本生产线；利用原有西侧闲置厂房改造为5号车间（300平方米），新增一台覆膜机；原有1号生产车间拆除原有生产线，新增车线本生产线1条，铁钉本联动线4条，胶装本生产线3条，NB联动线4条；原有闲置厂房2号车间新增铁钉本联动线1条，胶装本生产线1条，印刷机6台，覆膜机2台，上光机1台；原有闲置厂房4号车间新增胶印机2台、切纸刀2台、折页机1台、压线机1台、骑马钉机1台。</w:t>
            </w:r>
          </w:p>
          <w:p w14:paraId="54A2963B">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cs="Times New Roman"/>
                <w:color w:val="auto"/>
                <w:sz w:val="24"/>
                <w:lang w:val="en-US" w:eastAsia="zh-CN"/>
              </w:rPr>
              <w:t>达到年产铁钉本1500吨、胶装本1000吨、车线本1000吨、线环本800吨、胶套本1200吨、复印纸200吨、封面1000吨、教材教辅3000吨等生产规模</w:t>
            </w:r>
            <w:r>
              <w:rPr>
                <w:rFonts w:hint="eastAsia" w:ascii="Times New Roman" w:hAnsi="Times New Roman" w:cs="Times New Roman"/>
                <w:color w:val="auto"/>
                <w:sz w:val="24"/>
              </w:rPr>
              <w:t>。</w:t>
            </w:r>
          </w:p>
          <w:p w14:paraId="3E3C13E8">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ascii="Times New Roman" w:hAnsi="Times New Roman" w:cs="Times New Roman"/>
                <w:b/>
                <w:bCs/>
                <w:color w:val="auto"/>
                <w:sz w:val="24"/>
              </w:rPr>
              <w:t>3、项目组成</w:t>
            </w:r>
          </w:p>
          <w:p w14:paraId="4AC96B31">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本项目工程组成见表2-1。</w:t>
            </w:r>
          </w:p>
          <w:p w14:paraId="67FC68CC">
            <w:pPr>
              <w:keepNext w:val="0"/>
              <w:keepLines w:val="0"/>
              <w:widowControl/>
              <w:suppressLineNumbers w:val="0"/>
              <w:spacing w:before="0" w:beforeAutospacing="0" w:after="0" w:afterAutospacing="0"/>
              <w:ind w:left="0" w:right="0"/>
              <w:jc w:val="center"/>
              <w:rPr>
                <w:rFonts w:hint="eastAsia" w:ascii="Times New Roman" w:hAnsi="宋体" w:cs="Times New Roman"/>
                <w:b/>
                <w:bCs/>
                <w:color w:val="auto"/>
                <w:sz w:val="24"/>
              </w:rPr>
            </w:pPr>
            <w:r>
              <w:rPr>
                <w:rFonts w:hint="default" w:ascii="Times New Roman" w:hAnsi="Times New Roman" w:cs="Times New Roman"/>
                <w:b/>
                <w:bCs/>
                <w:color w:val="auto"/>
                <w:sz w:val="24"/>
              </w:rPr>
              <w:t>表2-1  本项目工程组成</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4"/>
              <w:gridCol w:w="426"/>
              <w:gridCol w:w="678"/>
              <w:gridCol w:w="2250"/>
              <w:gridCol w:w="2685"/>
              <w:gridCol w:w="1901"/>
            </w:tblGrid>
            <w:tr w14:paraId="1126D6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396" w:type="pct"/>
                  <w:noWrap w:val="0"/>
                  <w:vAlign w:val="center"/>
                </w:tcPr>
                <w:p w14:paraId="5354AC1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rPr>
                  </w:pPr>
                  <w:bookmarkStart w:id="5" w:name="OLE_LINK1" w:colFirst="0" w:colLast="4"/>
                  <w:bookmarkStart w:id="6" w:name="OLE_LINK2" w:colFirst="0" w:colLast="4"/>
                  <w:bookmarkStart w:id="7" w:name="_Hlk38377492"/>
                  <w:r>
                    <w:rPr>
                      <w:rFonts w:hint="default" w:ascii="Times New Roman" w:hAnsi="Times New Roman" w:cs="Times New Roman"/>
                      <w:b/>
                      <w:color w:val="auto"/>
                      <w:szCs w:val="21"/>
                    </w:rPr>
                    <w:t>项目工程组成</w:t>
                  </w:r>
                </w:p>
              </w:tc>
              <w:tc>
                <w:tcPr>
                  <w:tcW w:w="640" w:type="pct"/>
                  <w:gridSpan w:val="2"/>
                  <w:noWrap w:val="0"/>
                  <w:vAlign w:val="center"/>
                </w:tcPr>
                <w:p w14:paraId="6A19DF9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子工程</w:t>
                  </w:r>
                </w:p>
              </w:tc>
              <w:tc>
                <w:tcPr>
                  <w:tcW w:w="1304" w:type="pct"/>
                  <w:noWrap w:val="0"/>
                  <w:vAlign w:val="center"/>
                </w:tcPr>
                <w:p w14:paraId="32E401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color w:val="auto"/>
                      <w:szCs w:val="21"/>
                      <w:lang w:val="en-US" w:eastAsia="zh-CN"/>
                    </w:rPr>
                  </w:pPr>
                  <w:r>
                    <w:rPr>
                      <w:rFonts w:hint="eastAsia" w:cs="Times New Roman"/>
                      <w:b/>
                      <w:color w:val="auto"/>
                      <w:szCs w:val="21"/>
                      <w:lang w:val="en-US" w:eastAsia="zh-CN"/>
                    </w:rPr>
                    <w:t>现有工程建设规模</w:t>
                  </w:r>
                </w:p>
              </w:tc>
              <w:tc>
                <w:tcPr>
                  <w:tcW w:w="1556" w:type="pct"/>
                  <w:noWrap w:val="0"/>
                  <w:vAlign w:val="center"/>
                </w:tcPr>
                <w:p w14:paraId="6A94459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rPr>
                  </w:pPr>
                  <w:r>
                    <w:rPr>
                      <w:rFonts w:hint="eastAsia" w:cs="Times New Roman"/>
                      <w:b/>
                      <w:color w:val="auto"/>
                      <w:szCs w:val="21"/>
                      <w:lang w:val="en-US" w:eastAsia="zh-CN"/>
                    </w:rPr>
                    <w:t>改扩建</w:t>
                  </w:r>
                  <w:r>
                    <w:rPr>
                      <w:rFonts w:hint="default" w:ascii="Times New Roman" w:hAnsi="Times New Roman" w:cs="Times New Roman"/>
                      <w:b/>
                      <w:color w:val="auto"/>
                      <w:szCs w:val="21"/>
                    </w:rPr>
                    <w:t>工程</w:t>
                  </w:r>
                  <w:r>
                    <w:rPr>
                      <w:rFonts w:hint="eastAsia" w:cs="Times New Roman"/>
                      <w:b/>
                      <w:color w:val="auto"/>
                      <w:szCs w:val="21"/>
                      <w:lang w:val="en-US" w:eastAsia="zh-CN"/>
                    </w:rPr>
                    <w:t>建设</w:t>
                  </w:r>
                  <w:r>
                    <w:rPr>
                      <w:rFonts w:hint="default" w:ascii="Times New Roman" w:hAnsi="Times New Roman" w:cs="Times New Roman"/>
                      <w:b/>
                      <w:color w:val="auto"/>
                      <w:szCs w:val="21"/>
                    </w:rPr>
                    <w:t>规模</w:t>
                  </w:r>
                </w:p>
              </w:tc>
              <w:tc>
                <w:tcPr>
                  <w:tcW w:w="1102" w:type="pct"/>
                  <w:noWrap w:val="0"/>
                  <w:vAlign w:val="center"/>
                </w:tcPr>
                <w:p w14:paraId="57B1062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备注</w:t>
                  </w:r>
                </w:p>
              </w:tc>
            </w:tr>
            <w:tr w14:paraId="3CFC0B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96" w:type="pct"/>
                  <w:vMerge w:val="restart"/>
                  <w:noWrap w:val="0"/>
                  <w:vAlign w:val="center"/>
                </w:tcPr>
                <w:p w14:paraId="652F21C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主体工程</w:t>
                  </w:r>
                </w:p>
              </w:tc>
              <w:tc>
                <w:tcPr>
                  <w:tcW w:w="640" w:type="pct"/>
                  <w:gridSpan w:val="2"/>
                  <w:noWrap w:val="0"/>
                  <w:vAlign w:val="center"/>
                </w:tcPr>
                <w:p w14:paraId="6E8AFC2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1号</w:t>
                  </w:r>
                  <w:r>
                    <w:rPr>
                      <w:rFonts w:hint="eastAsia" w:ascii="Times New Roman" w:hAnsi="Times New Roman" w:cs="Times New Roman"/>
                      <w:color w:val="000000" w:themeColor="text1"/>
                      <w:szCs w:val="21"/>
                      <w14:textFill>
                        <w14:solidFill>
                          <w14:schemeClr w14:val="tx1"/>
                        </w14:solidFill>
                      </w14:textFill>
                    </w:rPr>
                    <w:t>车间</w:t>
                  </w:r>
                </w:p>
              </w:tc>
              <w:tc>
                <w:tcPr>
                  <w:tcW w:w="1304" w:type="pct"/>
                  <w:noWrap w:val="0"/>
                  <w:vAlign w:val="center"/>
                </w:tcPr>
                <w:p w14:paraId="0A9880CC">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建筑面积6800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eastAsia" w:cs="Times New Roman"/>
                      <w:color w:val="000000" w:themeColor="text1"/>
                      <w:szCs w:val="21"/>
                      <w:lang w:val="en-US" w:eastAsia="zh-CN"/>
                      <w14:textFill>
                        <w14:solidFill>
                          <w14:schemeClr w14:val="tx1"/>
                        </w14:solidFill>
                      </w14:textFill>
                    </w:rPr>
                    <w:t>，主要包括2条铁钉本联动线、6条专业作业本生产线、6条胶装本生产线、2条精装生产线、2条裹背条生产线和2条可平摊笔记本生产线</w:t>
                  </w:r>
                </w:p>
              </w:tc>
              <w:tc>
                <w:tcPr>
                  <w:tcW w:w="1556" w:type="pct"/>
                  <w:noWrap w:val="0"/>
                  <w:vAlign w:val="center"/>
                </w:tcPr>
                <w:p w14:paraId="0D39CB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淘汰原有设备，新增车线本生产线1条，铁钉本联动线4条，胶装本生产线3条，NB联动线4条，使用水性油墨印刷</w:t>
                  </w:r>
                </w:p>
              </w:tc>
              <w:tc>
                <w:tcPr>
                  <w:tcW w:w="1102" w:type="pct"/>
                  <w:noWrap w:val="0"/>
                  <w:vAlign w:val="center"/>
                </w:tcPr>
                <w:p w14:paraId="1B3B18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cs="Times New Roman"/>
                      <w:color w:val="000000" w:themeColor="text1"/>
                      <w:kern w:val="0"/>
                      <w:szCs w:val="21"/>
                      <w:lang w:val="en-US" w:eastAsia="zh-CN" w:bidi="ar"/>
                      <w14:textFill>
                        <w14:solidFill>
                          <w14:schemeClr w14:val="tx1"/>
                        </w14:solidFill>
                      </w14:textFill>
                    </w:rPr>
                    <w:t>淘汰原有车间内的所有设备，</w:t>
                  </w:r>
                  <w:r>
                    <w:rPr>
                      <w:rFonts w:hint="eastAsia" w:cs="Times New Roman"/>
                      <w:color w:val="000000" w:themeColor="text1"/>
                      <w:szCs w:val="21"/>
                      <w:lang w:val="en-US" w:eastAsia="zh-CN"/>
                      <w14:textFill>
                        <w14:solidFill>
                          <w14:schemeClr w14:val="tx1"/>
                        </w14:solidFill>
                      </w14:textFill>
                    </w:rPr>
                    <w:t>新增生产线，均已</w:t>
                  </w:r>
                  <w:r>
                    <w:rPr>
                      <w:rFonts w:hint="eastAsia" w:cs="Times New Roman"/>
                      <w:color w:val="000000" w:themeColor="text1"/>
                      <w:kern w:val="0"/>
                      <w:szCs w:val="21"/>
                      <w:lang w:val="en-US" w:eastAsia="zh-CN" w:bidi="ar"/>
                      <w14:textFill>
                        <w14:solidFill>
                          <w14:schemeClr w14:val="tx1"/>
                        </w14:solidFill>
                      </w14:textFill>
                    </w:rPr>
                    <w:t>建成</w:t>
                  </w:r>
                </w:p>
              </w:tc>
            </w:tr>
            <w:tr w14:paraId="7BF980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396" w:type="pct"/>
                  <w:vMerge w:val="continue"/>
                  <w:noWrap w:val="0"/>
                  <w:vAlign w:val="center"/>
                </w:tcPr>
                <w:p w14:paraId="64A5AC0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2CEBC9F1">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2号</w:t>
                  </w:r>
                  <w:r>
                    <w:rPr>
                      <w:rFonts w:hint="eastAsia" w:ascii="Times New Roman" w:hAnsi="Times New Roman" w:cs="Times New Roman"/>
                      <w:color w:val="000000" w:themeColor="text1"/>
                      <w:szCs w:val="21"/>
                      <w14:textFill>
                        <w14:solidFill>
                          <w14:schemeClr w14:val="tx1"/>
                        </w14:solidFill>
                      </w14:textFill>
                    </w:rPr>
                    <w:t>车间</w:t>
                  </w:r>
                </w:p>
              </w:tc>
              <w:tc>
                <w:tcPr>
                  <w:tcW w:w="1304" w:type="pct"/>
                  <w:noWrap w:val="0"/>
                  <w:vAlign w:val="center"/>
                </w:tcPr>
                <w:p w14:paraId="73C1D82B">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建筑面积2100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eastAsia" w:cs="Times New Roman"/>
                      <w:color w:val="000000" w:themeColor="text1"/>
                      <w:szCs w:val="21"/>
                      <w:lang w:val="en-US" w:eastAsia="zh-CN"/>
                      <w14:textFill>
                        <w14:solidFill>
                          <w14:schemeClr w14:val="tx1"/>
                        </w14:solidFill>
                      </w14:textFill>
                    </w:rPr>
                    <w:t>，为闲置生产车间</w:t>
                  </w:r>
                </w:p>
              </w:tc>
              <w:tc>
                <w:tcPr>
                  <w:tcW w:w="1556" w:type="pct"/>
                  <w:noWrap w:val="0"/>
                  <w:vAlign w:val="center"/>
                </w:tcPr>
                <w:p w14:paraId="32E55C6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lang w:val="en-US"/>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建筑面积2100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eastAsia" w:cs="Times New Roman"/>
                      <w:color w:val="000000" w:themeColor="text1"/>
                      <w:szCs w:val="21"/>
                      <w:lang w:val="en-US" w:eastAsia="zh-CN"/>
                      <w14:textFill>
                        <w14:solidFill>
                          <w14:schemeClr w14:val="tx1"/>
                        </w14:solidFill>
                      </w14:textFill>
                    </w:rPr>
                    <w:t>，新增铁钉本联动线1条，胶装本生产线1条，印刷机6台，覆膜机2台、上光机1台，使用胶印油墨印刷</w:t>
                  </w:r>
                </w:p>
              </w:tc>
              <w:tc>
                <w:tcPr>
                  <w:tcW w:w="1102" w:type="pct"/>
                  <w:noWrap w:val="0"/>
                  <w:vAlign w:val="center"/>
                </w:tcPr>
                <w:p w14:paraId="406C4C5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新增生产线，</w:t>
                  </w:r>
                  <w:r>
                    <w:rPr>
                      <w:rFonts w:hint="eastAsia" w:cs="Times New Roman"/>
                      <w:color w:val="000000" w:themeColor="text1"/>
                      <w:kern w:val="0"/>
                      <w:szCs w:val="21"/>
                      <w:lang w:val="en-US" w:eastAsia="zh-CN" w:bidi="ar"/>
                      <w14:textFill>
                        <w14:solidFill>
                          <w14:schemeClr w14:val="tx1"/>
                        </w14:solidFill>
                      </w14:textFill>
                    </w:rPr>
                    <w:t>已建成</w:t>
                  </w:r>
                </w:p>
              </w:tc>
            </w:tr>
            <w:tr w14:paraId="271150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396" w:type="pct"/>
                  <w:vMerge w:val="continue"/>
                  <w:noWrap w:val="0"/>
                  <w:vAlign w:val="center"/>
                </w:tcPr>
                <w:p w14:paraId="2559C9F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6968899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3号</w:t>
                  </w:r>
                  <w:r>
                    <w:rPr>
                      <w:rFonts w:hint="eastAsia" w:ascii="Times New Roman" w:hAnsi="Times New Roman" w:cs="Times New Roman"/>
                      <w:color w:val="000000" w:themeColor="text1"/>
                      <w:szCs w:val="21"/>
                      <w14:textFill>
                        <w14:solidFill>
                          <w14:schemeClr w14:val="tx1"/>
                        </w14:solidFill>
                      </w14:textFill>
                    </w:rPr>
                    <w:t>车间</w:t>
                  </w:r>
                </w:p>
              </w:tc>
              <w:tc>
                <w:tcPr>
                  <w:tcW w:w="1304" w:type="pct"/>
                  <w:noWrap w:val="0"/>
                  <w:vAlign w:val="center"/>
                </w:tcPr>
                <w:p w14:paraId="7C766BAB">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建筑面积1200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eastAsia" w:cs="Times New Roman"/>
                      <w:color w:val="000000" w:themeColor="text1"/>
                      <w:szCs w:val="21"/>
                      <w:lang w:val="en-US" w:eastAsia="zh-CN"/>
                      <w14:textFill>
                        <w14:solidFill>
                          <w14:schemeClr w14:val="tx1"/>
                        </w14:solidFill>
                      </w14:textFill>
                    </w:rPr>
                    <w:t>，为闲置厂房</w:t>
                  </w:r>
                </w:p>
              </w:tc>
              <w:tc>
                <w:tcPr>
                  <w:tcW w:w="1556" w:type="pct"/>
                  <w:noWrap w:val="0"/>
                  <w:vAlign w:val="center"/>
                </w:tcPr>
                <w:p w14:paraId="1C29DE1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lang w:val="en-US"/>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建筑面积1200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eastAsia" w:cs="Times New Roman"/>
                      <w:color w:val="000000" w:themeColor="text1"/>
                      <w:szCs w:val="21"/>
                      <w:lang w:val="en-US" w:eastAsia="zh-CN"/>
                      <w14:textFill>
                        <w14:solidFill>
                          <w14:schemeClr w14:val="tx1"/>
                        </w14:solidFill>
                      </w14:textFill>
                    </w:rPr>
                    <w:t>，新增铁钉本联动线1条，胶装本生产线1条，胶装机1台，折页机4台，试卷机1台，使用水性油墨印刷</w:t>
                  </w:r>
                </w:p>
              </w:tc>
              <w:tc>
                <w:tcPr>
                  <w:tcW w:w="1102" w:type="pct"/>
                  <w:noWrap w:val="0"/>
                  <w:vAlign w:val="center"/>
                </w:tcPr>
                <w:p w14:paraId="75B7E18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新增生产线，</w:t>
                  </w:r>
                  <w:r>
                    <w:rPr>
                      <w:rFonts w:hint="eastAsia" w:cs="Times New Roman"/>
                      <w:color w:val="000000" w:themeColor="text1"/>
                      <w:kern w:val="0"/>
                      <w:szCs w:val="21"/>
                      <w:lang w:val="en-US" w:eastAsia="zh-CN" w:bidi="ar"/>
                      <w14:textFill>
                        <w14:solidFill>
                          <w14:schemeClr w14:val="tx1"/>
                        </w14:solidFill>
                      </w14:textFill>
                    </w:rPr>
                    <w:t>已建成</w:t>
                  </w:r>
                </w:p>
              </w:tc>
            </w:tr>
            <w:tr w14:paraId="7D3263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396" w:type="pct"/>
                  <w:vMerge w:val="continue"/>
                  <w:noWrap w:val="0"/>
                  <w:vAlign w:val="center"/>
                </w:tcPr>
                <w:p w14:paraId="31D49F3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6F860CD8">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4号</w:t>
                  </w:r>
                  <w:r>
                    <w:rPr>
                      <w:rFonts w:hint="eastAsia" w:ascii="Times New Roman" w:hAnsi="Times New Roman" w:cs="Times New Roman"/>
                      <w:color w:val="000000" w:themeColor="text1"/>
                      <w:szCs w:val="21"/>
                      <w14:textFill>
                        <w14:solidFill>
                          <w14:schemeClr w14:val="tx1"/>
                        </w14:solidFill>
                      </w14:textFill>
                    </w:rPr>
                    <w:t>车间</w:t>
                  </w:r>
                </w:p>
              </w:tc>
              <w:tc>
                <w:tcPr>
                  <w:tcW w:w="1304" w:type="pct"/>
                  <w:noWrap w:val="0"/>
                  <w:vAlign w:val="center"/>
                </w:tcPr>
                <w:p w14:paraId="3421038D">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建筑面积1400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eastAsia" w:cs="Times New Roman"/>
                      <w:color w:val="000000" w:themeColor="text1"/>
                      <w:szCs w:val="21"/>
                      <w:lang w:val="en-US" w:eastAsia="zh-CN"/>
                      <w14:textFill>
                        <w14:solidFill>
                          <w14:schemeClr w14:val="tx1"/>
                        </w14:solidFill>
                      </w14:textFill>
                    </w:rPr>
                    <w:t>，为闲置生产车间</w:t>
                  </w:r>
                </w:p>
              </w:tc>
              <w:tc>
                <w:tcPr>
                  <w:tcW w:w="1556" w:type="pct"/>
                  <w:noWrap w:val="0"/>
                  <w:vAlign w:val="center"/>
                </w:tcPr>
                <w:p w14:paraId="694400C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lang w:val="en-US"/>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建筑面积1400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eastAsia" w:cs="Times New Roman"/>
                      <w:color w:val="000000" w:themeColor="text1"/>
                      <w:szCs w:val="21"/>
                      <w:lang w:val="en-US" w:eastAsia="zh-CN"/>
                      <w14:textFill>
                        <w14:solidFill>
                          <w14:schemeClr w14:val="tx1"/>
                        </w14:solidFill>
                      </w14:textFill>
                    </w:rPr>
                    <w:t>，新增胶印机2台、切纸刀2台、折页机1台、压线机1台、骑马钉机1台，使用胶印油墨印刷</w:t>
                  </w:r>
                </w:p>
              </w:tc>
              <w:tc>
                <w:tcPr>
                  <w:tcW w:w="1102" w:type="pct"/>
                  <w:noWrap w:val="0"/>
                  <w:vAlign w:val="center"/>
                </w:tcPr>
                <w:p w14:paraId="7D7C96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新增生产线，</w:t>
                  </w:r>
                  <w:r>
                    <w:rPr>
                      <w:rFonts w:hint="eastAsia" w:cs="Times New Roman"/>
                      <w:color w:val="000000" w:themeColor="text1"/>
                      <w:kern w:val="0"/>
                      <w:szCs w:val="21"/>
                      <w:lang w:val="en-US" w:eastAsia="zh-CN" w:bidi="ar"/>
                      <w14:textFill>
                        <w14:solidFill>
                          <w14:schemeClr w14:val="tx1"/>
                        </w14:solidFill>
                      </w14:textFill>
                    </w:rPr>
                    <w:t>已建成</w:t>
                  </w:r>
                </w:p>
              </w:tc>
            </w:tr>
            <w:tr w14:paraId="448B02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96" w:type="pct"/>
                  <w:vMerge w:val="continue"/>
                  <w:noWrap w:val="0"/>
                  <w:vAlign w:val="center"/>
                </w:tcPr>
                <w:p w14:paraId="01A3878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2F9A5C3A">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5号</w:t>
                  </w:r>
                  <w:r>
                    <w:rPr>
                      <w:rFonts w:hint="eastAsia" w:ascii="Times New Roman" w:hAnsi="Times New Roman" w:cs="Times New Roman"/>
                      <w:color w:val="000000" w:themeColor="text1"/>
                      <w:szCs w:val="21"/>
                      <w14:textFill>
                        <w14:solidFill>
                          <w14:schemeClr w14:val="tx1"/>
                        </w14:solidFill>
                      </w14:textFill>
                    </w:rPr>
                    <w:t>车间</w:t>
                  </w:r>
                </w:p>
              </w:tc>
              <w:tc>
                <w:tcPr>
                  <w:tcW w:w="1304" w:type="pct"/>
                  <w:noWrap w:val="0"/>
                  <w:vAlign w:val="center"/>
                </w:tcPr>
                <w:p w14:paraId="29E771C7">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建筑面积300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eastAsia" w:cs="Times New Roman"/>
                      <w:color w:val="000000" w:themeColor="text1"/>
                      <w:szCs w:val="21"/>
                      <w:lang w:val="en-US" w:eastAsia="zh-CN"/>
                      <w14:textFill>
                        <w14:solidFill>
                          <w14:schemeClr w14:val="tx1"/>
                        </w14:solidFill>
                      </w14:textFill>
                    </w:rPr>
                    <w:t>，为闲置厂房</w:t>
                  </w:r>
                </w:p>
              </w:tc>
              <w:tc>
                <w:tcPr>
                  <w:tcW w:w="1556" w:type="pct"/>
                  <w:noWrap w:val="0"/>
                  <w:vAlign w:val="center"/>
                </w:tcPr>
                <w:p w14:paraId="1BE9DCC8">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建筑面积300</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2</w:t>
                  </w:r>
                  <w:r>
                    <w:rPr>
                      <w:rFonts w:hint="eastAsia" w:cs="Times New Roman"/>
                      <w:color w:val="000000" w:themeColor="text1"/>
                      <w:szCs w:val="21"/>
                      <w:lang w:val="en-US" w:eastAsia="zh-CN"/>
                      <w14:textFill>
                        <w14:solidFill>
                          <w14:schemeClr w14:val="tx1"/>
                        </w14:solidFill>
                      </w14:textFill>
                    </w:rPr>
                    <w:t>，新增覆膜机1台</w:t>
                  </w:r>
                </w:p>
              </w:tc>
              <w:tc>
                <w:tcPr>
                  <w:tcW w:w="1102" w:type="pct"/>
                  <w:noWrap w:val="0"/>
                  <w:vAlign w:val="center"/>
                </w:tcPr>
                <w:p w14:paraId="6C3F1D5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新增生产线，</w:t>
                  </w:r>
                  <w:r>
                    <w:rPr>
                      <w:rFonts w:hint="eastAsia" w:cs="Times New Roman"/>
                      <w:color w:val="000000" w:themeColor="text1"/>
                      <w:kern w:val="0"/>
                      <w:szCs w:val="21"/>
                      <w:lang w:val="en-US" w:eastAsia="zh-CN" w:bidi="ar"/>
                      <w14:textFill>
                        <w14:solidFill>
                          <w14:schemeClr w14:val="tx1"/>
                        </w14:solidFill>
                      </w14:textFill>
                    </w:rPr>
                    <w:t>已建成</w:t>
                  </w:r>
                </w:p>
              </w:tc>
            </w:tr>
            <w:tr w14:paraId="0A4ED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396" w:type="pct"/>
                  <w:vMerge w:val="restart"/>
                  <w:noWrap w:val="0"/>
                  <w:vAlign w:val="center"/>
                </w:tcPr>
                <w:p w14:paraId="32E0752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辅助工程</w:t>
                  </w:r>
                </w:p>
              </w:tc>
              <w:tc>
                <w:tcPr>
                  <w:tcW w:w="640" w:type="pct"/>
                  <w:gridSpan w:val="2"/>
                  <w:noWrap w:val="0"/>
                  <w:vAlign w:val="center"/>
                </w:tcPr>
                <w:p w14:paraId="7E4F5D0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办公楼</w:t>
                  </w:r>
                </w:p>
              </w:tc>
              <w:tc>
                <w:tcPr>
                  <w:tcW w:w="2861" w:type="pct"/>
                  <w:gridSpan w:val="2"/>
                  <w:noWrap w:val="0"/>
                  <w:vAlign w:val="center"/>
                </w:tcPr>
                <w:p w14:paraId="754DCD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w:t>
                  </w:r>
                  <w:r>
                    <w:rPr>
                      <w:rFonts w:hint="eastAsia" w:ascii="Times New Roman" w:hAnsi="Times New Roman" w:cs="Times New Roman"/>
                      <w:color w:val="000000" w:themeColor="text1"/>
                      <w:szCs w:val="21"/>
                      <w14:textFill>
                        <w14:solidFill>
                          <w14:schemeClr w14:val="tx1"/>
                        </w14:solidFill>
                      </w14:textFill>
                    </w:rPr>
                    <w:t>面积</w:t>
                  </w:r>
                  <w:r>
                    <w:rPr>
                      <w:rFonts w:hint="eastAsia" w:cs="Times New Roman"/>
                      <w:bCs/>
                      <w:color w:val="000000" w:themeColor="text1"/>
                      <w:szCs w:val="21"/>
                      <w:lang w:val="en-US" w:eastAsia="zh-CN"/>
                      <w14:textFill>
                        <w14:solidFill>
                          <w14:schemeClr w14:val="tx1"/>
                        </w14:solidFill>
                      </w14:textFill>
                    </w:rPr>
                    <w:t>114</w:t>
                  </w:r>
                  <w:r>
                    <w:rPr>
                      <w:rFonts w:hint="default" w:ascii="Times New Roman" w:hAnsi="Times New Roman" w:cs="Times New Roman"/>
                      <w:bCs/>
                      <w:color w:val="000000" w:themeColor="text1"/>
                      <w:szCs w:val="21"/>
                      <w14:textFill>
                        <w14:solidFill>
                          <w14:schemeClr w14:val="tx1"/>
                        </w14:solidFill>
                      </w14:textFill>
                    </w:rPr>
                    <w:t>0m</w:t>
                  </w:r>
                  <w:r>
                    <w:rPr>
                      <w:rFonts w:hint="default" w:ascii="Times New Roman" w:hAnsi="Times New Roman" w:cs="Times New Roman"/>
                      <w:bCs/>
                      <w:color w:val="000000" w:themeColor="text1"/>
                      <w:szCs w:val="21"/>
                      <w:vertAlign w:val="superscript"/>
                      <w14:textFill>
                        <w14:solidFill>
                          <w14:schemeClr w14:val="tx1"/>
                        </w14:solidFill>
                      </w14:textFill>
                    </w:rPr>
                    <w:t>2</w:t>
                  </w:r>
                  <w:r>
                    <w:rPr>
                      <w:rFonts w:hint="default" w:ascii="Times New Roman" w:hAnsi="Times New Roman" w:cs="Times New Roman"/>
                      <w:bCs/>
                      <w:color w:val="000000" w:themeColor="text1"/>
                      <w:szCs w:val="21"/>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位于厂房东边，共两层，作为企业日常办公用地</w:t>
                  </w:r>
                </w:p>
              </w:tc>
              <w:tc>
                <w:tcPr>
                  <w:tcW w:w="1102" w:type="pct"/>
                  <w:vMerge w:val="restart"/>
                  <w:noWrap w:val="0"/>
                  <w:vAlign w:val="center"/>
                </w:tcPr>
                <w:p w14:paraId="436B96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无变化</w:t>
                  </w:r>
                </w:p>
              </w:tc>
            </w:tr>
            <w:tr w14:paraId="27DCD6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396" w:type="pct"/>
                  <w:vMerge w:val="continue"/>
                  <w:noWrap w:val="0"/>
                  <w:vAlign w:val="center"/>
                </w:tcPr>
                <w:p w14:paraId="312C2BB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2D21E58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宿舍楼</w:t>
                  </w:r>
                </w:p>
              </w:tc>
              <w:tc>
                <w:tcPr>
                  <w:tcW w:w="2861" w:type="pct"/>
                  <w:gridSpan w:val="2"/>
                  <w:noWrap w:val="0"/>
                  <w:vAlign w:val="center"/>
                </w:tcPr>
                <w:p w14:paraId="5D4E68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w:t>
                  </w:r>
                  <w:r>
                    <w:rPr>
                      <w:rFonts w:hint="eastAsia" w:ascii="Times New Roman" w:hAnsi="Times New Roman" w:cs="Times New Roman"/>
                      <w:color w:val="000000" w:themeColor="text1"/>
                      <w:szCs w:val="21"/>
                      <w14:textFill>
                        <w14:solidFill>
                          <w14:schemeClr w14:val="tx1"/>
                        </w14:solidFill>
                      </w14:textFill>
                    </w:rPr>
                    <w:t>面积</w:t>
                  </w:r>
                  <w:r>
                    <w:rPr>
                      <w:rFonts w:hint="eastAsia" w:cs="Times New Roman"/>
                      <w:bCs/>
                      <w:color w:val="000000" w:themeColor="text1"/>
                      <w:szCs w:val="21"/>
                      <w:lang w:val="en-US" w:eastAsia="zh-CN"/>
                      <w14:textFill>
                        <w14:solidFill>
                          <w14:schemeClr w14:val="tx1"/>
                        </w14:solidFill>
                      </w14:textFill>
                    </w:rPr>
                    <w:t>3124.2</w:t>
                  </w:r>
                  <w:r>
                    <w:rPr>
                      <w:rFonts w:hint="default" w:ascii="Times New Roman" w:hAnsi="Times New Roman" w:cs="Times New Roman"/>
                      <w:bCs/>
                      <w:color w:val="000000" w:themeColor="text1"/>
                      <w:szCs w:val="21"/>
                      <w14:textFill>
                        <w14:solidFill>
                          <w14:schemeClr w14:val="tx1"/>
                        </w14:solidFill>
                      </w14:textFill>
                    </w:rPr>
                    <w:t>m</w:t>
                  </w:r>
                  <w:r>
                    <w:rPr>
                      <w:rFonts w:hint="default" w:ascii="Times New Roman" w:hAnsi="Times New Roman" w:cs="Times New Roman"/>
                      <w:bCs/>
                      <w:color w:val="000000" w:themeColor="text1"/>
                      <w:szCs w:val="21"/>
                      <w:vertAlign w:val="superscript"/>
                      <w14:textFill>
                        <w14:solidFill>
                          <w14:schemeClr w14:val="tx1"/>
                        </w14:solidFill>
                      </w14:textFill>
                    </w:rPr>
                    <w:t>2</w:t>
                  </w:r>
                  <w:r>
                    <w:rPr>
                      <w:rFonts w:hint="default" w:ascii="Times New Roman" w:hAnsi="Times New Roman" w:cs="Times New Roman"/>
                      <w:bCs/>
                      <w:color w:val="000000" w:themeColor="text1"/>
                      <w:szCs w:val="21"/>
                      <w14:textFill>
                        <w14:solidFill>
                          <w14:schemeClr w14:val="tx1"/>
                        </w14:solidFill>
                      </w14:textFill>
                    </w:rPr>
                    <w:t>，</w:t>
                  </w:r>
                  <w:r>
                    <w:rPr>
                      <w:rFonts w:hint="eastAsia" w:cs="Times New Roman"/>
                      <w:bCs/>
                      <w:color w:val="000000" w:themeColor="text1"/>
                      <w:szCs w:val="21"/>
                      <w:lang w:val="en-US" w:eastAsia="zh-CN"/>
                      <w14:textFill>
                        <w14:solidFill>
                          <w14:schemeClr w14:val="tx1"/>
                        </w14:solidFill>
                      </w14:textFill>
                    </w:rPr>
                    <w:t>位于厂房北侧，共三层，作为员工休息区域</w:t>
                  </w:r>
                </w:p>
              </w:tc>
              <w:tc>
                <w:tcPr>
                  <w:tcW w:w="1102" w:type="pct"/>
                  <w:vMerge w:val="continue"/>
                  <w:noWrap w:val="0"/>
                  <w:vAlign w:val="center"/>
                </w:tcPr>
                <w:p w14:paraId="0772D96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42E51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96" w:type="pct"/>
                  <w:vMerge w:val="continue"/>
                  <w:noWrap w:val="0"/>
                  <w:vAlign w:val="center"/>
                </w:tcPr>
                <w:p w14:paraId="63A67D7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2B28782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食堂</w:t>
                  </w:r>
                </w:p>
              </w:tc>
              <w:tc>
                <w:tcPr>
                  <w:tcW w:w="2861" w:type="pct"/>
                  <w:gridSpan w:val="2"/>
                  <w:noWrap w:val="0"/>
                  <w:vAlign w:val="center"/>
                </w:tcPr>
                <w:p w14:paraId="3EE105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建筑</w:t>
                  </w:r>
                  <w:r>
                    <w:rPr>
                      <w:rFonts w:hint="eastAsia" w:ascii="Times New Roman" w:hAnsi="Times New Roman" w:cs="Times New Roman"/>
                      <w:color w:val="000000" w:themeColor="text1"/>
                      <w:szCs w:val="21"/>
                      <w14:textFill>
                        <w14:solidFill>
                          <w14:schemeClr w14:val="tx1"/>
                        </w14:solidFill>
                      </w14:textFill>
                    </w:rPr>
                    <w:t>面积</w:t>
                  </w:r>
                  <w:r>
                    <w:rPr>
                      <w:rFonts w:hint="eastAsia" w:cs="Times New Roman"/>
                      <w:bCs/>
                      <w:color w:val="000000" w:themeColor="text1"/>
                      <w:szCs w:val="21"/>
                      <w:lang w:val="en-US" w:eastAsia="zh-CN"/>
                      <w14:textFill>
                        <w14:solidFill>
                          <w14:schemeClr w14:val="tx1"/>
                        </w14:solidFill>
                      </w14:textFill>
                    </w:rPr>
                    <w:t>276</w:t>
                  </w:r>
                  <w:r>
                    <w:rPr>
                      <w:rFonts w:hint="default" w:ascii="Times New Roman" w:hAnsi="Times New Roman" w:cs="Times New Roman"/>
                      <w:bCs/>
                      <w:color w:val="000000" w:themeColor="text1"/>
                      <w:szCs w:val="21"/>
                      <w14:textFill>
                        <w14:solidFill>
                          <w14:schemeClr w14:val="tx1"/>
                        </w14:solidFill>
                      </w14:textFill>
                    </w:rPr>
                    <w:t>m</w:t>
                  </w:r>
                  <w:r>
                    <w:rPr>
                      <w:rFonts w:hint="default" w:ascii="Times New Roman" w:hAnsi="Times New Roman" w:cs="Times New Roman"/>
                      <w:bCs/>
                      <w:color w:val="000000" w:themeColor="text1"/>
                      <w:szCs w:val="21"/>
                      <w:vertAlign w:val="superscript"/>
                      <w14:textFill>
                        <w14:solidFill>
                          <w14:schemeClr w14:val="tx1"/>
                        </w14:solidFill>
                      </w14:textFill>
                    </w:rPr>
                    <w:t>2</w:t>
                  </w:r>
                  <w:r>
                    <w:rPr>
                      <w:rFonts w:hint="default" w:ascii="Times New Roman" w:hAnsi="Times New Roman" w:cs="Times New Roman"/>
                      <w:bCs/>
                      <w:color w:val="000000" w:themeColor="text1"/>
                      <w:szCs w:val="21"/>
                      <w14:textFill>
                        <w14:solidFill>
                          <w14:schemeClr w14:val="tx1"/>
                        </w14:solidFill>
                      </w14:textFill>
                    </w:rPr>
                    <w:t>，</w:t>
                  </w:r>
                  <w:r>
                    <w:rPr>
                      <w:rFonts w:hint="eastAsia" w:cs="Times New Roman"/>
                      <w:bCs/>
                      <w:color w:val="000000" w:themeColor="text1"/>
                      <w:szCs w:val="21"/>
                      <w:lang w:val="en-US" w:eastAsia="zh-CN"/>
                      <w14:textFill>
                        <w14:solidFill>
                          <w14:schemeClr w14:val="tx1"/>
                        </w14:solidFill>
                      </w14:textFill>
                    </w:rPr>
                    <w:t>位于5号车间东侧，共2个基准灶头</w:t>
                  </w:r>
                </w:p>
              </w:tc>
              <w:tc>
                <w:tcPr>
                  <w:tcW w:w="1102" w:type="pct"/>
                  <w:vMerge w:val="continue"/>
                  <w:noWrap w:val="0"/>
                  <w:vAlign w:val="center"/>
                </w:tcPr>
                <w:p w14:paraId="5228245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190E2C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96" w:type="pct"/>
                  <w:vMerge w:val="restart"/>
                  <w:noWrap w:val="0"/>
                  <w:vAlign w:val="center"/>
                </w:tcPr>
                <w:p w14:paraId="739E901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储运工程</w:t>
                  </w:r>
                </w:p>
              </w:tc>
              <w:tc>
                <w:tcPr>
                  <w:tcW w:w="640" w:type="pct"/>
                  <w:gridSpan w:val="2"/>
                  <w:noWrap w:val="0"/>
                  <w:vAlign w:val="center"/>
                </w:tcPr>
                <w:p w14:paraId="24F71D8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原料库</w:t>
                  </w:r>
                </w:p>
              </w:tc>
              <w:tc>
                <w:tcPr>
                  <w:tcW w:w="2861" w:type="pct"/>
                  <w:gridSpan w:val="2"/>
                  <w:noWrap w:val="0"/>
                  <w:vAlign w:val="center"/>
                </w:tcPr>
                <w:p w14:paraId="73E6A48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位于现有厂区西北侧，用于纸张和辅料等原材料的堆放</w:t>
                  </w:r>
                </w:p>
              </w:tc>
              <w:tc>
                <w:tcPr>
                  <w:tcW w:w="1102" w:type="pct"/>
                  <w:vMerge w:val="restart"/>
                  <w:noWrap w:val="0"/>
                  <w:vAlign w:val="center"/>
                </w:tcPr>
                <w:p w14:paraId="5B2CF4EB">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cs="Times New Roman"/>
                      <w:color w:val="000000" w:themeColor="text1"/>
                      <w:kern w:val="0"/>
                      <w:szCs w:val="21"/>
                      <w:lang w:val="en-US" w:eastAsia="zh-CN" w:bidi="ar"/>
                      <w14:textFill>
                        <w14:solidFill>
                          <w14:schemeClr w14:val="tx1"/>
                        </w14:solidFill>
                      </w14:textFill>
                    </w:rPr>
                    <w:t>无变化</w:t>
                  </w:r>
                </w:p>
              </w:tc>
            </w:tr>
            <w:tr w14:paraId="6C1BAF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6" w:type="pct"/>
                  <w:vMerge w:val="continue"/>
                  <w:noWrap w:val="0"/>
                  <w:vAlign w:val="center"/>
                </w:tcPr>
                <w:p w14:paraId="47CB244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7970244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成品库</w:t>
                  </w:r>
                </w:p>
              </w:tc>
              <w:tc>
                <w:tcPr>
                  <w:tcW w:w="2861" w:type="pct"/>
                  <w:gridSpan w:val="2"/>
                  <w:noWrap w:val="0"/>
                  <w:vAlign w:val="center"/>
                </w:tcPr>
                <w:p w14:paraId="0264839B">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位于现有厂区</w:t>
                  </w:r>
                  <w:r>
                    <w:rPr>
                      <w:rFonts w:hint="eastAsia" w:ascii="Times New Roman" w:hAnsi="Times New Roman" w:cs="Times New Roman"/>
                      <w:color w:val="000000" w:themeColor="text1"/>
                      <w:szCs w:val="21"/>
                      <w14:textFill>
                        <w14:solidFill>
                          <w14:schemeClr w14:val="tx1"/>
                        </w14:solidFill>
                      </w14:textFill>
                    </w:rPr>
                    <w:t>西侧</w:t>
                  </w:r>
                  <w:r>
                    <w:rPr>
                      <w:rFonts w:hint="default" w:ascii="Times New Roman" w:hAnsi="Times New Roman" w:cs="Times New Roman"/>
                      <w:bCs/>
                      <w:color w:val="000000" w:themeColor="text1"/>
                      <w:szCs w:val="21"/>
                      <w14:textFill>
                        <w14:solidFill>
                          <w14:schemeClr w14:val="tx1"/>
                        </w14:solidFill>
                      </w14:textFill>
                    </w:rPr>
                    <w:t>，</w:t>
                  </w:r>
                  <w:r>
                    <w:rPr>
                      <w:rFonts w:hint="eastAsia" w:cs="Times New Roman"/>
                      <w:bCs/>
                      <w:color w:val="000000" w:themeColor="text1"/>
                      <w:szCs w:val="21"/>
                      <w:lang w:val="en-US" w:eastAsia="zh-CN"/>
                      <w14:textFill>
                        <w14:solidFill>
                          <w14:schemeClr w14:val="tx1"/>
                        </w14:solidFill>
                      </w14:textFill>
                    </w:rPr>
                    <w:t>用于成品堆放</w:t>
                  </w:r>
                </w:p>
              </w:tc>
              <w:tc>
                <w:tcPr>
                  <w:tcW w:w="1102" w:type="pct"/>
                  <w:vMerge w:val="continue"/>
                  <w:noWrap w:val="0"/>
                  <w:vAlign w:val="center"/>
                </w:tcPr>
                <w:p w14:paraId="3C31DA0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492A18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396" w:type="pct"/>
                  <w:vMerge w:val="continue"/>
                  <w:noWrap w:val="0"/>
                  <w:vAlign w:val="center"/>
                </w:tcPr>
                <w:p w14:paraId="001336C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0D25E6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危废贮存库</w:t>
                  </w:r>
                </w:p>
              </w:tc>
              <w:tc>
                <w:tcPr>
                  <w:tcW w:w="2861" w:type="pct"/>
                  <w:gridSpan w:val="2"/>
                  <w:noWrap w:val="0"/>
                  <w:vAlign w:val="center"/>
                </w:tcPr>
                <w:p w14:paraId="7D782E8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位于</w:t>
                  </w:r>
                  <w:r>
                    <w:rPr>
                      <w:rFonts w:hint="eastAsia" w:cs="Times New Roman"/>
                      <w:color w:val="000000" w:themeColor="text1"/>
                      <w:szCs w:val="21"/>
                      <w:lang w:val="en-US" w:eastAsia="zh-CN"/>
                      <w14:textFill>
                        <w14:solidFill>
                          <w14:schemeClr w14:val="tx1"/>
                        </w14:solidFill>
                      </w14:textFill>
                    </w:rPr>
                    <w:t>厂区西</w:t>
                  </w:r>
                  <w:r>
                    <w:rPr>
                      <w:rFonts w:hint="default" w:ascii="Times New Roman" w:hAnsi="Times New Roman" w:cs="Times New Roman"/>
                      <w:color w:val="000000" w:themeColor="text1"/>
                      <w:szCs w:val="21"/>
                      <w:lang w:val="en-US" w:eastAsia="zh-CN"/>
                      <w14:textFill>
                        <w14:solidFill>
                          <w14:schemeClr w14:val="tx1"/>
                        </w14:solidFill>
                      </w14:textFill>
                    </w:rPr>
                    <w:t>侧，占地面积50m</w:t>
                  </w:r>
                  <w:r>
                    <w:rPr>
                      <w:rFonts w:hint="default" w:ascii="Times New Roman" w:hAnsi="Times New Roman" w:cs="Times New Roman"/>
                      <w:color w:val="000000" w:themeColor="text1"/>
                      <w:szCs w:val="21"/>
                      <w:vertAlign w:val="superscript"/>
                      <w:lang w:val="en-US" w:eastAsia="zh-CN"/>
                      <w14:textFill>
                        <w14:solidFill>
                          <w14:schemeClr w14:val="tx1"/>
                        </w14:solidFill>
                      </w14:textFill>
                    </w:rPr>
                    <w:t>2</w:t>
                  </w:r>
                </w:p>
              </w:tc>
              <w:tc>
                <w:tcPr>
                  <w:tcW w:w="1102" w:type="pct"/>
                  <w:vMerge w:val="continue"/>
                  <w:noWrap w:val="0"/>
                  <w:vAlign w:val="center"/>
                </w:tcPr>
                <w:p w14:paraId="1D9C219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24E676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6" w:type="pct"/>
                  <w:vMerge w:val="continue"/>
                  <w:noWrap w:val="0"/>
                  <w:vAlign w:val="center"/>
                </w:tcPr>
                <w:p w14:paraId="15285DF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208E08F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cs="Times New Roman"/>
                      <w:bCs/>
                      <w:color w:val="000000" w:themeColor="text1"/>
                      <w:szCs w:val="21"/>
                      <w:lang w:val="en-US" w:eastAsia="zh-CN"/>
                      <w14:textFill>
                        <w14:solidFill>
                          <w14:schemeClr w14:val="tx1"/>
                        </w14:solidFill>
                      </w14:textFill>
                    </w:rPr>
                    <w:t>封面库</w:t>
                  </w:r>
                </w:p>
              </w:tc>
              <w:tc>
                <w:tcPr>
                  <w:tcW w:w="2861" w:type="pct"/>
                  <w:gridSpan w:val="2"/>
                  <w:noWrap w:val="0"/>
                  <w:vAlign w:val="center"/>
                </w:tcPr>
                <w:p w14:paraId="0BC1AB8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位于厂区北侧，用于封面的暂存</w:t>
                  </w:r>
                </w:p>
              </w:tc>
              <w:tc>
                <w:tcPr>
                  <w:tcW w:w="1102" w:type="pct"/>
                  <w:vMerge w:val="continue"/>
                  <w:noWrap w:val="0"/>
                  <w:vAlign w:val="center"/>
                </w:tcPr>
                <w:p w14:paraId="54FD9F8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35EF11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396" w:type="pct"/>
                  <w:vMerge w:val="restart"/>
                  <w:noWrap w:val="0"/>
                  <w:vAlign w:val="center"/>
                </w:tcPr>
                <w:p w14:paraId="17CBFB0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公用工程</w:t>
                  </w:r>
                </w:p>
              </w:tc>
              <w:tc>
                <w:tcPr>
                  <w:tcW w:w="640" w:type="pct"/>
                  <w:gridSpan w:val="2"/>
                  <w:noWrap w:val="0"/>
                  <w:vAlign w:val="center"/>
                </w:tcPr>
                <w:p w14:paraId="594300A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供水</w:t>
                  </w:r>
                </w:p>
              </w:tc>
              <w:tc>
                <w:tcPr>
                  <w:tcW w:w="2861" w:type="pct"/>
                  <w:gridSpan w:val="2"/>
                  <w:noWrap w:val="0"/>
                  <w:vAlign w:val="center"/>
                </w:tcPr>
                <w:p w14:paraId="33DCDFBB">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用水由西安市市政供水管网供给</w:t>
                  </w:r>
                </w:p>
              </w:tc>
              <w:tc>
                <w:tcPr>
                  <w:tcW w:w="1102" w:type="pct"/>
                  <w:noWrap w:val="0"/>
                  <w:vAlign w:val="center"/>
                </w:tcPr>
                <w:p w14:paraId="614138C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无变化</w:t>
                  </w:r>
                </w:p>
              </w:tc>
            </w:tr>
            <w:tr w14:paraId="7D7A8A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96" w:type="pct"/>
                  <w:vMerge w:val="continue"/>
                  <w:noWrap w:val="0"/>
                  <w:vAlign w:val="center"/>
                </w:tcPr>
                <w:p w14:paraId="358CEFE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vMerge w:val="restart"/>
                  <w:noWrap w:val="0"/>
                  <w:vAlign w:val="center"/>
                </w:tcPr>
                <w:p w14:paraId="27438E1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排水</w:t>
                  </w:r>
                </w:p>
              </w:tc>
              <w:tc>
                <w:tcPr>
                  <w:tcW w:w="1304" w:type="pct"/>
                  <w:noWrap w:val="0"/>
                  <w:vAlign w:val="center"/>
                </w:tcPr>
                <w:p w14:paraId="7E16AE1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生活污水经化粪池处理，排入市政污水管网，最终进入西安市第六污水处理厂</w:t>
                  </w:r>
                </w:p>
              </w:tc>
              <w:tc>
                <w:tcPr>
                  <w:tcW w:w="1556" w:type="pct"/>
                  <w:noWrap w:val="0"/>
                  <w:vAlign w:val="center"/>
                </w:tcPr>
                <w:p w14:paraId="75D381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新增生活污水依托现有化粪池处理后，</w:t>
                  </w:r>
                  <w:r>
                    <w:rPr>
                      <w:rFonts w:hint="default" w:ascii="Times New Roman" w:hAnsi="Times New Roman" w:cs="Times New Roman"/>
                      <w:color w:val="000000" w:themeColor="text1"/>
                      <w:szCs w:val="21"/>
                      <w:lang w:val="en-US" w:eastAsia="zh-CN"/>
                      <w14:textFill>
                        <w14:solidFill>
                          <w14:schemeClr w14:val="tx1"/>
                        </w14:solidFill>
                      </w14:textFill>
                    </w:rPr>
                    <w:t>排入市政污水管网，最终进入西安市第六污水处理厂</w:t>
                  </w:r>
                </w:p>
              </w:tc>
              <w:tc>
                <w:tcPr>
                  <w:tcW w:w="1102" w:type="pct"/>
                  <w:vMerge w:val="restart"/>
                  <w:noWrap w:val="0"/>
                  <w:vAlign w:val="center"/>
                </w:tcPr>
                <w:p w14:paraId="0256537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依托现有工程</w:t>
                  </w:r>
                </w:p>
              </w:tc>
            </w:tr>
            <w:tr w14:paraId="79A4E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96" w:type="pct"/>
                  <w:vMerge w:val="continue"/>
                  <w:noWrap w:val="0"/>
                  <w:vAlign w:val="center"/>
                </w:tcPr>
                <w:p w14:paraId="291318A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vMerge w:val="continue"/>
                  <w:noWrap w:val="0"/>
                  <w:vAlign w:val="center"/>
                </w:tcPr>
                <w:p w14:paraId="5A2B847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04" w:type="pct"/>
                  <w:noWrap w:val="0"/>
                  <w:vAlign w:val="center"/>
                </w:tcPr>
                <w:p w14:paraId="1012D21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设备清洗废水经废水沉淀池收集处理后，再由污水处理设备处理后循环使用</w:t>
                  </w:r>
                  <w:r>
                    <w:rPr>
                      <w:rFonts w:hint="eastAsia" w:cs="Times New Roman"/>
                      <w:color w:val="000000" w:themeColor="text1"/>
                      <w:szCs w:val="21"/>
                      <w:lang w:val="en-US" w:eastAsia="zh-CN"/>
                      <w14:textFill>
                        <w14:solidFill>
                          <w14:schemeClr w14:val="tx1"/>
                        </w14:solidFill>
                      </w14:textFill>
                    </w:rPr>
                    <w:t>，不外排</w:t>
                  </w:r>
                </w:p>
              </w:tc>
              <w:tc>
                <w:tcPr>
                  <w:tcW w:w="1556" w:type="pct"/>
                  <w:noWrap w:val="0"/>
                  <w:vAlign w:val="center"/>
                </w:tcPr>
                <w:p w14:paraId="39F4633C">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新增</w:t>
                  </w:r>
                  <w:r>
                    <w:rPr>
                      <w:rFonts w:hint="eastAsia" w:ascii="Times New Roman" w:hAnsi="Times New Roman" w:cs="Times New Roman"/>
                      <w:color w:val="000000" w:themeColor="text1"/>
                      <w:szCs w:val="21"/>
                      <w:lang w:val="en-US" w:eastAsia="zh-CN"/>
                      <w14:textFill>
                        <w14:solidFill>
                          <w14:schemeClr w14:val="tx1"/>
                        </w14:solidFill>
                      </w14:textFill>
                    </w:rPr>
                    <w:t>设备清洗废水经废水沉淀池收集处理后，再由污水处理设备处理后循环使用</w:t>
                  </w:r>
                  <w:r>
                    <w:rPr>
                      <w:rFonts w:hint="eastAsia" w:cs="Times New Roman"/>
                      <w:color w:val="000000" w:themeColor="text1"/>
                      <w:szCs w:val="21"/>
                      <w:lang w:val="en-US" w:eastAsia="zh-CN"/>
                      <w14:textFill>
                        <w14:solidFill>
                          <w14:schemeClr w14:val="tx1"/>
                        </w14:solidFill>
                      </w14:textFill>
                    </w:rPr>
                    <w:t>，不外排</w:t>
                  </w:r>
                </w:p>
              </w:tc>
              <w:tc>
                <w:tcPr>
                  <w:tcW w:w="1102" w:type="pct"/>
                  <w:vMerge w:val="continue"/>
                  <w:noWrap w:val="0"/>
                  <w:vAlign w:val="center"/>
                </w:tcPr>
                <w:p w14:paraId="641289D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lang w:bidi="ar"/>
                      <w14:textFill>
                        <w14:solidFill>
                          <w14:schemeClr w14:val="tx1"/>
                        </w14:solidFill>
                      </w14:textFill>
                    </w:rPr>
                  </w:pPr>
                </w:p>
              </w:tc>
            </w:tr>
            <w:tr w14:paraId="00C16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6" w:type="pct"/>
                  <w:vMerge w:val="continue"/>
                  <w:noWrap w:val="0"/>
                  <w:vAlign w:val="center"/>
                </w:tcPr>
                <w:p w14:paraId="6193A1D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1565FD0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供电</w:t>
                  </w:r>
                </w:p>
              </w:tc>
              <w:tc>
                <w:tcPr>
                  <w:tcW w:w="2861" w:type="pct"/>
                  <w:gridSpan w:val="2"/>
                  <w:noWrap w:val="0"/>
                  <w:vAlign w:val="center"/>
                </w:tcPr>
                <w:p w14:paraId="04C5B656">
                  <w:pPr>
                    <w:keepNext w:val="0"/>
                    <w:keepLines w:val="0"/>
                    <w:widowControl/>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用电由西安市市政供电管网供给</w:t>
                  </w:r>
                </w:p>
              </w:tc>
              <w:tc>
                <w:tcPr>
                  <w:tcW w:w="1102" w:type="pct"/>
                  <w:noWrap w:val="0"/>
                  <w:vAlign w:val="center"/>
                </w:tcPr>
                <w:p w14:paraId="22DD059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无变化</w:t>
                  </w:r>
                </w:p>
              </w:tc>
            </w:tr>
            <w:tr w14:paraId="210BFB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6" w:type="pct"/>
                  <w:vMerge w:val="continue"/>
                  <w:noWrap w:val="0"/>
                  <w:vAlign w:val="center"/>
                </w:tcPr>
                <w:p w14:paraId="2012C4A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553375E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highlight w:val="none"/>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供暖制冷</w:t>
                  </w:r>
                </w:p>
              </w:tc>
              <w:tc>
                <w:tcPr>
                  <w:tcW w:w="2861" w:type="pct"/>
                  <w:gridSpan w:val="2"/>
                  <w:noWrap w:val="0"/>
                  <w:vAlign w:val="center"/>
                </w:tcPr>
                <w:p w14:paraId="0A6993EA">
                  <w:pPr>
                    <w:keepNext w:val="0"/>
                    <w:keepLines w:val="0"/>
                    <w:widowControl/>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本项目</w:t>
                  </w:r>
                  <w:r>
                    <w:rPr>
                      <w:rFonts w:hint="eastAsia" w:cs="Times New Roman"/>
                      <w:color w:val="000000" w:themeColor="text1"/>
                      <w:szCs w:val="21"/>
                      <w:highlight w:val="none"/>
                      <w:lang w:val="en-US" w:eastAsia="zh-CN"/>
                      <w14:textFill>
                        <w14:solidFill>
                          <w14:schemeClr w14:val="tx1"/>
                        </w14:solidFill>
                      </w14:textFill>
                    </w:rPr>
                    <w:t>车间无需供暖和制冷，办公生活区</w:t>
                  </w:r>
                  <w:r>
                    <w:rPr>
                      <w:rFonts w:hint="default" w:ascii="Times New Roman" w:hAnsi="Times New Roman" w:cs="Times New Roman"/>
                      <w:color w:val="000000" w:themeColor="text1"/>
                      <w:szCs w:val="21"/>
                      <w:highlight w:val="none"/>
                      <w14:textFill>
                        <w14:solidFill>
                          <w14:schemeClr w14:val="tx1"/>
                        </w14:solidFill>
                      </w14:textFill>
                    </w:rPr>
                    <w:t>夏季制冷</w:t>
                  </w:r>
                  <w:r>
                    <w:rPr>
                      <w:rFonts w:hint="eastAsia" w:cs="Times New Roman"/>
                      <w:color w:val="000000" w:themeColor="text1"/>
                      <w:szCs w:val="21"/>
                      <w:highlight w:val="none"/>
                      <w:lang w:val="en-US" w:eastAsia="zh-CN"/>
                      <w14:textFill>
                        <w14:solidFill>
                          <w14:schemeClr w14:val="tx1"/>
                        </w14:solidFill>
                      </w14:textFill>
                    </w:rPr>
                    <w:t>采用空调</w:t>
                  </w:r>
                  <w:r>
                    <w:rPr>
                      <w:rFonts w:hint="eastAsia" w:cs="Times New Roman"/>
                      <w:color w:val="000000" w:themeColor="text1"/>
                      <w:szCs w:val="21"/>
                      <w:highlight w:val="none"/>
                      <w:lang w:eastAsia="zh-CN"/>
                      <w14:textFill>
                        <w14:solidFill>
                          <w14:schemeClr w14:val="tx1"/>
                        </w14:solidFill>
                      </w14:textFill>
                    </w:rPr>
                    <w:t>，</w:t>
                  </w:r>
                  <w:r>
                    <w:rPr>
                      <w:rFonts w:hint="default" w:ascii="Times New Roman" w:hAnsi="Times New Roman" w:cs="Times New Roman"/>
                      <w:color w:val="000000" w:themeColor="text1"/>
                      <w:szCs w:val="21"/>
                      <w:highlight w:val="none"/>
                      <w14:textFill>
                        <w14:solidFill>
                          <w14:schemeClr w14:val="tx1"/>
                        </w14:solidFill>
                      </w14:textFill>
                    </w:rPr>
                    <w:t>冬季</w:t>
                  </w:r>
                  <w:r>
                    <w:rPr>
                      <w:rFonts w:hint="eastAsia" w:cs="Times New Roman"/>
                      <w:color w:val="000000" w:themeColor="text1"/>
                      <w:szCs w:val="21"/>
                      <w:highlight w:val="none"/>
                      <w:lang w:val="en-US" w:eastAsia="zh-CN"/>
                      <w14:textFill>
                        <w14:solidFill>
                          <w14:schemeClr w14:val="tx1"/>
                        </w14:solidFill>
                      </w14:textFill>
                    </w:rPr>
                    <w:t>供暖为市政供暖</w:t>
                  </w:r>
                </w:p>
              </w:tc>
              <w:tc>
                <w:tcPr>
                  <w:tcW w:w="1102" w:type="pct"/>
                  <w:noWrap w:val="0"/>
                  <w:vAlign w:val="center"/>
                </w:tcPr>
                <w:p w14:paraId="0A80472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无变化</w:t>
                  </w:r>
                </w:p>
              </w:tc>
            </w:tr>
            <w:tr w14:paraId="1D9EB6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396" w:type="pct"/>
                  <w:vMerge w:val="restart"/>
                  <w:noWrap w:val="0"/>
                  <w:vAlign w:val="center"/>
                </w:tcPr>
                <w:p w14:paraId="1AF860E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环保工程</w:t>
                  </w:r>
                </w:p>
              </w:tc>
              <w:tc>
                <w:tcPr>
                  <w:tcW w:w="246" w:type="pct"/>
                  <w:vMerge w:val="restart"/>
                  <w:noWrap w:val="0"/>
                  <w:vAlign w:val="center"/>
                </w:tcPr>
                <w:p w14:paraId="4587455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tc>
              <w:tc>
                <w:tcPr>
                  <w:tcW w:w="393" w:type="pct"/>
                  <w:noWrap w:val="0"/>
                  <w:vAlign w:val="center"/>
                </w:tcPr>
                <w:p w14:paraId="038CFB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1号车间</w:t>
                  </w:r>
                </w:p>
              </w:tc>
              <w:tc>
                <w:tcPr>
                  <w:tcW w:w="1304" w:type="pct"/>
                  <w:noWrap w:val="0"/>
                  <w:vAlign w:val="center"/>
                </w:tcPr>
                <w:p w14:paraId="1A987EE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废气经厂房通风扇强制通风，无组织排放</w:t>
                  </w:r>
                </w:p>
              </w:tc>
              <w:tc>
                <w:tcPr>
                  <w:tcW w:w="1556" w:type="pct"/>
                  <w:noWrap w:val="0"/>
                  <w:vAlign w:val="center"/>
                </w:tcPr>
                <w:p w14:paraId="2347983B">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水性印刷废气和胶装废气</w:t>
                  </w:r>
                  <w:r>
                    <w:rPr>
                      <w:rFonts w:hint="default" w:ascii="Times New Roman" w:hAnsi="Times New Roman" w:cs="Times New Roman"/>
                      <w:color w:val="000000" w:themeColor="text1"/>
                      <w:szCs w:val="21"/>
                      <w14:textFill>
                        <w14:solidFill>
                          <w14:schemeClr w14:val="tx1"/>
                        </w14:solidFill>
                      </w14:textFill>
                    </w:rPr>
                    <w:t>经</w:t>
                  </w:r>
                  <w:r>
                    <w:rPr>
                      <w:rFonts w:hint="eastAsia"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集气罩</w:t>
                  </w:r>
                  <w:r>
                    <w:rPr>
                      <w:rFonts w:hint="eastAsia" w:cs="Times New Roman"/>
                      <w:color w:val="000000" w:themeColor="text1"/>
                      <w:szCs w:val="21"/>
                      <w:lang w:val="en-US" w:eastAsia="zh-CN"/>
                      <w14:textFill>
                        <w14:solidFill>
                          <w14:schemeClr w14:val="tx1"/>
                        </w14:solidFill>
                      </w14:textFill>
                    </w:rPr>
                    <w:t>+UV光氧+</w:t>
                  </w:r>
                  <w:r>
                    <w:rPr>
                      <w:rFonts w:hint="default" w:ascii="Times New Roman" w:hAnsi="Times New Roman" w:cs="Times New Roman"/>
                      <w:color w:val="000000" w:themeColor="text1"/>
                      <w:szCs w:val="21"/>
                      <w:lang w:val="en-US" w:eastAsia="zh-CN"/>
                      <w14:textFill>
                        <w14:solidFill>
                          <w14:schemeClr w14:val="tx1"/>
                        </w14:solidFill>
                      </w14:textFill>
                    </w:rPr>
                    <w:t>活性炭吸附</w:t>
                  </w:r>
                  <w:r>
                    <w:rPr>
                      <w:rFonts w:hint="eastAsia" w:cs="Times New Roman"/>
                      <w:color w:val="000000" w:themeColor="text1"/>
                      <w:szCs w:val="21"/>
                      <w:lang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收集处理后，</w:t>
                  </w:r>
                  <w:r>
                    <w:rPr>
                      <w:rFonts w:hint="default" w:ascii="Times New Roman" w:hAnsi="Times New Roman" w:cs="Times New Roman"/>
                      <w:color w:val="000000" w:themeColor="text1"/>
                      <w:kern w:val="0"/>
                      <w:sz w:val="21"/>
                      <w:szCs w:val="21"/>
                      <w14:textFill>
                        <w14:solidFill>
                          <w14:schemeClr w14:val="tx1"/>
                        </w14:solidFill>
                      </w14:textFill>
                    </w:rPr>
                    <w:t>经15m高排气筒</w:t>
                  </w:r>
                  <w:r>
                    <w:rPr>
                      <w:rFonts w:hint="eastAsia" w:cs="Times New Roman"/>
                      <w:color w:val="000000" w:themeColor="text1"/>
                      <w:kern w:val="0"/>
                      <w:sz w:val="21"/>
                      <w:szCs w:val="21"/>
                      <w:lang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DA001</w:t>
                  </w:r>
                  <w:r>
                    <w:rPr>
                      <w:rFonts w:hint="eastAsia"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排放</w:t>
                  </w:r>
                </w:p>
              </w:tc>
              <w:tc>
                <w:tcPr>
                  <w:tcW w:w="1102" w:type="pct"/>
                  <w:vMerge w:val="restart"/>
                  <w:noWrap w:val="0"/>
                  <w:vAlign w:val="center"/>
                </w:tcPr>
                <w:p w14:paraId="1F705BE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cs="Times New Roman"/>
                      <w:color w:val="000000" w:themeColor="text1"/>
                      <w:kern w:val="0"/>
                      <w:szCs w:val="21"/>
                      <w:lang w:val="en-US" w:eastAsia="zh-CN" w:bidi="ar"/>
                      <w14:textFill>
                        <w14:solidFill>
                          <w14:schemeClr w14:val="tx1"/>
                        </w14:solidFill>
                      </w14:textFill>
                    </w:rPr>
                    <w:t>已建成，本次环评要求对已建成的</w:t>
                  </w:r>
                  <w:r>
                    <w:rPr>
                      <w:rFonts w:hint="default" w:ascii="Times New Roman" w:hAnsi="Times New Roman" w:cs="Times New Roman"/>
                      <w:color w:val="000000" w:themeColor="text1"/>
                      <w14:textFill>
                        <w14:solidFill>
                          <w14:schemeClr w14:val="tx1"/>
                        </w14:solidFill>
                      </w14:textFill>
                    </w:rPr>
                    <w:t>废气处理设施进行升级改造，</w:t>
                  </w:r>
                  <w:r>
                    <w:rPr>
                      <w:rFonts w:hint="eastAsia" w:cs="Times New Roman"/>
                      <w:color w:val="000000" w:themeColor="text1"/>
                      <w:lang w:val="en-US" w:eastAsia="zh-CN"/>
                      <w14:textFill>
                        <w14:solidFill>
                          <w14:schemeClr w14:val="tx1"/>
                        </w14:solidFill>
                      </w14:textFill>
                    </w:rPr>
                    <w:t>全部</w:t>
                  </w:r>
                  <w:r>
                    <w:rPr>
                      <w:rFonts w:hint="eastAsia" w:cs="Times New Roman"/>
                      <w:color w:val="000000" w:themeColor="text1"/>
                      <w:kern w:val="0"/>
                      <w:szCs w:val="21"/>
                      <w:lang w:val="en-US" w:eastAsia="zh-CN" w:bidi="ar"/>
                      <w14:textFill>
                        <w14:solidFill>
                          <w14:schemeClr w14:val="tx1"/>
                        </w14:solidFill>
                      </w14:textFill>
                    </w:rPr>
                    <w:t>升级改造为</w:t>
                  </w:r>
                  <w:r>
                    <w:rPr>
                      <w:rFonts w:hint="eastAsia"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集气罩</w:t>
                  </w:r>
                  <w:r>
                    <w:rPr>
                      <w:rFonts w:hint="eastAsia" w:cs="Times New Roman"/>
                      <w:color w:val="000000" w:themeColor="text1"/>
                      <w:szCs w:val="21"/>
                      <w:lang w:val="en-US" w:eastAsia="zh-CN"/>
                      <w14:textFill>
                        <w14:solidFill>
                          <w14:schemeClr w14:val="tx1"/>
                        </w14:solidFill>
                      </w14:textFill>
                    </w:rPr>
                    <w:t>+二级</w:t>
                  </w:r>
                  <w:r>
                    <w:rPr>
                      <w:rFonts w:hint="default" w:ascii="Times New Roman" w:hAnsi="Times New Roman" w:cs="Times New Roman"/>
                      <w:color w:val="000000" w:themeColor="text1"/>
                      <w:szCs w:val="21"/>
                      <w:lang w:val="en-US" w:eastAsia="zh-CN"/>
                      <w14:textFill>
                        <w14:solidFill>
                          <w14:schemeClr w14:val="tx1"/>
                        </w14:solidFill>
                      </w14:textFill>
                    </w:rPr>
                    <w:t>活性炭吸附</w:t>
                  </w:r>
                  <w:r>
                    <w:rPr>
                      <w:rFonts w:hint="eastAsia" w:cs="Times New Roman"/>
                      <w:color w:val="000000" w:themeColor="text1"/>
                      <w:szCs w:val="21"/>
                      <w:lang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收集处理后，</w:t>
                  </w:r>
                  <w:r>
                    <w:rPr>
                      <w:rFonts w:hint="default" w:ascii="Times New Roman" w:hAnsi="Times New Roman" w:cs="Times New Roman"/>
                      <w:color w:val="000000" w:themeColor="text1"/>
                      <w:kern w:val="0"/>
                      <w:sz w:val="21"/>
                      <w:szCs w:val="21"/>
                      <w14:textFill>
                        <w14:solidFill>
                          <w14:schemeClr w14:val="tx1"/>
                        </w14:solidFill>
                      </w14:textFill>
                    </w:rPr>
                    <w:t>经1根15m高排气筒排放</w:t>
                  </w:r>
                </w:p>
              </w:tc>
            </w:tr>
            <w:tr w14:paraId="070616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396" w:type="pct"/>
                  <w:vMerge w:val="continue"/>
                  <w:noWrap w:val="0"/>
                  <w:vAlign w:val="center"/>
                </w:tcPr>
                <w:p w14:paraId="1CED0AE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46" w:type="pct"/>
                  <w:vMerge w:val="continue"/>
                  <w:noWrap w:val="0"/>
                  <w:vAlign w:val="center"/>
                </w:tcPr>
                <w:p w14:paraId="43EFFD1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393" w:type="pct"/>
                  <w:noWrap w:val="0"/>
                  <w:vAlign w:val="center"/>
                </w:tcPr>
                <w:p w14:paraId="73C48A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2号车间</w:t>
                  </w:r>
                </w:p>
              </w:tc>
              <w:tc>
                <w:tcPr>
                  <w:tcW w:w="1304" w:type="pct"/>
                  <w:noWrap w:val="0"/>
                  <w:vAlign w:val="center"/>
                </w:tcPr>
                <w:p w14:paraId="6AF2F2E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w:t>
                  </w:r>
                </w:p>
              </w:tc>
              <w:tc>
                <w:tcPr>
                  <w:tcW w:w="1556" w:type="pct"/>
                  <w:noWrap w:val="0"/>
                  <w:vAlign w:val="center"/>
                </w:tcPr>
                <w:p w14:paraId="3CE6C75F">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胶印印刷废气、覆膜亮油废气、胶装废气</w:t>
                  </w:r>
                  <w:r>
                    <w:rPr>
                      <w:rFonts w:hint="default" w:ascii="Times New Roman" w:hAnsi="Times New Roman" w:cs="Times New Roman"/>
                      <w:color w:val="000000" w:themeColor="text1"/>
                      <w:szCs w:val="21"/>
                      <w14:textFill>
                        <w14:solidFill>
                          <w14:schemeClr w14:val="tx1"/>
                        </w14:solidFill>
                      </w14:textFill>
                    </w:rPr>
                    <w:t>经</w:t>
                  </w:r>
                  <w:r>
                    <w:rPr>
                      <w:rFonts w:hint="eastAsia"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集气罩</w:t>
                  </w:r>
                  <w:r>
                    <w:rPr>
                      <w:rFonts w:hint="eastAsia" w:cs="Times New Roman"/>
                      <w:color w:val="000000" w:themeColor="text1"/>
                      <w:szCs w:val="21"/>
                      <w:lang w:val="en-US" w:eastAsia="zh-CN"/>
                      <w14:textFill>
                        <w14:solidFill>
                          <w14:schemeClr w14:val="tx1"/>
                        </w14:solidFill>
                      </w14:textFill>
                    </w:rPr>
                    <w:t>+UV光氧+</w:t>
                  </w:r>
                  <w:r>
                    <w:rPr>
                      <w:rFonts w:hint="default" w:ascii="Times New Roman" w:hAnsi="Times New Roman" w:cs="Times New Roman"/>
                      <w:color w:val="000000" w:themeColor="text1"/>
                      <w:szCs w:val="21"/>
                      <w:lang w:val="en-US" w:eastAsia="zh-CN"/>
                      <w14:textFill>
                        <w14:solidFill>
                          <w14:schemeClr w14:val="tx1"/>
                        </w14:solidFill>
                      </w14:textFill>
                    </w:rPr>
                    <w:t>活性炭吸附</w:t>
                  </w:r>
                  <w:r>
                    <w:rPr>
                      <w:rFonts w:hint="eastAsia" w:cs="Times New Roman"/>
                      <w:color w:val="000000" w:themeColor="text1"/>
                      <w:szCs w:val="21"/>
                      <w:lang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收集处理后，</w:t>
                  </w:r>
                  <w:r>
                    <w:rPr>
                      <w:rFonts w:hint="default" w:ascii="Times New Roman" w:hAnsi="Times New Roman" w:cs="Times New Roman"/>
                      <w:color w:val="000000" w:themeColor="text1"/>
                      <w:kern w:val="0"/>
                      <w:sz w:val="21"/>
                      <w:szCs w:val="21"/>
                      <w14:textFill>
                        <w14:solidFill>
                          <w14:schemeClr w14:val="tx1"/>
                        </w14:solidFill>
                      </w14:textFill>
                    </w:rPr>
                    <w:t>经15m高排气筒</w:t>
                  </w:r>
                  <w:r>
                    <w:rPr>
                      <w:rFonts w:hint="eastAsia" w:cs="Times New Roman"/>
                      <w:color w:val="000000" w:themeColor="text1"/>
                      <w:kern w:val="0"/>
                      <w:sz w:val="21"/>
                      <w:szCs w:val="21"/>
                      <w:lang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DA002</w:t>
                  </w:r>
                  <w:r>
                    <w:rPr>
                      <w:rFonts w:hint="eastAsia"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排放</w:t>
                  </w:r>
                </w:p>
              </w:tc>
              <w:tc>
                <w:tcPr>
                  <w:tcW w:w="1102" w:type="pct"/>
                  <w:vMerge w:val="continue"/>
                  <w:noWrap w:val="0"/>
                  <w:vAlign w:val="center"/>
                </w:tcPr>
                <w:p w14:paraId="5F14DEC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lang w:bidi="ar"/>
                      <w14:textFill>
                        <w14:solidFill>
                          <w14:schemeClr w14:val="tx1"/>
                        </w14:solidFill>
                      </w14:textFill>
                    </w:rPr>
                  </w:pPr>
                </w:p>
              </w:tc>
            </w:tr>
            <w:tr w14:paraId="1654A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396" w:type="pct"/>
                  <w:vMerge w:val="continue"/>
                  <w:noWrap w:val="0"/>
                  <w:vAlign w:val="center"/>
                </w:tcPr>
                <w:p w14:paraId="662671E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46" w:type="pct"/>
                  <w:vMerge w:val="continue"/>
                  <w:noWrap w:val="0"/>
                  <w:vAlign w:val="center"/>
                </w:tcPr>
                <w:p w14:paraId="2695CE9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393" w:type="pct"/>
                  <w:noWrap w:val="0"/>
                  <w:vAlign w:val="center"/>
                </w:tcPr>
                <w:p w14:paraId="1A69DC4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3号车间</w:t>
                  </w:r>
                </w:p>
              </w:tc>
              <w:tc>
                <w:tcPr>
                  <w:tcW w:w="1304" w:type="pct"/>
                  <w:noWrap w:val="0"/>
                  <w:vAlign w:val="center"/>
                </w:tcPr>
                <w:p w14:paraId="70A95EB5">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w:t>
                  </w:r>
                </w:p>
              </w:tc>
              <w:tc>
                <w:tcPr>
                  <w:tcW w:w="1556" w:type="pct"/>
                  <w:noWrap w:val="0"/>
                  <w:vAlign w:val="center"/>
                </w:tcPr>
                <w:p w14:paraId="6D4A23E8">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水性印刷废气和胶装废气</w:t>
                  </w:r>
                  <w:r>
                    <w:rPr>
                      <w:rFonts w:hint="default" w:ascii="Times New Roman" w:hAnsi="Times New Roman" w:cs="Times New Roman"/>
                      <w:color w:val="000000" w:themeColor="text1"/>
                      <w:szCs w:val="21"/>
                      <w14:textFill>
                        <w14:solidFill>
                          <w14:schemeClr w14:val="tx1"/>
                        </w14:solidFill>
                      </w14:textFill>
                    </w:rPr>
                    <w:t>经</w:t>
                  </w:r>
                  <w:r>
                    <w:rPr>
                      <w:rFonts w:hint="eastAsia"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集气罩</w:t>
                  </w:r>
                  <w:r>
                    <w:rPr>
                      <w:rFonts w:hint="eastAsia" w:cs="Times New Roman"/>
                      <w:color w:val="000000" w:themeColor="text1"/>
                      <w:szCs w:val="21"/>
                      <w:lang w:val="en-US" w:eastAsia="zh-CN"/>
                      <w14:textFill>
                        <w14:solidFill>
                          <w14:schemeClr w14:val="tx1"/>
                        </w14:solidFill>
                      </w14:textFill>
                    </w:rPr>
                    <w:t>+UV光氧+</w:t>
                  </w:r>
                  <w:r>
                    <w:rPr>
                      <w:rFonts w:hint="default" w:ascii="Times New Roman" w:hAnsi="Times New Roman" w:cs="Times New Roman"/>
                      <w:color w:val="000000" w:themeColor="text1"/>
                      <w:szCs w:val="21"/>
                      <w:lang w:val="en-US" w:eastAsia="zh-CN"/>
                      <w14:textFill>
                        <w14:solidFill>
                          <w14:schemeClr w14:val="tx1"/>
                        </w14:solidFill>
                      </w14:textFill>
                    </w:rPr>
                    <w:t>活性炭吸附</w:t>
                  </w:r>
                  <w:r>
                    <w:rPr>
                      <w:rFonts w:hint="eastAsia" w:cs="Times New Roman"/>
                      <w:color w:val="000000" w:themeColor="text1"/>
                      <w:szCs w:val="21"/>
                      <w:lang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收集处理后，</w:t>
                  </w:r>
                  <w:r>
                    <w:rPr>
                      <w:rFonts w:hint="default" w:ascii="Times New Roman" w:hAnsi="Times New Roman" w:cs="Times New Roman"/>
                      <w:color w:val="000000" w:themeColor="text1"/>
                      <w:kern w:val="0"/>
                      <w:sz w:val="21"/>
                      <w:szCs w:val="21"/>
                      <w14:textFill>
                        <w14:solidFill>
                          <w14:schemeClr w14:val="tx1"/>
                        </w14:solidFill>
                      </w14:textFill>
                    </w:rPr>
                    <w:t>经15m高排气筒</w:t>
                  </w:r>
                  <w:r>
                    <w:rPr>
                      <w:rFonts w:hint="eastAsia" w:cs="Times New Roman"/>
                      <w:color w:val="000000" w:themeColor="text1"/>
                      <w:kern w:val="0"/>
                      <w:sz w:val="21"/>
                      <w:szCs w:val="21"/>
                      <w:lang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DA002</w:t>
                  </w:r>
                  <w:r>
                    <w:rPr>
                      <w:rFonts w:hint="eastAsia"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排放</w:t>
                  </w:r>
                </w:p>
              </w:tc>
              <w:tc>
                <w:tcPr>
                  <w:tcW w:w="1102" w:type="pct"/>
                  <w:vMerge w:val="continue"/>
                  <w:noWrap w:val="0"/>
                  <w:vAlign w:val="center"/>
                </w:tcPr>
                <w:p w14:paraId="7BDC59C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lang w:bidi="ar"/>
                      <w14:textFill>
                        <w14:solidFill>
                          <w14:schemeClr w14:val="tx1"/>
                        </w14:solidFill>
                      </w14:textFill>
                    </w:rPr>
                  </w:pPr>
                </w:p>
              </w:tc>
            </w:tr>
            <w:tr w14:paraId="2E897E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396" w:type="pct"/>
                  <w:vMerge w:val="continue"/>
                  <w:noWrap w:val="0"/>
                  <w:vAlign w:val="center"/>
                </w:tcPr>
                <w:p w14:paraId="200CC0E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46" w:type="pct"/>
                  <w:vMerge w:val="continue"/>
                  <w:noWrap w:val="0"/>
                  <w:vAlign w:val="center"/>
                </w:tcPr>
                <w:p w14:paraId="0E70E6B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393" w:type="pct"/>
                  <w:noWrap w:val="0"/>
                  <w:vAlign w:val="center"/>
                </w:tcPr>
                <w:p w14:paraId="2ECE115E">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4号车间</w:t>
                  </w:r>
                </w:p>
              </w:tc>
              <w:tc>
                <w:tcPr>
                  <w:tcW w:w="1304" w:type="pct"/>
                  <w:noWrap w:val="0"/>
                  <w:vAlign w:val="center"/>
                </w:tcPr>
                <w:p w14:paraId="3E0B2056">
                  <w:pPr>
                    <w:keepNext w:val="0"/>
                    <w:keepLines w:val="0"/>
                    <w:widowControl/>
                    <w:suppressLineNumbers w:val="0"/>
                    <w:adjustRightInd w:val="0"/>
                    <w:snapToGrid w:val="0"/>
                    <w:spacing w:before="0" w:beforeAutospacing="0" w:after="0" w:afterAutospacing="0"/>
                    <w:ind w:left="0" w:right="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w:t>
                  </w:r>
                </w:p>
              </w:tc>
              <w:tc>
                <w:tcPr>
                  <w:tcW w:w="1556" w:type="pct"/>
                  <w:noWrap w:val="0"/>
                  <w:vAlign w:val="center"/>
                </w:tcPr>
                <w:p w14:paraId="3D8D528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胶印印刷废气</w:t>
                  </w:r>
                  <w:r>
                    <w:rPr>
                      <w:rFonts w:hint="default" w:ascii="Times New Roman" w:hAnsi="Times New Roman" w:cs="Times New Roman"/>
                      <w:color w:val="000000" w:themeColor="text1"/>
                      <w:szCs w:val="21"/>
                      <w14:textFill>
                        <w14:solidFill>
                          <w14:schemeClr w14:val="tx1"/>
                        </w14:solidFill>
                      </w14:textFill>
                    </w:rPr>
                    <w:t>经</w:t>
                  </w:r>
                  <w:r>
                    <w:rPr>
                      <w:rFonts w:hint="eastAsia"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集气罩</w:t>
                  </w:r>
                  <w:r>
                    <w:rPr>
                      <w:rFonts w:hint="eastAsia" w:cs="Times New Roman"/>
                      <w:color w:val="000000" w:themeColor="text1"/>
                      <w:szCs w:val="21"/>
                      <w:lang w:val="en-US" w:eastAsia="zh-CN"/>
                      <w14:textFill>
                        <w14:solidFill>
                          <w14:schemeClr w14:val="tx1"/>
                        </w14:solidFill>
                      </w14:textFill>
                    </w:rPr>
                    <w:t>+UV光氧+</w:t>
                  </w:r>
                  <w:r>
                    <w:rPr>
                      <w:rFonts w:hint="default" w:ascii="Times New Roman" w:hAnsi="Times New Roman" w:cs="Times New Roman"/>
                      <w:color w:val="000000" w:themeColor="text1"/>
                      <w:szCs w:val="21"/>
                      <w:lang w:val="en-US" w:eastAsia="zh-CN"/>
                      <w14:textFill>
                        <w14:solidFill>
                          <w14:schemeClr w14:val="tx1"/>
                        </w14:solidFill>
                      </w14:textFill>
                    </w:rPr>
                    <w:t>活性炭吸附</w:t>
                  </w:r>
                  <w:r>
                    <w:rPr>
                      <w:rFonts w:hint="eastAsia" w:cs="Times New Roman"/>
                      <w:color w:val="000000" w:themeColor="text1"/>
                      <w:szCs w:val="21"/>
                      <w:lang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收集处理后，</w:t>
                  </w:r>
                  <w:r>
                    <w:rPr>
                      <w:rFonts w:hint="default" w:ascii="Times New Roman" w:hAnsi="Times New Roman" w:cs="Times New Roman"/>
                      <w:color w:val="000000" w:themeColor="text1"/>
                      <w:kern w:val="0"/>
                      <w:sz w:val="21"/>
                      <w:szCs w:val="21"/>
                      <w14:textFill>
                        <w14:solidFill>
                          <w14:schemeClr w14:val="tx1"/>
                        </w14:solidFill>
                      </w14:textFill>
                    </w:rPr>
                    <w:t>经15m高排气筒</w:t>
                  </w:r>
                  <w:r>
                    <w:rPr>
                      <w:rFonts w:hint="eastAsia" w:ascii="Times New Roman" w:hAnsi="Times New Roman" w:cs="Times New Roman"/>
                      <w:color w:val="000000" w:themeColor="text1"/>
                      <w:kern w:val="0"/>
                      <w:sz w:val="21"/>
                      <w:szCs w:val="21"/>
                      <w:lang w:eastAsia="zh-CN"/>
                      <w14:textFill>
                        <w14:solidFill>
                          <w14:schemeClr w14:val="tx1"/>
                        </w14:solidFill>
                      </w14:textFill>
                    </w:rPr>
                    <w:t>（</w:t>
                  </w:r>
                  <w:r>
                    <w:rPr>
                      <w:rFonts w:hint="eastAsia" w:ascii="Times New Roman" w:hAnsi="Times New Roman" w:cs="Times New Roman"/>
                      <w:color w:val="000000" w:themeColor="text1"/>
                      <w:kern w:val="0"/>
                      <w:sz w:val="21"/>
                      <w:szCs w:val="21"/>
                      <w:lang w:val="en-US" w:eastAsia="zh-CN"/>
                      <w14:textFill>
                        <w14:solidFill>
                          <w14:schemeClr w14:val="tx1"/>
                        </w14:solidFill>
                      </w14:textFill>
                    </w:rPr>
                    <w:t>DA003</w:t>
                  </w:r>
                  <w:r>
                    <w:rPr>
                      <w:rFonts w:hint="eastAsia"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排放</w:t>
                  </w:r>
                </w:p>
              </w:tc>
              <w:tc>
                <w:tcPr>
                  <w:tcW w:w="1102" w:type="pct"/>
                  <w:vMerge w:val="continue"/>
                  <w:noWrap w:val="0"/>
                  <w:vAlign w:val="center"/>
                </w:tcPr>
                <w:p w14:paraId="743032F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kern w:val="0"/>
                      <w:szCs w:val="21"/>
                      <w:lang w:bidi="ar"/>
                      <w14:textFill>
                        <w14:solidFill>
                          <w14:schemeClr w14:val="tx1"/>
                        </w14:solidFill>
                      </w14:textFill>
                    </w:rPr>
                  </w:pPr>
                </w:p>
              </w:tc>
            </w:tr>
            <w:tr w14:paraId="3495C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396" w:type="pct"/>
                  <w:vMerge w:val="continue"/>
                  <w:noWrap w:val="0"/>
                  <w:vAlign w:val="center"/>
                </w:tcPr>
                <w:p w14:paraId="4F926A3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46" w:type="pct"/>
                  <w:vMerge w:val="continue"/>
                  <w:noWrap w:val="0"/>
                  <w:vAlign w:val="center"/>
                </w:tcPr>
                <w:p w14:paraId="02988E5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393" w:type="pct"/>
                  <w:noWrap w:val="0"/>
                  <w:vAlign w:val="center"/>
                </w:tcPr>
                <w:p w14:paraId="2DEDBD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5号车间</w:t>
                  </w:r>
                </w:p>
              </w:tc>
              <w:tc>
                <w:tcPr>
                  <w:tcW w:w="1304" w:type="pct"/>
                  <w:noWrap w:val="0"/>
                  <w:vAlign w:val="center"/>
                </w:tcPr>
                <w:p w14:paraId="2BC00EC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w:t>
                  </w:r>
                </w:p>
              </w:tc>
              <w:tc>
                <w:tcPr>
                  <w:tcW w:w="1556" w:type="pct"/>
                  <w:noWrap w:val="0"/>
                  <w:vAlign w:val="center"/>
                </w:tcPr>
                <w:p w14:paraId="51DE58C8">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kern w:val="0"/>
                      <w:szCs w:val="21"/>
                      <w:lang w:bidi="ar"/>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车间无组织排放</w:t>
                  </w:r>
                </w:p>
              </w:tc>
              <w:tc>
                <w:tcPr>
                  <w:tcW w:w="1102" w:type="pct"/>
                  <w:noWrap w:val="0"/>
                  <w:vAlign w:val="center"/>
                </w:tcPr>
                <w:p w14:paraId="647A1EFB">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cs="Times New Roman"/>
                      <w:color w:val="000000" w:themeColor="text1"/>
                      <w:kern w:val="0"/>
                      <w:szCs w:val="21"/>
                      <w:lang w:val="en-US" w:eastAsia="zh-CN" w:bidi="ar"/>
                      <w14:textFill>
                        <w14:solidFill>
                          <w14:schemeClr w14:val="tx1"/>
                        </w14:solidFill>
                      </w14:textFill>
                    </w:rPr>
                    <w:t>/</w:t>
                  </w:r>
                </w:p>
              </w:tc>
            </w:tr>
            <w:tr w14:paraId="44A228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396" w:type="pct"/>
                  <w:vMerge w:val="continue"/>
                  <w:noWrap w:val="0"/>
                  <w:vAlign w:val="center"/>
                </w:tcPr>
                <w:p w14:paraId="321D9F5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noWrap w:val="0"/>
                  <w:vAlign w:val="center"/>
                </w:tcPr>
                <w:p w14:paraId="70B1014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w:t>
                  </w:r>
                </w:p>
              </w:tc>
              <w:tc>
                <w:tcPr>
                  <w:tcW w:w="1304" w:type="pct"/>
                  <w:noWrap w:val="0"/>
                  <w:vAlign w:val="center"/>
                </w:tcPr>
                <w:p w14:paraId="04B4AFB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选用低噪声设备、厂房隔噪、设置减振垫等</w:t>
                  </w:r>
                </w:p>
              </w:tc>
              <w:tc>
                <w:tcPr>
                  <w:tcW w:w="1556" w:type="pct"/>
                  <w:noWrap w:val="0"/>
                  <w:vAlign w:val="center"/>
                </w:tcPr>
                <w:p w14:paraId="7340D74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新增设备</w:t>
                  </w:r>
                  <w:r>
                    <w:rPr>
                      <w:rFonts w:hint="default" w:ascii="Times New Roman" w:hAnsi="Times New Roman" w:cs="Times New Roman"/>
                      <w:color w:val="000000" w:themeColor="text1"/>
                      <w:szCs w:val="21"/>
                      <w14:textFill>
                        <w14:solidFill>
                          <w14:schemeClr w14:val="tx1"/>
                        </w14:solidFill>
                      </w14:textFill>
                    </w:rPr>
                    <w:t>选用低噪声设备、厂房隔噪、设置减振垫等</w:t>
                  </w:r>
                </w:p>
              </w:tc>
              <w:tc>
                <w:tcPr>
                  <w:tcW w:w="1102" w:type="pct"/>
                  <w:noWrap w:val="0"/>
                  <w:vAlign w:val="center"/>
                </w:tcPr>
                <w:p w14:paraId="5C382E8C">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kern w:val="0"/>
                      <w:szCs w:val="21"/>
                      <w:lang w:val="en-US" w:eastAsia="zh-CN" w:bidi="ar"/>
                      <w14:textFill>
                        <w14:solidFill>
                          <w14:schemeClr w14:val="tx1"/>
                        </w14:solidFill>
                      </w14:textFill>
                    </w:rPr>
                    <w:t>依托现有工程，</w:t>
                  </w:r>
                  <w:r>
                    <w:rPr>
                      <w:rFonts w:hint="default" w:ascii="Times New Roman" w:hAnsi="Times New Roman" w:cs="Times New Roman"/>
                      <w:color w:val="000000" w:themeColor="text1"/>
                      <w:kern w:val="0"/>
                      <w:szCs w:val="21"/>
                      <w:lang w:bidi="ar"/>
                      <w14:textFill>
                        <w14:solidFill>
                          <w14:schemeClr w14:val="tx1"/>
                        </w14:solidFill>
                      </w14:textFill>
                    </w:rPr>
                    <w:t>本次新增</w:t>
                  </w:r>
                  <w:r>
                    <w:rPr>
                      <w:rFonts w:hint="eastAsia" w:cs="Times New Roman"/>
                      <w:color w:val="000000" w:themeColor="text1"/>
                      <w:kern w:val="0"/>
                      <w:szCs w:val="21"/>
                      <w:lang w:val="en-US" w:eastAsia="zh-CN" w:bidi="ar"/>
                      <w14:textFill>
                        <w14:solidFill>
                          <w14:schemeClr w14:val="tx1"/>
                        </w14:solidFill>
                      </w14:textFill>
                    </w:rPr>
                    <w:t>设备</w:t>
                  </w:r>
                </w:p>
              </w:tc>
            </w:tr>
            <w:tr w14:paraId="32DEA1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396" w:type="pct"/>
                  <w:vMerge w:val="continue"/>
                  <w:noWrap w:val="0"/>
                  <w:vAlign w:val="center"/>
                </w:tcPr>
                <w:p w14:paraId="7E78E9D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46" w:type="pct"/>
                  <w:vMerge w:val="restart"/>
                  <w:noWrap w:val="0"/>
                  <w:vAlign w:val="center"/>
                </w:tcPr>
                <w:p w14:paraId="5CD9C4C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废水</w:t>
                  </w:r>
                </w:p>
              </w:tc>
              <w:tc>
                <w:tcPr>
                  <w:tcW w:w="393" w:type="pct"/>
                  <w:noWrap w:val="0"/>
                  <w:vAlign w:val="center"/>
                </w:tcPr>
                <w:p w14:paraId="76E044E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生活污水</w:t>
                  </w:r>
                </w:p>
              </w:tc>
              <w:tc>
                <w:tcPr>
                  <w:tcW w:w="1304" w:type="pct"/>
                  <w:vMerge w:val="restart"/>
                  <w:noWrap w:val="0"/>
                  <w:vAlign w:val="center"/>
                </w:tcPr>
                <w:p w14:paraId="1945DD9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val="0"/>
                      <w:bCs w:val="0"/>
                      <w:color w:val="000000" w:themeColor="text1"/>
                      <w:szCs w:val="21"/>
                      <w:lang w:val="en-US" w:eastAsia="zh-CN"/>
                      <w14:textFill>
                        <w14:solidFill>
                          <w14:schemeClr w14:val="tx1"/>
                        </w14:solidFill>
                      </w14:textFill>
                    </w:rPr>
                  </w:pPr>
                  <w:r>
                    <w:rPr>
                      <w:rFonts w:hint="default" w:ascii="Times New Roman" w:hAnsi="Times New Roman" w:cs="Times New Roman"/>
                      <w:b w:val="0"/>
                      <w:bCs w:val="0"/>
                      <w:color w:val="000000" w:themeColor="text1"/>
                      <w:szCs w:val="21"/>
                      <w:lang w:val="en-US" w:eastAsia="zh-CN"/>
                      <w14:textFill>
                        <w14:solidFill>
                          <w14:schemeClr w14:val="tx1"/>
                        </w14:solidFill>
                      </w14:textFill>
                    </w:rPr>
                    <w:t>餐饮废水经过油水分离器处理后和生活污水一同进入化粪池处理，再进入市政污水管网，最终进入西安市第六污水处理厂（厂区设有两座化粪池，宿舍“L” 拐角处一座，容积为36m</w:t>
                  </w:r>
                  <w:r>
                    <w:rPr>
                      <w:rFonts w:hint="default" w:ascii="Times New Roman" w:hAnsi="Times New Roman" w:cs="Times New Roman"/>
                      <w:b w:val="0"/>
                      <w:bCs w:val="0"/>
                      <w:color w:val="000000" w:themeColor="text1"/>
                      <w:szCs w:val="21"/>
                      <w:vertAlign w:val="superscript"/>
                      <w:lang w:val="en-US" w:eastAsia="zh-CN"/>
                      <w14:textFill>
                        <w14:solidFill>
                          <w14:schemeClr w14:val="tx1"/>
                        </w14:solidFill>
                      </w14:textFill>
                    </w:rPr>
                    <w:t>3</w:t>
                  </w:r>
                  <w:r>
                    <w:rPr>
                      <w:rFonts w:hint="default" w:ascii="Times New Roman" w:hAnsi="Times New Roman" w:cs="Times New Roman"/>
                      <w:b w:val="0"/>
                      <w:bCs w:val="0"/>
                      <w:color w:val="000000" w:themeColor="text1"/>
                      <w:szCs w:val="21"/>
                      <w:lang w:val="en-US" w:eastAsia="zh-CN"/>
                      <w14:textFill>
                        <w14:solidFill>
                          <w14:schemeClr w14:val="tx1"/>
                        </w14:solidFill>
                      </w14:textFill>
                    </w:rPr>
                    <w:t>；厂区厕所南边一座，容积为12m</w:t>
                  </w:r>
                  <w:r>
                    <w:rPr>
                      <w:rFonts w:hint="default" w:ascii="Times New Roman" w:hAnsi="Times New Roman" w:cs="Times New Roman"/>
                      <w:b w:val="0"/>
                      <w:bCs w:val="0"/>
                      <w:color w:val="000000" w:themeColor="text1"/>
                      <w:szCs w:val="21"/>
                      <w:vertAlign w:val="superscript"/>
                      <w:lang w:val="en-US" w:eastAsia="zh-CN"/>
                      <w14:textFill>
                        <w14:solidFill>
                          <w14:schemeClr w14:val="tx1"/>
                        </w14:solidFill>
                      </w14:textFill>
                    </w:rPr>
                    <w:t>3</w:t>
                  </w:r>
                  <w:r>
                    <w:rPr>
                      <w:rFonts w:hint="default" w:ascii="Times New Roman" w:hAnsi="Times New Roman" w:cs="Times New Roman"/>
                      <w:b w:val="0"/>
                      <w:bCs w:val="0"/>
                      <w:color w:val="000000" w:themeColor="text1"/>
                      <w:szCs w:val="21"/>
                      <w:lang w:val="en-US" w:eastAsia="zh-CN"/>
                      <w14:textFill>
                        <w14:solidFill>
                          <w14:schemeClr w14:val="tx1"/>
                        </w14:solidFill>
                      </w14:textFill>
                    </w:rPr>
                    <w:t>）</w:t>
                  </w:r>
                </w:p>
              </w:tc>
              <w:tc>
                <w:tcPr>
                  <w:tcW w:w="1556" w:type="pct"/>
                  <w:vMerge w:val="restart"/>
                  <w:noWrap w:val="0"/>
                  <w:vAlign w:val="center"/>
                </w:tcPr>
                <w:p w14:paraId="4BA558C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eastAsia" w:cs="Times New Roman"/>
                      <w:b w:val="0"/>
                      <w:bCs w:val="0"/>
                      <w:color w:val="000000" w:themeColor="text1"/>
                      <w:szCs w:val="21"/>
                      <w:lang w:val="en-US" w:eastAsia="zh-CN"/>
                      <w14:textFill>
                        <w14:solidFill>
                          <w14:schemeClr w14:val="tx1"/>
                        </w14:solidFill>
                      </w14:textFill>
                    </w:rPr>
                    <w:t>新增</w:t>
                  </w:r>
                  <w:r>
                    <w:rPr>
                      <w:rFonts w:hint="default" w:ascii="Times New Roman" w:hAnsi="Times New Roman" w:cs="Times New Roman"/>
                      <w:b w:val="0"/>
                      <w:bCs w:val="0"/>
                      <w:color w:val="000000" w:themeColor="text1"/>
                      <w:szCs w:val="21"/>
                      <w:lang w:val="en-US" w:eastAsia="zh-CN"/>
                      <w14:textFill>
                        <w14:solidFill>
                          <w14:schemeClr w14:val="tx1"/>
                        </w14:solidFill>
                      </w14:textFill>
                    </w:rPr>
                    <w:t>餐饮废水经过油水分离器处理后和</w:t>
                  </w:r>
                  <w:r>
                    <w:rPr>
                      <w:rFonts w:hint="eastAsia" w:cs="Times New Roman"/>
                      <w:b w:val="0"/>
                      <w:bCs w:val="0"/>
                      <w:color w:val="000000" w:themeColor="text1"/>
                      <w:szCs w:val="21"/>
                      <w:lang w:val="en-US" w:eastAsia="zh-CN"/>
                      <w14:textFill>
                        <w14:solidFill>
                          <w14:schemeClr w14:val="tx1"/>
                        </w14:solidFill>
                      </w14:textFill>
                    </w:rPr>
                    <w:t>新增</w:t>
                  </w:r>
                  <w:r>
                    <w:rPr>
                      <w:rFonts w:hint="default" w:ascii="Times New Roman" w:hAnsi="Times New Roman" w:cs="Times New Roman"/>
                      <w:b w:val="0"/>
                      <w:bCs w:val="0"/>
                      <w:color w:val="000000" w:themeColor="text1"/>
                      <w:szCs w:val="21"/>
                      <w:lang w:val="en-US" w:eastAsia="zh-CN"/>
                      <w14:textFill>
                        <w14:solidFill>
                          <w14:schemeClr w14:val="tx1"/>
                        </w14:solidFill>
                      </w14:textFill>
                    </w:rPr>
                    <w:t>生活污水一同进入化粪池处理，再进入市政污水管网，最终进入西安市第六污水处理厂</w:t>
                  </w:r>
                </w:p>
              </w:tc>
              <w:tc>
                <w:tcPr>
                  <w:tcW w:w="1102" w:type="pct"/>
                  <w:vMerge w:val="restart"/>
                  <w:noWrap w:val="0"/>
                  <w:vAlign w:val="center"/>
                </w:tcPr>
                <w:p w14:paraId="2112749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依托现有工程</w:t>
                  </w:r>
                </w:p>
              </w:tc>
            </w:tr>
            <w:tr w14:paraId="41DF71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396" w:type="pct"/>
                  <w:vMerge w:val="continue"/>
                  <w:noWrap w:val="0"/>
                  <w:vAlign w:val="center"/>
                </w:tcPr>
                <w:p w14:paraId="5B747A0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46" w:type="pct"/>
                  <w:vMerge w:val="continue"/>
                  <w:noWrap w:val="0"/>
                  <w:vAlign w:val="center"/>
                </w:tcPr>
                <w:p w14:paraId="4C8E285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393" w:type="pct"/>
                  <w:noWrap w:val="0"/>
                  <w:vAlign w:val="center"/>
                </w:tcPr>
                <w:p w14:paraId="05075F2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餐饮废水</w:t>
                  </w:r>
                </w:p>
              </w:tc>
              <w:tc>
                <w:tcPr>
                  <w:tcW w:w="1304" w:type="pct"/>
                  <w:vMerge w:val="continue"/>
                  <w:noWrap w:val="0"/>
                  <w:vAlign w:val="center"/>
                </w:tcPr>
                <w:p w14:paraId="0849503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p>
              </w:tc>
              <w:tc>
                <w:tcPr>
                  <w:tcW w:w="1556" w:type="pct"/>
                  <w:vMerge w:val="continue"/>
                  <w:noWrap w:val="0"/>
                  <w:vAlign w:val="center"/>
                </w:tcPr>
                <w:p w14:paraId="67AFDD2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p>
              </w:tc>
              <w:tc>
                <w:tcPr>
                  <w:tcW w:w="1102" w:type="pct"/>
                  <w:vMerge w:val="continue"/>
                  <w:noWrap w:val="0"/>
                  <w:vAlign w:val="center"/>
                </w:tcPr>
                <w:p w14:paraId="34342A6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198A3F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396" w:type="pct"/>
                  <w:vMerge w:val="continue"/>
                  <w:noWrap w:val="0"/>
                  <w:vAlign w:val="center"/>
                </w:tcPr>
                <w:p w14:paraId="7F76A2E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246" w:type="pct"/>
                  <w:vMerge w:val="continue"/>
                  <w:noWrap w:val="0"/>
                  <w:vAlign w:val="center"/>
                </w:tcPr>
                <w:p w14:paraId="2BDE3ED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393" w:type="pct"/>
                  <w:noWrap w:val="0"/>
                  <w:vAlign w:val="center"/>
                </w:tcPr>
                <w:p w14:paraId="05FC14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生产废水</w:t>
                  </w:r>
                </w:p>
              </w:tc>
              <w:tc>
                <w:tcPr>
                  <w:tcW w:w="1304" w:type="pct"/>
                  <w:noWrap w:val="0"/>
                  <w:vAlign w:val="center"/>
                </w:tcPr>
                <w:p w14:paraId="39A3FA0E">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设备清洗废水经废水沉淀池收集处理后，再由污水处理设备处理后循环使用</w:t>
                  </w:r>
                </w:p>
              </w:tc>
              <w:tc>
                <w:tcPr>
                  <w:tcW w:w="1556" w:type="pct"/>
                  <w:noWrap w:val="0"/>
                  <w:vAlign w:val="center"/>
                </w:tcPr>
                <w:p w14:paraId="38913146">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新增</w:t>
                  </w:r>
                  <w:r>
                    <w:rPr>
                      <w:rFonts w:hint="eastAsia" w:ascii="Times New Roman" w:hAnsi="Times New Roman" w:cs="Times New Roman"/>
                      <w:color w:val="000000" w:themeColor="text1"/>
                      <w:szCs w:val="21"/>
                      <w:lang w:val="en-US" w:eastAsia="zh-CN"/>
                      <w14:textFill>
                        <w14:solidFill>
                          <w14:schemeClr w14:val="tx1"/>
                        </w14:solidFill>
                      </w14:textFill>
                    </w:rPr>
                    <w:t>设备清洗废水经废水沉淀池收集处理后，再由污水处理设备处理后循环使用</w:t>
                  </w:r>
                </w:p>
              </w:tc>
              <w:tc>
                <w:tcPr>
                  <w:tcW w:w="1102" w:type="pct"/>
                  <w:vMerge w:val="continue"/>
                  <w:noWrap w:val="0"/>
                  <w:vAlign w:val="center"/>
                </w:tcPr>
                <w:p w14:paraId="4EF02F9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r>
            <w:tr w14:paraId="15B8E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396" w:type="pct"/>
                  <w:vMerge w:val="continue"/>
                  <w:noWrap w:val="0"/>
                  <w:vAlign w:val="center"/>
                </w:tcPr>
                <w:p w14:paraId="2DC6B3F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vMerge w:val="restart"/>
                  <w:noWrap w:val="0"/>
                  <w:vAlign w:val="center"/>
                </w:tcPr>
                <w:p w14:paraId="636E827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固废</w:t>
                  </w:r>
                </w:p>
              </w:tc>
              <w:tc>
                <w:tcPr>
                  <w:tcW w:w="1304" w:type="pct"/>
                  <w:noWrap w:val="0"/>
                  <w:vAlign w:val="center"/>
                </w:tcPr>
                <w:p w14:paraId="20659D5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生活垃圾分类收集后由环卫部门定期集中清运</w:t>
                  </w:r>
                </w:p>
              </w:tc>
              <w:tc>
                <w:tcPr>
                  <w:tcW w:w="1556" w:type="pct"/>
                  <w:noWrap w:val="0"/>
                  <w:vAlign w:val="center"/>
                </w:tcPr>
                <w:p w14:paraId="7B87B10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新增</w:t>
                  </w:r>
                  <w:r>
                    <w:rPr>
                      <w:rFonts w:hint="default" w:ascii="Times New Roman" w:hAnsi="Times New Roman" w:cs="Times New Roman"/>
                      <w:color w:val="000000" w:themeColor="text1"/>
                      <w:szCs w:val="21"/>
                      <w:lang w:val="en-US" w:eastAsia="zh-CN"/>
                      <w14:textFill>
                        <w14:solidFill>
                          <w14:schemeClr w14:val="tx1"/>
                        </w14:solidFill>
                      </w14:textFill>
                    </w:rPr>
                    <w:t>生活垃圾分类收集后由环卫部门定期集中清运</w:t>
                  </w:r>
                </w:p>
              </w:tc>
              <w:tc>
                <w:tcPr>
                  <w:tcW w:w="1102" w:type="pct"/>
                  <w:noWrap w:val="0"/>
                  <w:vAlign w:val="center"/>
                </w:tcPr>
                <w:p w14:paraId="229C2BD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依托现有工程</w:t>
                  </w:r>
                </w:p>
              </w:tc>
            </w:tr>
            <w:tr w14:paraId="0D3236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396" w:type="pct"/>
                  <w:vMerge w:val="continue"/>
                  <w:noWrap w:val="0"/>
                  <w:vAlign w:val="center"/>
                </w:tcPr>
                <w:p w14:paraId="4AE7A81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vMerge w:val="continue"/>
                  <w:noWrap w:val="0"/>
                  <w:vAlign w:val="center"/>
                </w:tcPr>
                <w:p w14:paraId="3BA8E32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04" w:type="pct"/>
                  <w:noWrap w:val="0"/>
                  <w:vAlign w:val="center"/>
                </w:tcPr>
                <w:p w14:paraId="3DED18F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废包装材料</w:t>
                  </w:r>
                  <w:r>
                    <w:rPr>
                      <w:rFonts w:hint="eastAsia"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生产过程中产生的</w:t>
                  </w:r>
                  <w:r>
                    <w:rPr>
                      <w:rFonts w:hint="eastAsia" w:cs="Times New Roman"/>
                      <w:color w:val="000000" w:themeColor="text1"/>
                      <w:szCs w:val="21"/>
                      <w:lang w:val="en-US" w:eastAsia="zh-CN"/>
                      <w14:textFill>
                        <w14:solidFill>
                          <w14:schemeClr w14:val="tx1"/>
                        </w14:solidFill>
                      </w14:textFill>
                    </w:rPr>
                    <w:t>纸张</w:t>
                  </w:r>
                  <w:r>
                    <w:rPr>
                      <w:rFonts w:hint="default" w:ascii="Times New Roman" w:hAnsi="Times New Roman" w:cs="Times New Roman"/>
                      <w:color w:val="000000" w:themeColor="text1"/>
                      <w:szCs w:val="21"/>
                      <w:lang w:val="en-US" w:eastAsia="zh-CN"/>
                      <w14:textFill>
                        <w14:solidFill>
                          <w14:schemeClr w14:val="tx1"/>
                        </w14:solidFill>
                      </w14:textFill>
                    </w:rPr>
                    <w:t>边角料、</w:t>
                  </w:r>
                  <w:r>
                    <w:rPr>
                      <w:rFonts w:hint="eastAsia" w:cs="Times New Roman"/>
                      <w:color w:val="000000" w:themeColor="text1"/>
                      <w:szCs w:val="21"/>
                      <w:lang w:val="en-US" w:eastAsia="zh-CN"/>
                      <w14:textFill>
                        <w14:solidFill>
                          <w14:schemeClr w14:val="tx1"/>
                        </w14:solidFill>
                      </w14:textFill>
                    </w:rPr>
                    <w:t>印刷不合格产品</w:t>
                  </w:r>
                  <w:r>
                    <w:rPr>
                      <w:rFonts w:hint="default" w:ascii="Times New Roman" w:hAnsi="Times New Roman" w:cs="Times New Roman"/>
                      <w:color w:val="000000" w:themeColor="text1"/>
                      <w:szCs w:val="21"/>
                      <w:lang w:val="en-US"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定期交由收购站收购处置</w:t>
                  </w:r>
                </w:p>
              </w:tc>
              <w:tc>
                <w:tcPr>
                  <w:tcW w:w="1556" w:type="pct"/>
                  <w:noWrap w:val="0"/>
                  <w:vAlign w:val="center"/>
                </w:tcPr>
                <w:p w14:paraId="24C7865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lang w:val="en-US"/>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废包装材料</w:t>
                  </w:r>
                  <w:r>
                    <w:rPr>
                      <w:rFonts w:hint="eastAsia"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lang w:val="en-US" w:eastAsia="zh-CN"/>
                      <w14:textFill>
                        <w14:solidFill>
                          <w14:schemeClr w14:val="tx1"/>
                        </w14:solidFill>
                      </w14:textFill>
                    </w:rPr>
                    <w:t>生产过程中产生的</w:t>
                  </w:r>
                  <w:r>
                    <w:rPr>
                      <w:rFonts w:hint="eastAsia" w:cs="Times New Roman"/>
                      <w:color w:val="000000" w:themeColor="text1"/>
                      <w:szCs w:val="21"/>
                      <w:lang w:val="en-US" w:eastAsia="zh-CN"/>
                      <w14:textFill>
                        <w14:solidFill>
                          <w14:schemeClr w14:val="tx1"/>
                        </w14:solidFill>
                      </w14:textFill>
                    </w:rPr>
                    <w:t>纸张</w:t>
                  </w:r>
                  <w:r>
                    <w:rPr>
                      <w:rFonts w:hint="default" w:ascii="Times New Roman" w:hAnsi="Times New Roman" w:cs="Times New Roman"/>
                      <w:color w:val="000000" w:themeColor="text1"/>
                      <w:szCs w:val="21"/>
                      <w:lang w:val="en-US" w:eastAsia="zh-CN"/>
                      <w14:textFill>
                        <w14:solidFill>
                          <w14:schemeClr w14:val="tx1"/>
                        </w14:solidFill>
                      </w14:textFill>
                    </w:rPr>
                    <w:t>边角料、</w:t>
                  </w:r>
                  <w:r>
                    <w:rPr>
                      <w:rFonts w:hint="eastAsia" w:cs="Times New Roman"/>
                      <w:color w:val="000000" w:themeColor="text1"/>
                      <w:szCs w:val="21"/>
                      <w:lang w:val="en-US" w:eastAsia="zh-CN"/>
                      <w14:textFill>
                        <w14:solidFill>
                          <w14:schemeClr w14:val="tx1"/>
                        </w14:solidFill>
                      </w14:textFill>
                    </w:rPr>
                    <w:t>印刷不合格产品</w:t>
                  </w:r>
                  <w:r>
                    <w:rPr>
                      <w:rFonts w:hint="default" w:ascii="Times New Roman" w:hAnsi="Times New Roman" w:cs="Times New Roman"/>
                      <w:color w:val="000000" w:themeColor="text1"/>
                      <w:szCs w:val="21"/>
                      <w:lang w:val="en-US" w:eastAsia="zh-CN"/>
                      <w14:textFill>
                        <w14:solidFill>
                          <w14:schemeClr w14:val="tx1"/>
                        </w14:solidFill>
                      </w14:textFill>
                    </w:rPr>
                    <w:t>，</w:t>
                  </w:r>
                  <w:r>
                    <w:rPr>
                      <w:rFonts w:hint="eastAsia" w:cs="Times New Roman"/>
                      <w:color w:val="000000" w:themeColor="text1"/>
                      <w:szCs w:val="21"/>
                      <w:lang w:val="en-US" w:eastAsia="zh-CN"/>
                      <w14:textFill>
                        <w14:solidFill>
                          <w14:schemeClr w14:val="tx1"/>
                        </w14:solidFill>
                      </w14:textFill>
                    </w:rPr>
                    <w:t>定期交由收购站收购处置</w:t>
                  </w:r>
                </w:p>
              </w:tc>
              <w:tc>
                <w:tcPr>
                  <w:tcW w:w="1102" w:type="pct"/>
                  <w:noWrap w:val="0"/>
                  <w:vAlign w:val="center"/>
                </w:tcPr>
                <w:p w14:paraId="226BF327">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kern w:val="0"/>
                      <w:szCs w:val="21"/>
                      <w:lang w:bidi="ar"/>
                      <w14:textFill>
                        <w14:solidFill>
                          <w14:schemeClr w14:val="tx1"/>
                        </w14:solidFill>
                      </w14:textFill>
                    </w:rPr>
                    <w:t>依托现有工程</w:t>
                  </w:r>
                </w:p>
              </w:tc>
            </w:tr>
            <w:tr w14:paraId="3C44DF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396" w:type="pct"/>
                  <w:vMerge w:val="continue"/>
                  <w:noWrap w:val="0"/>
                  <w:vAlign w:val="center"/>
                </w:tcPr>
                <w:p w14:paraId="4D44461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640" w:type="pct"/>
                  <w:gridSpan w:val="2"/>
                  <w:vMerge w:val="continue"/>
                  <w:noWrap w:val="0"/>
                  <w:vAlign w:val="center"/>
                </w:tcPr>
                <w:p w14:paraId="02F324A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p>
              </w:tc>
              <w:tc>
                <w:tcPr>
                  <w:tcW w:w="1304" w:type="pct"/>
                  <w:noWrap w:val="0"/>
                  <w:vAlign w:val="center"/>
                </w:tcPr>
                <w:p w14:paraId="5D0B4315">
                  <w:pPr>
                    <w:keepNext w:val="0"/>
                    <w:keepLines w:val="0"/>
                    <w:widowControl/>
                    <w:suppressLineNumbers w:val="0"/>
                    <w:adjustRightInd w:val="0"/>
                    <w:snapToGrid w:val="0"/>
                    <w:spacing w:before="0" w:beforeAutospacing="0" w:after="0" w:afterAutospacing="0"/>
                    <w:ind w:left="0" w:right="0"/>
                    <w:jc w:val="center"/>
                    <w:rPr>
                      <w:rFonts w:hint="default"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废油墨储存罐、</w:t>
                  </w:r>
                  <w:r>
                    <w:rPr>
                      <w:rFonts w:hint="eastAsia" w:ascii="Times New Roman" w:hAnsi="Times New Roman" w:cs="Times New Roman"/>
                      <w:color w:val="000000" w:themeColor="text1"/>
                      <w:szCs w:val="21"/>
                      <w14:textFill>
                        <w14:solidFill>
                          <w14:schemeClr w14:val="tx1"/>
                        </w14:solidFill>
                      </w14:textFill>
                    </w:rPr>
                    <w:t>废</w:t>
                  </w:r>
                  <w:r>
                    <w:rPr>
                      <w:rFonts w:hint="eastAsia" w:cs="Times New Roman"/>
                      <w:color w:val="000000" w:themeColor="text1"/>
                      <w:szCs w:val="21"/>
                      <w:lang w:val="en-US" w:eastAsia="zh-CN"/>
                      <w14:textFill>
                        <w14:solidFill>
                          <w14:schemeClr w14:val="tx1"/>
                        </w14:solidFill>
                      </w14:textFill>
                    </w:rPr>
                    <w:t>水溶性储罐、废污泥、废含油抹布、废机油</w:t>
                  </w:r>
                  <w:r>
                    <w:rPr>
                      <w:rFonts w:hint="default" w:ascii="Times New Roman" w:hAnsi="Times New Roman" w:cs="Times New Roman"/>
                      <w:color w:val="000000" w:themeColor="text1"/>
                      <w:szCs w:val="21"/>
                      <w:lang w:val="en-US" w:eastAsia="zh-CN"/>
                      <w14:textFill>
                        <w14:solidFill>
                          <w14:schemeClr w14:val="tx1"/>
                        </w14:solidFill>
                      </w14:textFill>
                    </w:rPr>
                    <w:t>，暂存于危废</w:t>
                  </w:r>
                  <w:r>
                    <w:rPr>
                      <w:rFonts w:hint="eastAsia" w:cs="Times New Roman"/>
                      <w:color w:val="000000" w:themeColor="text1"/>
                      <w:szCs w:val="21"/>
                      <w:lang w:val="en-US" w:eastAsia="zh-CN"/>
                      <w14:textFill>
                        <w14:solidFill>
                          <w14:schemeClr w14:val="tx1"/>
                        </w14:solidFill>
                      </w14:textFill>
                    </w:rPr>
                    <w:t>贮存库</w:t>
                  </w:r>
                  <w:r>
                    <w:rPr>
                      <w:rFonts w:hint="default" w:ascii="Times New Roman" w:hAnsi="Times New Roman" w:cs="Times New Roman"/>
                      <w:color w:val="000000" w:themeColor="text1"/>
                      <w:szCs w:val="21"/>
                      <w:lang w:val="en-US" w:eastAsia="zh-CN"/>
                      <w14:textFill>
                        <w14:solidFill>
                          <w14:schemeClr w14:val="tx1"/>
                        </w14:solidFill>
                      </w14:textFill>
                    </w:rPr>
                    <w:t>，交由有资质的单位回收</w:t>
                  </w:r>
                </w:p>
              </w:tc>
              <w:tc>
                <w:tcPr>
                  <w:tcW w:w="1556" w:type="pct"/>
                  <w:noWrap w:val="0"/>
                  <w:vAlign w:val="center"/>
                </w:tcPr>
                <w:p w14:paraId="34AA494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空油墨桶、废含油抹布、废污泥、废空胶桶、废机油、废显影液、废定影液、废活性炭、废擦机布、废清洗剂、废版</w:t>
                  </w:r>
                  <w:r>
                    <w:rPr>
                      <w:rFonts w:hint="default" w:ascii="Times New Roman" w:hAnsi="Times New Roman" w:cs="Times New Roman"/>
                      <w:color w:val="000000" w:themeColor="text1"/>
                      <w:szCs w:val="21"/>
                      <w:lang w:val="en-US" w:eastAsia="zh-CN"/>
                      <w14:textFill>
                        <w14:solidFill>
                          <w14:schemeClr w14:val="tx1"/>
                        </w14:solidFill>
                      </w14:textFill>
                    </w:rPr>
                    <w:t>等均属于危险废物，暂存于危废</w:t>
                  </w:r>
                  <w:r>
                    <w:rPr>
                      <w:rFonts w:hint="eastAsia" w:cs="Times New Roman"/>
                      <w:color w:val="000000" w:themeColor="text1"/>
                      <w:szCs w:val="21"/>
                      <w:lang w:val="en-US" w:eastAsia="zh-CN"/>
                      <w14:textFill>
                        <w14:solidFill>
                          <w14:schemeClr w14:val="tx1"/>
                        </w14:solidFill>
                      </w14:textFill>
                    </w:rPr>
                    <w:t>贮存库</w:t>
                  </w:r>
                  <w:r>
                    <w:rPr>
                      <w:rFonts w:hint="default" w:ascii="Times New Roman" w:hAnsi="Times New Roman" w:cs="Times New Roman"/>
                      <w:color w:val="000000" w:themeColor="text1"/>
                      <w:szCs w:val="21"/>
                      <w:lang w:val="en-US" w:eastAsia="zh-CN"/>
                      <w14:textFill>
                        <w14:solidFill>
                          <w14:schemeClr w14:val="tx1"/>
                        </w14:solidFill>
                      </w14:textFill>
                    </w:rPr>
                    <w:t>，交由有资质的单位回收</w:t>
                  </w:r>
                </w:p>
              </w:tc>
              <w:tc>
                <w:tcPr>
                  <w:tcW w:w="1102" w:type="pct"/>
                  <w:noWrap w:val="0"/>
                  <w:vAlign w:val="center"/>
                </w:tcPr>
                <w:p w14:paraId="2265198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危废贮存库</w:t>
                  </w:r>
                  <w:r>
                    <w:rPr>
                      <w:rFonts w:hint="default" w:ascii="Times New Roman" w:hAnsi="Times New Roman" w:cs="Times New Roman"/>
                      <w:color w:val="000000" w:themeColor="text1"/>
                      <w:kern w:val="0"/>
                      <w:szCs w:val="21"/>
                      <w:lang w:bidi="ar"/>
                      <w14:textFill>
                        <w14:solidFill>
                          <w14:schemeClr w14:val="tx1"/>
                        </w14:solidFill>
                      </w14:textFill>
                    </w:rPr>
                    <w:t>依托</w:t>
                  </w:r>
                </w:p>
              </w:tc>
            </w:tr>
            <w:bookmarkEnd w:id="5"/>
            <w:bookmarkEnd w:id="6"/>
            <w:bookmarkEnd w:id="7"/>
          </w:tbl>
          <w:p w14:paraId="0F8B37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cs="Times New Roman"/>
                <w:b/>
                <w:color w:val="000000" w:themeColor="text1"/>
                <w:sz w:val="24"/>
                <w:szCs w:val="32"/>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3</w:t>
            </w:r>
            <w:r>
              <w:rPr>
                <w:rFonts w:hint="eastAsia" w:ascii="Times New Roman" w:hAnsi="Times New Roman" w:cs="Times New Roman"/>
                <w:b/>
                <w:color w:val="000000" w:themeColor="text1"/>
                <w:sz w:val="24"/>
                <w14:textFill>
                  <w14:solidFill>
                    <w14:schemeClr w14:val="tx1"/>
                  </w14:solidFill>
                </w14:textFill>
              </w:rPr>
              <w:t>、</w:t>
            </w:r>
            <w:r>
              <w:rPr>
                <w:rFonts w:hint="default" w:ascii="Times New Roman" w:hAnsi="Times New Roman" w:cs="Times New Roman"/>
                <w:b/>
                <w:color w:val="000000" w:themeColor="text1"/>
                <w:sz w:val="24"/>
                <w:szCs w:val="32"/>
                <w14:textFill>
                  <w14:solidFill>
                    <w14:schemeClr w14:val="tx1"/>
                  </w14:solidFill>
                </w14:textFill>
              </w:rPr>
              <w:t>主要产品及产能</w:t>
            </w:r>
          </w:p>
          <w:p w14:paraId="1A2C8D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 w:val="24"/>
                <w:szCs w:val="32"/>
                <w:lang w:bidi="ar"/>
                <w14:textFill>
                  <w14:solidFill>
                    <w14:schemeClr w14:val="tx1"/>
                  </w14:solidFill>
                </w14:textFill>
              </w:rPr>
              <w:t>本</w:t>
            </w:r>
            <w:r>
              <w:rPr>
                <w:rFonts w:hint="default" w:ascii="Times New Roman" w:hAnsi="Times New Roman" w:cs="Times New Roman"/>
                <w:color w:val="000000" w:themeColor="text1"/>
                <w:kern w:val="0"/>
                <w:sz w:val="24"/>
                <w:szCs w:val="32"/>
                <w:lang w:bidi="ar"/>
                <w14:textFill>
                  <w14:solidFill>
                    <w14:schemeClr w14:val="tx1"/>
                  </w14:solidFill>
                </w14:textFill>
              </w:rPr>
              <w:t>项目主要产品及产能见表2-2</w:t>
            </w:r>
            <w:r>
              <w:rPr>
                <w:rFonts w:hint="default" w:ascii="Times New Roman" w:hAnsi="Times New Roman" w:cs="Times New Roman"/>
                <w:color w:val="000000" w:themeColor="text1"/>
                <w:sz w:val="24"/>
                <w:szCs w:val="32"/>
                <w14:textFill>
                  <w14:solidFill>
                    <w14:schemeClr w14:val="tx1"/>
                  </w14:solidFill>
                </w14:textFill>
              </w:rPr>
              <w:t>：</w:t>
            </w:r>
          </w:p>
          <w:p w14:paraId="4729C735">
            <w:pPr>
              <w:keepNext w:val="0"/>
              <w:keepLines w:val="0"/>
              <w:suppressLineNumbers w:val="0"/>
              <w:spacing w:before="0" w:beforeAutospacing="0" w:after="0" w:afterAutospacing="0" w:line="240" w:lineRule="auto"/>
              <w:ind w:left="0" w:right="0" w:firstLine="482" w:firstLineChars="200"/>
              <w:jc w:val="center"/>
              <w:rPr>
                <w:rFonts w:hint="eastAsia" w:ascii="Times New Roman" w:hAnsi="Times New Roman" w:eastAsia="宋体" w:cs="Times New Roman"/>
                <w:b/>
                <w:color w:val="000000" w:themeColor="text1"/>
                <w:sz w:val="24"/>
                <w:szCs w:val="32"/>
                <w:lang w:eastAsia="zh-CN"/>
                <w14:textFill>
                  <w14:solidFill>
                    <w14:schemeClr w14:val="tx1"/>
                  </w14:solidFill>
                </w14:textFill>
              </w:rPr>
            </w:pPr>
            <w:r>
              <w:rPr>
                <w:rFonts w:hint="default" w:ascii="Times New Roman" w:hAnsi="Times New Roman" w:cs="Times New Roman"/>
                <w:b/>
                <w:color w:val="000000" w:themeColor="text1"/>
                <w:sz w:val="24"/>
                <w:szCs w:val="32"/>
                <w14:textFill>
                  <w14:solidFill>
                    <w14:schemeClr w14:val="tx1"/>
                  </w14:solidFill>
                </w14:textFill>
              </w:rPr>
              <w:t xml:space="preserve">表2-2  </w:t>
            </w:r>
            <w:r>
              <w:rPr>
                <w:rFonts w:hint="eastAsia" w:ascii="Times New Roman" w:hAnsi="Times New Roman" w:cs="Times New Roman"/>
                <w:b/>
                <w:color w:val="000000" w:themeColor="text1"/>
                <w:sz w:val="24"/>
                <w:szCs w:val="32"/>
                <w14:textFill>
                  <w14:solidFill>
                    <w14:schemeClr w14:val="tx1"/>
                  </w14:solidFill>
                </w14:textFill>
              </w:rPr>
              <w:t>本</w:t>
            </w:r>
            <w:r>
              <w:rPr>
                <w:rFonts w:hint="default" w:ascii="Times New Roman" w:hAnsi="Times New Roman" w:cs="Times New Roman"/>
                <w:b/>
                <w:bCs/>
                <w:color w:val="000000" w:themeColor="text1"/>
                <w:kern w:val="0"/>
                <w:sz w:val="24"/>
                <w:szCs w:val="32"/>
                <w:lang w:bidi="ar"/>
                <w14:textFill>
                  <w14:solidFill>
                    <w14:schemeClr w14:val="tx1"/>
                  </w14:solidFill>
                </w14:textFill>
              </w:rPr>
              <w:t>项目</w:t>
            </w:r>
            <w:r>
              <w:rPr>
                <w:rFonts w:hint="default" w:ascii="Times New Roman" w:hAnsi="Times New Roman" w:cs="Times New Roman"/>
                <w:b/>
                <w:bCs/>
                <w:color w:val="000000" w:themeColor="text1"/>
                <w:sz w:val="24"/>
                <w:szCs w:val="32"/>
                <w14:textFill>
                  <w14:solidFill>
                    <w14:schemeClr w14:val="tx1"/>
                  </w14:solidFill>
                </w14:textFill>
              </w:rPr>
              <w:t>产品</w:t>
            </w:r>
            <w:r>
              <w:rPr>
                <w:rFonts w:hint="default" w:ascii="Times New Roman" w:hAnsi="Times New Roman" w:cs="Times New Roman"/>
                <w:b/>
                <w:color w:val="000000" w:themeColor="text1"/>
                <w:sz w:val="24"/>
                <w:szCs w:val="32"/>
                <w14:textFill>
                  <w14:solidFill>
                    <w14:schemeClr w14:val="tx1"/>
                  </w14:solidFill>
                </w14:textFill>
              </w:rPr>
              <w:t>方案一览表</w:t>
            </w:r>
            <w:r>
              <w:rPr>
                <w:rFonts w:hint="eastAsia" w:cs="Times New Roman"/>
                <w:b/>
                <w:color w:val="000000" w:themeColor="text1"/>
                <w:sz w:val="24"/>
                <w:szCs w:val="32"/>
                <w:lang w:eastAsia="zh-CN"/>
                <w14:textFill>
                  <w14:solidFill>
                    <w14:schemeClr w14:val="tx1"/>
                  </w14:solidFill>
                </w14:textFill>
              </w:rPr>
              <w:t>（</w:t>
            </w:r>
            <w:r>
              <w:rPr>
                <w:rFonts w:hint="eastAsia" w:cs="Times New Roman"/>
                <w:b/>
                <w:color w:val="000000" w:themeColor="text1"/>
                <w:sz w:val="24"/>
                <w:szCs w:val="32"/>
                <w:lang w:val="en-US" w:eastAsia="zh-CN"/>
                <w14:textFill>
                  <w14:solidFill>
                    <w14:schemeClr w14:val="tx1"/>
                  </w14:solidFill>
                </w14:textFill>
              </w:rPr>
              <w:t>t/a</w:t>
            </w:r>
            <w:r>
              <w:rPr>
                <w:rFonts w:hint="eastAsia" w:cs="Times New Roman"/>
                <w:b/>
                <w:color w:val="000000" w:themeColor="text1"/>
                <w:sz w:val="24"/>
                <w:szCs w:val="32"/>
                <w:lang w:eastAsia="zh-CN"/>
                <w14:textFill>
                  <w14:solidFill>
                    <w14:schemeClr w14:val="tx1"/>
                  </w14:solidFill>
                </w14:textFill>
              </w:rPr>
              <w:t>）</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2145"/>
              <w:gridCol w:w="2381"/>
              <w:gridCol w:w="1511"/>
              <w:gridCol w:w="1516"/>
            </w:tblGrid>
            <w:tr w14:paraId="3FE864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32F40A94">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1243" w:type="pct"/>
                  <w:noWrap w:val="0"/>
                  <w:vAlign w:val="center"/>
                </w:tcPr>
                <w:p w14:paraId="25B3633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1380" w:type="pct"/>
                  <w:noWrap w:val="0"/>
                  <w:vAlign w:val="center"/>
                </w:tcPr>
                <w:p w14:paraId="17DF47DD">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扩建前产能</w:t>
                  </w:r>
                </w:p>
              </w:tc>
              <w:tc>
                <w:tcPr>
                  <w:tcW w:w="876" w:type="pct"/>
                  <w:noWrap w:val="0"/>
                  <w:vAlign w:val="center"/>
                </w:tcPr>
                <w:p w14:paraId="41AF3F7B">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扩建后产能</w:t>
                  </w:r>
                </w:p>
              </w:tc>
              <w:tc>
                <w:tcPr>
                  <w:tcW w:w="878" w:type="pct"/>
                  <w:noWrap w:val="0"/>
                  <w:vAlign w:val="center"/>
                </w:tcPr>
                <w:p w14:paraId="1BDF8EA7">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变化量</w:t>
                  </w:r>
                </w:p>
              </w:tc>
            </w:tr>
            <w:tr w14:paraId="69441E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3057F594">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w:t>
                  </w:r>
                </w:p>
              </w:tc>
              <w:tc>
                <w:tcPr>
                  <w:tcW w:w="1243" w:type="pct"/>
                  <w:noWrap w:val="0"/>
                  <w:vAlign w:val="center"/>
                </w:tcPr>
                <w:p w14:paraId="1884D363">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cs="Times New Roman"/>
                      <w:color w:val="auto"/>
                      <w:sz w:val="21"/>
                      <w:szCs w:val="21"/>
                    </w:rPr>
                  </w:pPr>
                  <w:r>
                    <w:rPr>
                      <w:rFonts w:hint="eastAsia" w:cs="Times New Roman"/>
                      <w:color w:val="auto"/>
                      <w:sz w:val="21"/>
                      <w:szCs w:val="21"/>
                      <w:lang w:val="en-US" w:eastAsia="zh-CN"/>
                    </w:rPr>
                    <w:t>铁钉本</w:t>
                  </w:r>
                </w:p>
              </w:tc>
              <w:tc>
                <w:tcPr>
                  <w:tcW w:w="1380" w:type="pct"/>
                  <w:noWrap w:val="0"/>
                  <w:vAlign w:val="center"/>
                </w:tcPr>
                <w:p w14:paraId="6BBB3A2E">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5600</w:t>
                  </w:r>
                </w:p>
              </w:tc>
              <w:tc>
                <w:tcPr>
                  <w:tcW w:w="876" w:type="pct"/>
                  <w:noWrap w:val="0"/>
                  <w:vAlign w:val="center"/>
                </w:tcPr>
                <w:p w14:paraId="2FAA4C5F">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1500</w:t>
                  </w:r>
                </w:p>
              </w:tc>
              <w:tc>
                <w:tcPr>
                  <w:tcW w:w="878" w:type="pct"/>
                  <w:noWrap w:val="0"/>
                  <w:vAlign w:val="center"/>
                </w:tcPr>
                <w:p w14:paraId="073FB6B2">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-4100</w:t>
                  </w:r>
                </w:p>
              </w:tc>
            </w:tr>
            <w:tr w14:paraId="00782C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62A04CFA">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1243" w:type="pct"/>
                  <w:noWrap w:val="0"/>
                  <w:vAlign w:val="center"/>
                </w:tcPr>
                <w:p w14:paraId="2B0733D2">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胶装本</w:t>
                  </w:r>
                </w:p>
              </w:tc>
              <w:tc>
                <w:tcPr>
                  <w:tcW w:w="1380" w:type="pct"/>
                  <w:noWrap w:val="0"/>
                  <w:vAlign w:val="center"/>
                </w:tcPr>
                <w:p w14:paraId="6E59D13F">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876" w:type="pct"/>
                  <w:noWrap w:val="0"/>
                  <w:vAlign w:val="center"/>
                </w:tcPr>
                <w:p w14:paraId="5A4FBD68">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c>
                <w:tcPr>
                  <w:tcW w:w="878" w:type="pct"/>
                  <w:noWrap w:val="0"/>
                  <w:vAlign w:val="center"/>
                </w:tcPr>
                <w:p w14:paraId="440DF4C0">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r>
            <w:tr w14:paraId="1E2AED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3DE68845">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243" w:type="pct"/>
                  <w:noWrap w:val="0"/>
                  <w:vAlign w:val="center"/>
                </w:tcPr>
                <w:p w14:paraId="4E641AD5">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车线本</w:t>
                  </w:r>
                </w:p>
              </w:tc>
              <w:tc>
                <w:tcPr>
                  <w:tcW w:w="1380" w:type="pct"/>
                  <w:noWrap w:val="0"/>
                  <w:vAlign w:val="center"/>
                </w:tcPr>
                <w:p w14:paraId="4D780B29">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876" w:type="pct"/>
                  <w:noWrap w:val="0"/>
                  <w:vAlign w:val="center"/>
                </w:tcPr>
                <w:p w14:paraId="7278BD78">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c>
                <w:tcPr>
                  <w:tcW w:w="878" w:type="pct"/>
                  <w:noWrap w:val="0"/>
                  <w:vAlign w:val="center"/>
                </w:tcPr>
                <w:p w14:paraId="3EC2039E">
                  <w:pPr>
                    <w:keepNext w:val="0"/>
                    <w:keepLines w:val="0"/>
                    <w:suppressLineNumbers w:val="0"/>
                    <w:autoSpaceDE w:val="0"/>
                    <w:autoSpaceDN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r>
            <w:tr w14:paraId="3A77B4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5C0A8E44">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4</w:t>
                  </w:r>
                </w:p>
              </w:tc>
              <w:tc>
                <w:tcPr>
                  <w:tcW w:w="1243" w:type="pct"/>
                  <w:noWrap w:val="0"/>
                  <w:vAlign w:val="center"/>
                </w:tcPr>
                <w:p w14:paraId="0C98A901">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线环本</w:t>
                  </w:r>
                </w:p>
              </w:tc>
              <w:tc>
                <w:tcPr>
                  <w:tcW w:w="1380" w:type="pct"/>
                  <w:noWrap w:val="0"/>
                  <w:vAlign w:val="center"/>
                </w:tcPr>
                <w:p w14:paraId="31ABCA60">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876" w:type="pct"/>
                  <w:noWrap w:val="0"/>
                  <w:vAlign w:val="center"/>
                </w:tcPr>
                <w:p w14:paraId="3BCE612E">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800</w:t>
                  </w:r>
                </w:p>
              </w:tc>
              <w:tc>
                <w:tcPr>
                  <w:tcW w:w="878" w:type="pct"/>
                  <w:noWrap w:val="0"/>
                  <w:vAlign w:val="center"/>
                </w:tcPr>
                <w:p w14:paraId="57D2E77F">
                  <w:pPr>
                    <w:keepNext w:val="0"/>
                    <w:keepLines w:val="0"/>
                    <w:suppressLineNumbers w:val="0"/>
                    <w:autoSpaceDE w:val="0"/>
                    <w:autoSpaceDN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+800</w:t>
                  </w:r>
                </w:p>
              </w:tc>
            </w:tr>
            <w:tr w14:paraId="1870D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523C83D7">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w:t>
                  </w:r>
                </w:p>
              </w:tc>
              <w:tc>
                <w:tcPr>
                  <w:tcW w:w="1243" w:type="pct"/>
                  <w:noWrap w:val="0"/>
                  <w:vAlign w:val="center"/>
                </w:tcPr>
                <w:p w14:paraId="1DEF5ED5">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胶套本</w:t>
                  </w:r>
                </w:p>
              </w:tc>
              <w:tc>
                <w:tcPr>
                  <w:tcW w:w="1380" w:type="pct"/>
                  <w:noWrap w:val="0"/>
                  <w:vAlign w:val="center"/>
                </w:tcPr>
                <w:p w14:paraId="36C036B9">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876" w:type="pct"/>
                  <w:noWrap w:val="0"/>
                  <w:vAlign w:val="center"/>
                </w:tcPr>
                <w:p w14:paraId="14DFBD6A">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1200</w:t>
                  </w:r>
                </w:p>
              </w:tc>
              <w:tc>
                <w:tcPr>
                  <w:tcW w:w="878" w:type="pct"/>
                  <w:noWrap w:val="0"/>
                  <w:vAlign w:val="center"/>
                </w:tcPr>
                <w:p w14:paraId="345459AE">
                  <w:pPr>
                    <w:keepNext w:val="0"/>
                    <w:keepLines w:val="0"/>
                    <w:suppressLineNumbers w:val="0"/>
                    <w:autoSpaceDE w:val="0"/>
                    <w:autoSpaceDN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+1200</w:t>
                  </w:r>
                </w:p>
              </w:tc>
            </w:tr>
            <w:tr w14:paraId="498494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3819D39C">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1243" w:type="pct"/>
                  <w:noWrap w:val="0"/>
                  <w:vAlign w:val="center"/>
                </w:tcPr>
                <w:p w14:paraId="7BF58852">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复印纸</w:t>
                  </w:r>
                </w:p>
              </w:tc>
              <w:tc>
                <w:tcPr>
                  <w:tcW w:w="1380" w:type="pct"/>
                  <w:noWrap w:val="0"/>
                  <w:vAlign w:val="center"/>
                </w:tcPr>
                <w:p w14:paraId="54D9BA4D">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876" w:type="pct"/>
                  <w:noWrap w:val="0"/>
                  <w:vAlign w:val="center"/>
                </w:tcPr>
                <w:p w14:paraId="6E871F50">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200</w:t>
                  </w:r>
                </w:p>
              </w:tc>
              <w:tc>
                <w:tcPr>
                  <w:tcW w:w="878" w:type="pct"/>
                  <w:noWrap w:val="0"/>
                  <w:vAlign w:val="center"/>
                </w:tcPr>
                <w:p w14:paraId="6C5EB15A">
                  <w:pPr>
                    <w:keepNext w:val="0"/>
                    <w:keepLines w:val="0"/>
                    <w:suppressLineNumbers w:val="0"/>
                    <w:autoSpaceDE w:val="0"/>
                    <w:autoSpaceDN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+200</w:t>
                  </w:r>
                </w:p>
              </w:tc>
            </w:tr>
            <w:tr w14:paraId="381454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69083011">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7</w:t>
                  </w:r>
                </w:p>
              </w:tc>
              <w:tc>
                <w:tcPr>
                  <w:tcW w:w="1243" w:type="pct"/>
                  <w:noWrap w:val="0"/>
                  <w:vAlign w:val="center"/>
                </w:tcPr>
                <w:p w14:paraId="64932BA7">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封面</w:t>
                  </w:r>
                </w:p>
              </w:tc>
              <w:tc>
                <w:tcPr>
                  <w:tcW w:w="1380" w:type="pct"/>
                  <w:noWrap w:val="0"/>
                  <w:vAlign w:val="center"/>
                </w:tcPr>
                <w:p w14:paraId="7E48F7D6">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876" w:type="pct"/>
                  <w:noWrap w:val="0"/>
                  <w:vAlign w:val="center"/>
                </w:tcPr>
                <w:p w14:paraId="1380A64C">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c>
                <w:tcPr>
                  <w:tcW w:w="878" w:type="pct"/>
                  <w:noWrap w:val="0"/>
                  <w:vAlign w:val="center"/>
                </w:tcPr>
                <w:p w14:paraId="181C2513">
                  <w:pPr>
                    <w:keepNext w:val="0"/>
                    <w:keepLines w:val="0"/>
                    <w:suppressLineNumbers w:val="0"/>
                    <w:autoSpaceDE w:val="0"/>
                    <w:autoSpaceDN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+1000</w:t>
                  </w:r>
                </w:p>
              </w:tc>
            </w:tr>
            <w:tr w14:paraId="74432A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21742F1F">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8</w:t>
                  </w:r>
                </w:p>
              </w:tc>
              <w:tc>
                <w:tcPr>
                  <w:tcW w:w="1243" w:type="pct"/>
                  <w:noWrap w:val="0"/>
                  <w:vAlign w:val="center"/>
                </w:tcPr>
                <w:p w14:paraId="38232463">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教材教辅</w:t>
                  </w:r>
                </w:p>
              </w:tc>
              <w:tc>
                <w:tcPr>
                  <w:tcW w:w="1380" w:type="pct"/>
                  <w:noWrap w:val="0"/>
                  <w:vAlign w:val="center"/>
                </w:tcPr>
                <w:p w14:paraId="028FC7D6">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876" w:type="pct"/>
                  <w:noWrap w:val="0"/>
                  <w:vAlign w:val="center"/>
                </w:tcPr>
                <w:p w14:paraId="383ACA37">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3000</w:t>
                  </w:r>
                </w:p>
              </w:tc>
              <w:tc>
                <w:tcPr>
                  <w:tcW w:w="878" w:type="pct"/>
                  <w:noWrap w:val="0"/>
                  <w:vAlign w:val="center"/>
                </w:tcPr>
                <w:p w14:paraId="63DF4C35">
                  <w:pPr>
                    <w:keepNext w:val="0"/>
                    <w:keepLines w:val="0"/>
                    <w:suppressLineNumbers w:val="0"/>
                    <w:autoSpaceDE w:val="0"/>
                    <w:autoSpaceDN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+3000</w:t>
                  </w:r>
                </w:p>
              </w:tc>
            </w:tr>
            <w:tr w14:paraId="4E2C69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687CF3E9">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9</w:t>
                  </w:r>
                </w:p>
              </w:tc>
              <w:tc>
                <w:tcPr>
                  <w:tcW w:w="1243" w:type="pct"/>
                  <w:noWrap w:val="0"/>
                  <w:vAlign w:val="center"/>
                </w:tcPr>
                <w:p w14:paraId="3F490286">
                  <w:pPr>
                    <w:keepNext w:val="0"/>
                    <w:keepLines w:val="0"/>
                    <w:suppressLineNumbers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软抄本</w:t>
                  </w:r>
                </w:p>
              </w:tc>
              <w:tc>
                <w:tcPr>
                  <w:tcW w:w="1380" w:type="pct"/>
                  <w:noWrap w:val="0"/>
                  <w:vAlign w:val="center"/>
                </w:tcPr>
                <w:p w14:paraId="47A96FA1">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1900</w:t>
                  </w:r>
                </w:p>
              </w:tc>
              <w:tc>
                <w:tcPr>
                  <w:tcW w:w="876" w:type="pct"/>
                  <w:noWrap w:val="0"/>
                  <w:vAlign w:val="center"/>
                </w:tcPr>
                <w:p w14:paraId="6F4D0C47">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878" w:type="pct"/>
                  <w:noWrap w:val="0"/>
                  <w:vAlign w:val="center"/>
                </w:tcPr>
                <w:p w14:paraId="47024946">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-1900</w:t>
                  </w:r>
                </w:p>
              </w:tc>
            </w:tr>
            <w:tr w14:paraId="517A09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0" w:type="pct"/>
                  <w:noWrap w:val="0"/>
                  <w:vAlign w:val="center"/>
                </w:tcPr>
                <w:p w14:paraId="4B3B4D1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10</w:t>
                  </w:r>
                </w:p>
              </w:tc>
              <w:tc>
                <w:tcPr>
                  <w:tcW w:w="1243" w:type="pct"/>
                  <w:noWrap w:val="0"/>
                  <w:vAlign w:val="center"/>
                </w:tcPr>
                <w:p w14:paraId="3C4ADCAD">
                  <w:pPr>
                    <w:keepNext w:val="0"/>
                    <w:keepLines w:val="0"/>
                    <w:suppressLineNumbers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可平摊笔记本</w:t>
                  </w:r>
                </w:p>
              </w:tc>
              <w:tc>
                <w:tcPr>
                  <w:tcW w:w="1380" w:type="pct"/>
                  <w:noWrap w:val="0"/>
                  <w:vAlign w:val="center"/>
                </w:tcPr>
                <w:p w14:paraId="380DBAA8">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1500</w:t>
                  </w:r>
                </w:p>
              </w:tc>
              <w:tc>
                <w:tcPr>
                  <w:tcW w:w="876" w:type="pct"/>
                  <w:noWrap w:val="0"/>
                  <w:vAlign w:val="center"/>
                </w:tcPr>
                <w:p w14:paraId="0C78A12C">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878" w:type="pct"/>
                  <w:noWrap w:val="0"/>
                  <w:vAlign w:val="center"/>
                </w:tcPr>
                <w:p w14:paraId="52D32C2A">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-1500</w:t>
                  </w:r>
                </w:p>
              </w:tc>
            </w:tr>
            <w:tr w14:paraId="7D58C5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64" w:type="pct"/>
                  <w:gridSpan w:val="2"/>
                  <w:noWrap w:val="0"/>
                  <w:vAlign w:val="center"/>
                </w:tcPr>
                <w:p w14:paraId="53A6C706">
                  <w:pPr>
                    <w:keepNext w:val="0"/>
                    <w:keepLines w:val="0"/>
                    <w:suppressLineNumbers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总计</w:t>
                  </w:r>
                </w:p>
              </w:tc>
              <w:tc>
                <w:tcPr>
                  <w:tcW w:w="1380" w:type="pct"/>
                  <w:noWrap w:val="0"/>
                  <w:vAlign w:val="center"/>
                </w:tcPr>
                <w:p w14:paraId="723D054C">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9000</w:t>
                  </w:r>
                </w:p>
              </w:tc>
              <w:tc>
                <w:tcPr>
                  <w:tcW w:w="876" w:type="pct"/>
                  <w:noWrap w:val="0"/>
                  <w:vAlign w:val="center"/>
                </w:tcPr>
                <w:p w14:paraId="00F1A009">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9700</w:t>
                  </w:r>
                </w:p>
              </w:tc>
              <w:tc>
                <w:tcPr>
                  <w:tcW w:w="878" w:type="pct"/>
                  <w:noWrap w:val="0"/>
                  <w:vAlign w:val="center"/>
                </w:tcPr>
                <w:p w14:paraId="055C7FB1">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+700</w:t>
                  </w:r>
                </w:p>
              </w:tc>
            </w:tr>
          </w:tbl>
          <w:p w14:paraId="0AB698FD">
            <w:pPr>
              <w:keepNext w:val="0"/>
              <w:keepLines w:val="0"/>
              <w:suppressLineNumbers w:val="0"/>
              <w:spacing w:before="0" w:beforeAutospacing="0" w:after="0" w:afterAutospacing="0" w:line="360" w:lineRule="auto"/>
              <w:ind w:left="0" w:right="0" w:firstLine="482" w:firstLineChars="200"/>
              <w:rPr>
                <w:rFonts w:hint="default" w:ascii="宋体" w:hAnsi="宋体" w:cs="宋体"/>
                <w:bCs/>
                <w:color w:val="000000" w:themeColor="text1"/>
                <w:sz w:val="24"/>
                <w14:textFill>
                  <w14:solidFill>
                    <w14:schemeClr w14:val="tx1"/>
                  </w14:solidFill>
                </w14:textFill>
              </w:rPr>
            </w:pPr>
            <w:r>
              <w:rPr>
                <w:rFonts w:hint="eastAsia" w:cs="Times New Roman"/>
                <w:b/>
                <w:color w:val="000000" w:themeColor="text1"/>
                <w:sz w:val="24"/>
                <w:lang w:val="en-US" w:eastAsia="zh-CN"/>
                <w14:textFill>
                  <w14:solidFill>
                    <w14:schemeClr w14:val="tx1"/>
                  </w14:solidFill>
                </w14:textFill>
              </w:rPr>
              <w:t>4、</w:t>
            </w:r>
            <w:r>
              <w:rPr>
                <w:rFonts w:hint="eastAsia" w:ascii="Times New Roman" w:hAnsi="Times New Roman" w:cs="Times New Roman"/>
                <w:b/>
                <w:color w:val="000000" w:themeColor="text1"/>
                <w:sz w:val="24"/>
                <w14:textFill>
                  <w14:solidFill>
                    <w14:schemeClr w14:val="tx1"/>
                  </w14:solidFill>
                </w14:textFill>
              </w:rPr>
              <w:t>主要生产设备</w:t>
            </w:r>
          </w:p>
          <w:p w14:paraId="72DFB144">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本项目主要</w:t>
            </w:r>
            <w:r>
              <w:rPr>
                <w:rFonts w:hint="eastAsia" w:ascii="Times New Roman" w:hAnsi="Times New Roman" w:cs="Times New Roman"/>
                <w:color w:val="000000" w:themeColor="text1"/>
                <w:sz w:val="24"/>
                <w14:textFill>
                  <w14:solidFill>
                    <w14:schemeClr w14:val="tx1"/>
                  </w14:solidFill>
                </w14:textFill>
              </w:rPr>
              <w:t>生产设备</w:t>
            </w:r>
            <w:r>
              <w:rPr>
                <w:rFonts w:hint="default" w:ascii="Times New Roman" w:hAnsi="Times New Roman" w:cs="Times New Roman"/>
                <w:color w:val="000000" w:themeColor="text1"/>
                <w:sz w:val="24"/>
                <w14:textFill>
                  <w14:solidFill>
                    <w14:schemeClr w14:val="tx1"/>
                  </w14:solidFill>
                </w14:textFill>
              </w:rPr>
              <w:t>见表2-</w:t>
            </w:r>
            <w:r>
              <w:rPr>
                <w:rFonts w:hint="eastAsia"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p>
          <w:p w14:paraId="5474353D">
            <w:pPr>
              <w:keepNext w:val="0"/>
              <w:keepLines w:val="0"/>
              <w:suppressLineNumbers w:val="0"/>
              <w:spacing w:before="0" w:beforeAutospacing="0" w:after="0" w:afterAutospacing="0"/>
              <w:ind w:left="0" w:right="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eastAsia" w:ascii="Times New Roman" w:hAnsi="Times New Roman" w:cs="Times New Roman"/>
                <w:b/>
                <w:color w:val="000000" w:themeColor="text1"/>
                <w:sz w:val="24"/>
                <w14:textFill>
                  <w14:solidFill>
                    <w14:schemeClr w14:val="tx1"/>
                  </w14:solidFill>
                </w14:textFill>
              </w:rPr>
              <w:t>-</w:t>
            </w:r>
            <w:r>
              <w:rPr>
                <w:rFonts w:hint="eastAsia"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14:textFill>
                  <w14:solidFill>
                    <w14:schemeClr w14:val="tx1"/>
                  </w14:solidFill>
                </w14:textFill>
              </w:rPr>
              <w:t xml:space="preserve">  项目主要生产设备一览表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295"/>
              <w:gridCol w:w="1935"/>
              <w:gridCol w:w="750"/>
              <w:gridCol w:w="900"/>
              <w:gridCol w:w="793"/>
              <w:gridCol w:w="492"/>
              <w:gridCol w:w="765"/>
            </w:tblGrid>
            <w:tr w14:paraId="609937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1EE0C035">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序号</w:t>
                  </w:r>
                </w:p>
              </w:tc>
              <w:tc>
                <w:tcPr>
                  <w:tcW w:w="1330" w:type="pct"/>
                  <w:noWrap w:val="0"/>
                  <w:vAlign w:val="center"/>
                </w:tcPr>
                <w:p w14:paraId="1F72D125">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名称</w:t>
                  </w:r>
                </w:p>
              </w:tc>
              <w:tc>
                <w:tcPr>
                  <w:tcW w:w="1121" w:type="pct"/>
                  <w:noWrap w:val="0"/>
                  <w:vAlign w:val="center"/>
                </w:tcPr>
                <w:p w14:paraId="38FC8AD1">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型号/参数</w:t>
                  </w:r>
                </w:p>
              </w:tc>
              <w:tc>
                <w:tcPr>
                  <w:tcW w:w="434" w:type="pct"/>
                  <w:noWrap w:val="0"/>
                  <w:vAlign w:val="center"/>
                </w:tcPr>
                <w:p w14:paraId="3CB836A8">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单位</w:t>
                  </w:r>
                </w:p>
              </w:tc>
              <w:tc>
                <w:tcPr>
                  <w:tcW w:w="521" w:type="pct"/>
                  <w:noWrap w:val="0"/>
                  <w:vAlign w:val="center"/>
                </w:tcPr>
                <w:p w14:paraId="7DADC59C">
                  <w:pPr>
                    <w:keepNext w:val="0"/>
                    <w:keepLines w:val="0"/>
                    <w:suppressLineNumbers w:val="0"/>
                    <w:adjustRightInd w:val="0"/>
                    <w:snapToGrid w:val="0"/>
                    <w:spacing w:before="0" w:beforeAutospacing="0" w:after="0" w:afterAutospacing="0" w:line="240" w:lineRule="auto"/>
                    <w:ind w:left="-105" w:leftChars="-50" w:right="-105" w:rightChars="-5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现有工程数量</w:t>
                  </w:r>
                </w:p>
              </w:tc>
              <w:tc>
                <w:tcPr>
                  <w:tcW w:w="459" w:type="pct"/>
                  <w:noWrap w:val="0"/>
                  <w:vAlign w:val="center"/>
                </w:tcPr>
                <w:p w14:paraId="055BBACB">
                  <w:pPr>
                    <w:keepNext w:val="0"/>
                    <w:keepLines w:val="0"/>
                    <w:suppressLineNumbers w:val="0"/>
                    <w:adjustRightInd w:val="0"/>
                    <w:snapToGrid w:val="0"/>
                    <w:spacing w:before="0" w:beforeAutospacing="0" w:after="0" w:afterAutospacing="0" w:line="240" w:lineRule="auto"/>
                    <w:ind w:left="-105" w:leftChars="-50" w:right="-105" w:rightChars="-5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14:textFill>
                        <w14:solidFill>
                          <w14:schemeClr w14:val="tx1"/>
                        </w14:solidFill>
                      </w14:textFill>
                    </w:rPr>
                    <w:t>扩建后</w:t>
                  </w:r>
                  <w:r>
                    <w:rPr>
                      <w:rFonts w:hint="eastAsia" w:ascii="Times New Roman" w:hAnsi="Times New Roman" w:cs="Times New Roman"/>
                      <w:b/>
                      <w:color w:val="000000" w:themeColor="text1"/>
                      <w:sz w:val="21"/>
                      <w:szCs w:val="21"/>
                      <w:lang w:val="en-US" w:eastAsia="zh-CN"/>
                      <w14:textFill>
                        <w14:solidFill>
                          <w14:schemeClr w14:val="tx1"/>
                        </w14:solidFill>
                      </w14:textFill>
                    </w:rPr>
                    <w:t>数量</w:t>
                  </w:r>
                </w:p>
              </w:tc>
              <w:tc>
                <w:tcPr>
                  <w:tcW w:w="285" w:type="pct"/>
                  <w:noWrap w:val="0"/>
                  <w:vAlign w:val="center"/>
                </w:tcPr>
                <w:p w14:paraId="6280B505">
                  <w:pPr>
                    <w:keepNext w:val="0"/>
                    <w:keepLines w:val="0"/>
                    <w:suppressLineNumbers w:val="0"/>
                    <w:adjustRightInd w:val="0"/>
                    <w:snapToGrid w:val="0"/>
                    <w:spacing w:before="0" w:beforeAutospacing="0" w:after="0" w:afterAutospacing="0" w:line="240" w:lineRule="auto"/>
                    <w:ind w:left="-105" w:leftChars="-50" w:right="-105" w:rightChars="-5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cs="Times New Roman"/>
                      <w:b/>
                      <w:color w:val="000000" w:themeColor="text1"/>
                      <w:sz w:val="21"/>
                      <w:szCs w:val="21"/>
                      <w14:textFill>
                        <w14:solidFill>
                          <w14:schemeClr w14:val="tx1"/>
                        </w14:solidFill>
                      </w14:textFill>
                    </w:rPr>
                    <w:t>变化量</w:t>
                  </w:r>
                </w:p>
              </w:tc>
              <w:tc>
                <w:tcPr>
                  <w:tcW w:w="443" w:type="pct"/>
                  <w:noWrap w:val="0"/>
                  <w:vAlign w:val="center"/>
                </w:tcPr>
                <w:p w14:paraId="4CF9E68D">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放置位置</w:t>
                  </w:r>
                </w:p>
              </w:tc>
            </w:tr>
            <w:tr w14:paraId="569295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61F0958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30" w:type="pct"/>
                  <w:noWrap w:val="0"/>
                  <w:vAlign w:val="center"/>
                </w:tcPr>
                <w:p w14:paraId="41C53CCC">
                  <w:pPr>
                    <w:keepNext w:val="0"/>
                    <w:keepLines w:val="0"/>
                    <w:suppressLineNumbers w:val="0"/>
                    <w:spacing w:before="0" w:beforeAutospacing="0" w:after="0" w:afterAutospacing="0"/>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铁钉本联动线</w:t>
                  </w:r>
                </w:p>
              </w:tc>
              <w:tc>
                <w:tcPr>
                  <w:tcW w:w="1121" w:type="pct"/>
                  <w:noWrap w:val="0"/>
                  <w:vAlign w:val="center"/>
                </w:tcPr>
                <w:p w14:paraId="586F339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34" w:type="pct"/>
                  <w:noWrap w:val="0"/>
                  <w:vAlign w:val="center"/>
                </w:tcPr>
                <w:p w14:paraId="785C31A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6B65CEF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59" w:type="pct"/>
                  <w:noWrap w:val="0"/>
                  <w:vAlign w:val="center"/>
                </w:tcPr>
                <w:p w14:paraId="4471E46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285" w:type="pct"/>
                  <w:noWrap w:val="0"/>
                  <w:vAlign w:val="center"/>
                </w:tcPr>
                <w:p w14:paraId="242301C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43" w:type="pct"/>
                  <w:vMerge w:val="restart"/>
                  <w:noWrap w:val="0"/>
                  <w:vAlign w:val="center"/>
                </w:tcPr>
                <w:p w14:paraId="78F4F77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1号车间</w:t>
                  </w:r>
                </w:p>
              </w:tc>
            </w:tr>
            <w:tr w14:paraId="5E105A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376D2E0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30" w:type="pct"/>
                  <w:noWrap w:val="0"/>
                  <w:vAlign w:val="center"/>
                </w:tcPr>
                <w:p w14:paraId="01624754">
                  <w:pPr>
                    <w:keepNext w:val="0"/>
                    <w:keepLines w:val="0"/>
                    <w:suppressLineNumbers w:val="0"/>
                    <w:spacing w:before="0" w:beforeAutospacing="0" w:after="0" w:afterAutospacing="0"/>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专业作业本生产线</w:t>
                  </w:r>
                </w:p>
              </w:tc>
              <w:tc>
                <w:tcPr>
                  <w:tcW w:w="1121" w:type="pct"/>
                  <w:noWrap w:val="0"/>
                  <w:vAlign w:val="center"/>
                </w:tcPr>
                <w:p w14:paraId="2CAA8DB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34" w:type="pct"/>
                  <w:noWrap w:val="0"/>
                  <w:vAlign w:val="center"/>
                </w:tcPr>
                <w:p w14:paraId="6F15EAA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3EFC3C0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459" w:type="pct"/>
                  <w:noWrap w:val="0"/>
                  <w:vAlign w:val="center"/>
                </w:tcPr>
                <w:p w14:paraId="7E35DFE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285" w:type="pct"/>
                  <w:noWrap w:val="0"/>
                  <w:vAlign w:val="center"/>
                </w:tcPr>
                <w:p w14:paraId="367C44A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443" w:type="pct"/>
                  <w:vMerge w:val="continue"/>
                  <w:noWrap w:val="0"/>
                  <w:vAlign w:val="center"/>
                </w:tcPr>
                <w:p w14:paraId="756FD9E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146E0C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0A404B8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1330" w:type="pct"/>
                  <w:noWrap w:val="0"/>
                  <w:vAlign w:val="center"/>
                </w:tcPr>
                <w:p w14:paraId="384B420A">
                  <w:pPr>
                    <w:keepNext w:val="0"/>
                    <w:keepLines w:val="0"/>
                    <w:suppressLineNumbers w:val="0"/>
                    <w:spacing w:before="0" w:beforeAutospacing="0" w:after="0" w:afterAutospacing="0"/>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胶装本生产线</w:t>
                  </w:r>
                </w:p>
              </w:tc>
              <w:tc>
                <w:tcPr>
                  <w:tcW w:w="1121" w:type="pct"/>
                  <w:noWrap w:val="0"/>
                  <w:vAlign w:val="center"/>
                </w:tcPr>
                <w:p w14:paraId="623F7B4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34" w:type="pct"/>
                  <w:noWrap w:val="0"/>
                  <w:vAlign w:val="center"/>
                </w:tcPr>
                <w:p w14:paraId="6D573B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1963965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459" w:type="pct"/>
                  <w:noWrap w:val="0"/>
                  <w:vAlign w:val="center"/>
                </w:tcPr>
                <w:p w14:paraId="6903355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285" w:type="pct"/>
                  <w:noWrap w:val="0"/>
                  <w:vAlign w:val="center"/>
                </w:tcPr>
                <w:p w14:paraId="571AD8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w:t>
                  </w:r>
                </w:p>
              </w:tc>
              <w:tc>
                <w:tcPr>
                  <w:tcW w:w="443" w:type="pct"/>
                  <w:vMerge w:val="continue"/>
                  <w:noWrap w:val="0"/>
                  <w:vAlign w:val="center"/>
                </w:tcPr>
                <w:p w14:paraId="71AFB7B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612507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0AFA550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330" w:type="pct"/>
                  <w:noWrap w:val="0"/>
                  <w:vAlign w:val="center"/>
                </w:tcPr>
                <w:p w14:paraId="77D49F1A">
                  <w:pPr>
                    <w:keepNext w:val="0"/>
                    <w:keepLines w:val="0"/>
                    <w:suppressLineNumbers w:val="0"/>
                    <w:spacing w:before="0" w:beforeAutospacing="0" w:after="0" w:afterAutospacing="0"/>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精装生产线</w:t>
                  </w:r>
                </w:p>
              </w:tc>
              <w:tc>
                <w:tcPr>
                  <w:tcW w:w="1121" w:type="pct"/>
                  <w:noWrap w:val="0"/>
                  <w:vAlign w:val="center"/>
                </w:tcPr>
                <w:p w14:paraId="437224C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34" w:type="pct"/>
                  <w:noWrap w:val="0"/>
                  <w:vAlign w:val="center"/>
                </w:tcPr>
                <w:p w14:paraId="5FEF5A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487C333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59" w:type="pct"/>
                  <w:noWrap w:val="0"/>
                  <w:vAlign w:val="center"/>
                </w:tcPr>
                <w:p w14:paraId="5DD3652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285" w:type="pct"/>
                  <w:noWrap w:val="0"/>
                  <w:vAlign w:val="center"/>
                </w:tcPr>
                <w:p w14:paraId="2294503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43" w:type="pct"/>
                  <w:vMerge w:val="continue"/>
                  <w:noWrap w:val="0"/>
                  <w:vAlign w:val="center"/>
                </w:tcPr>
                <w:p w14:paraId="27B6A2D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0E02B4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2E6BA47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1330" w:type="pct"/>
                  <w:noWrap w:val="0"/>
                  <w:vAlign w:val="center"/>
                </w:tcPr>
                <w:p w14:paraId="5311A7C6">
                  <w:pPr>
                    <w:keepNext w:val="0"/>
                    <w:keepLines w:val="0"/>
                    <w:suppressLineNumbers w:val="0"/>
                    <w:spacing w:before="0" w:beforeAutospacing="0" w:after="0" w:afterAutospacing="0"/>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裹背条生产线</w:t>
                  </w:r>
                </w:p>
              </w:tc>
              <w:tc>
                <w:tcPr>
                  <w:tcW w:w="1121" w:type="pct"/>
                  <w:noWrap w:val="0"/>
                  <w:vAlign w:val="center"/>
                </w:tcPr>
                <w:p w14:paraId="466E361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c>
                <w:tcPr>
                  <w:tcW w:w="434" w:type="pct"/>
                  <w:noWrap w:val="0"/>
                  <w:vAlign w:val="center"/>
                </w:tcPr>
                <w:p w14:paraId="2E2E83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696AB9C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59" w:type="pct"/>
                  <w:noWrap w:val="0"/>
                  <w:vAlign w:val="center"/>
                </w:tcPr>
                <w:p w14:paraId="020502D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285" w:type="pct"/>
                  <w:noWrap w:val="0"/>
                  <w:vAlign w:val="center"/>
                </w:tcPr>
                <w:p w14:paraId="518513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43" w:type="pct"/>
                  <w:vMerge w:val="continue"/>
                  <w:noWrap w:val="0"/>
                  <w:vAlign w:val="center"/>
                </w:tcPr>
                <w:p w14:paraId="4A53072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21528A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36EBA78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330" w:type="pct"/>
                  <w:noWrap w:val="0"/>
                  <w:vAlign w:val="center"/>
                </w:tcPr>
                <w:p w14:paraId="08A7E7E1">
                  <w:pPr>
                    <w:keepNext w:val="0"/>
                    <w:keepLines w:val="0"/>
                    <w:suppressLineNumbers w:val="0"/>
                    <w:spacing w:before="0" w:beforeAutospacing="0" w:after="0" w:afterAutospacing="0"/>
                    <w:ind w:left="0" w:right="0"/>
                    <w:jc w:val="center"/>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四色印刷机</w:t>
                  </w:r>
                </w:p>
              </w:tc>
              <w:tc>
                <w:tcPr>
                  <w:tcW w:w="1121" w:type="pct"/>
                  <w:noWrap w:val="0"/>
                  <w:vAlign w:val="center"/>
                </w:tcPr>
                <w:p w14:paraId="5588E94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海德堡</w:t>
                  </w:r>
                </w:p>
              </w:tc>
              <w:tc>
                <w:tcPr>
                  <w:tcW w:w="434" w:type="pct"/>
                  <w:noWrap w:val="0"/>
                  <w:vAlign w:val="center"/>
                </w:tcPr>
                <w:p w14:paraId="53A7F5C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台</w:t>
                  </w:r>
                </w:p>
              </w:tc>
              <w:tc>
                <w:tcPr>
                  <w:tcW w:w="521" w:type="pct"/>
                  <w:noWrap w:val="0"/>
                  <w:vAlign w:val="center"/>
                </w:tcPr>
                <w:p w14:paraId="489B980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59" w:type="pct"/>
                  <w:noWrap w:val="0"/>
                  <w:vAlign w:val="center"/>
                </w:tcPr>
                <w:p w14:paraId="0B5A7107">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285" w:type="pct"/>
                  <w:noWrap w:val="0"/>
                  <w:vAlign w:val="center"/>
                </w:tcPr>
                <w:p w14:paraId="7248F23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43" w:type="pct"/>
                  <w:vMerge w:val="continue"/>
                  <w:noWrap w:val="0"/>
                  <w:vAlign w:val="center"/>
                </w:tcPr>
                <w:p w14:paraId="12D0C2B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3A616E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07724AE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w:t>
                  </w:r>
                </w:p>
              </w:tc>
              <w:tc>
                <w:tcPr>
                  <w:tcW w:w="1330" w:type="pct"/>
                  <w:noWrap w:val="0"/>
                  <w:vAlign w:val="center"/>
                </w:tcPr>
                <w:p w14:paraId="1EA44F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包背条联动线</w:t>
                  </w:r>
                </w:p>
              </w:tc>
              <w:tc>
                <w:tcPr>
                  <w:tcW w:w="1121" w:type="pct"/>
                  <w:noWrap w:val="0"/>
                  <w:vAlign w:val="center"/>
                </w:tcPr>
                <w:p w14:paraId="358B410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IDGNB-780</w:t>
                  </w:r>
                </w:p>
              </w:tc>
              <w:tc>
                <w:tcPr>
                  <w:tcW w:w="434" w:type="pct"/>
                  <w:noWrap w:val="0"/>
                  <w:vAlign w:val="center"/>
                </w:tcPr>
                <w:p w14:paraId="3ADD34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734D6DB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459" w:type="pct"/>
                  <w:noWrap w:val="0"/>
                  <w:vAlign w:val="center"/>
                </w:tcPr>
                <w:p w14:paraId="19BD331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285" w:type="pct"/>
                  <w:noWrap w:val="0"/>
                  <w:vAlign w:val="center"/>
                </w:tcPr>
                <w:p w14:paraId="5BA9773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443" w:type="pct"/>
                  <w:vMerge w:val="continue"/>
                  <w:noWrap w:val="0"/>
                  <w:vAlign w:val="center"/>
                </w:tcPr>
                <w:p w14:paraId="0EBC8D5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14A443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0020F06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330" w:type="pct"/>
                  <w:noWrap w:val="0"/>
                  <w:vAlign w:val="center"/>
                </w:tcPr>
                <w:p w14:paraId="39B169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包背条联动线</w:t>
                  </w:r>
                </w:p>
              </w:tc>
              <w:tc>
                <w:tcPr>
                  <w:tcW w:w="1121" w:type="pct"/>
                  <w:noWrap w:val="0"/>
                  <w:vAlign w:val="center"/>
                </w:tcPr>
                <w:p w14:paraId="2F7292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LYRBB-860</w:t>
                  </w:r>
                </w:p>
              </w:tc>
              <w:tc>
                <w:tcPr>
                  <w:tcW w:w="434" w:type="pct"/>
                  <w:noWrap w:val="0"/>
                  <w:vAlign w:val="center"/>
                </w:tcPr>
                <w:p w14:paraId="07255E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15FC9A7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459" w:type="pct"/>
                  <w:noWrap w:val="0"/>
                  <w:vAlign w:val="center"/>
                </w:tcPr>
                <w:p w14:paraId="62D4D5A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w:t>
                  </w:r>
                </w:p>
              </w:tc>
              <w:tc>
                <w:tcPr>
                  <w:tcW w:w="285" w:type="pct"/>
                  <w:noWrap w:val="0"/>
                  <w:vAlign w:val="center"/>
                </w:tcPr>
                <w:p w14:paraId="6E139E7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-1</w:t>
                  </w:r>
                </w:p>
              </w:tc>
              <w:tc>
                <w:tcPr>
                  <w:tcW w:w="443" w:type="pct"/>
                  <w:vMerge w:val="continue"/>
                  <w:noWrap w:val="0"/>
                  <w:vAlign w:val="center"/>
                </w:tcPr>
                <w:p w14:paraId="25D7496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5DFA49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7CBD1F5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w:t>
                  </w:r>
                </w:p>
              </w:tc>
              <w:tc>
                <w:tcPr>
                  <w:tcW w:w="1330" w:type="pct"/>
                  <w:noWrap w:val="0"/>
                  <w:vAlign w:val="center"/>
                </w:tcPr>
                <w:p w14:paraId="49BDF3F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铁订</w:t>
                  </w:r>
                  <w:r>
                    <w:rPr>
                      <w:rFonts w:hint="eastAsia" w:cs="Times New Roman"/>
                      <w:color w:val="auto"/>
                      <w:sz w:val="21"/>
                      <w:szCs w:val="21"/>
                      <w:lang w:val="en-US" w:eastAsia="zh-CN"/>
                    </w:rPr>
                    <w:t>本</w:t>
                  </w:r>
                  <w:r>
                    <w:rPr>
                      <w:rFonts w:hint="default" w:ascii="Times New Roman" w:hAnsi="Times New Roman" w:eastAsia="宋体" w:cs="Times New Roman"/>
                      <w:color w:val="auto"/>
                      <w:sz w:val="21"/>
                      <w:szCs w:val="21"/>
                    </w:rPr>
                    <w:t>联动线</w:t>
                  </w:r>
                  <w:r>
                    <w:rPr>
                      <w:rFonts w:hint="default" w:ascii="Times New Roman" w:hAnsi="Times New Roman" w:eastAsia="宋体" w:cs="Times New Roman"/>
                      <w:color w:val="auto"/>
                      <w:sz w:val="21"/>
                      <w:szCs w:val="21"/>
                      <w:lang w:val="en-US" w:eastAsia="zh-CN"/>
                    </w:rPr>
                    <w:t xml:space="preserve"> </w:t>
                  </w:r>
                </w:p>
              </w:tc>
              <w:tc>
                <w:tcPr>
                  <w:tcW w:w="1121" w:type="pct"/>
                  <w:noWrap w:val="0"/>
                  <w:vAlign w:val="center"/>
                </w:tcPr>
                <w:p w14:paraId="16D4A03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pacing w:val="6"/>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LYRDT-930B</w:t>
                  </w:r>
                </w:p>
              </w:tc>
              <w:tc>
                <w:tcPr>
                  <w:tcW w:w="434" w:type="pct"/>
                  <w:noWrap w:val="0"/>
                  <w:vAlign w:val="center"/>
                </w:tcPr>
                <w:p w14:paraId="23868F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52871C5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095F8D2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285" w:type="pct"/>
                  <w:noWrap w:val="0"/>
                  <w:vAlign w:val="center"/>
                </w:tcPr>
                <w:p w14:paraId="3D8980D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43" w:type="pct"/>
                  <w:vMerge w:val="continue"/>
                  <w:noWrap w:val="0"/>
                  <w:vAlign w:val="center"/>
                </w:tcPr>
                <w:p w14:paraId="162F2E2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07D666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2B24A17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11</w:t>
                  </w:r>
                </w:p>
              </w:tc>
              <w:tc>
                <w:tcPr>
                  <w:tcW w:w="1330" w:type="pct"/>
                  <w:noWrap w:val="0"/>
                  <w:vAlign w:val="center"/>
                </w:tcPr>
                <w:p w14:paraId="66083F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sz w:val="21"/>
                      <w:szCs w:val="21"/>
                      <w:lang w:val="en-US" w:eastAsia="zh-CN"/>
                    </w:rPr>
                    <w:t>铁订</w:t>
                  </w:r>
                  <w:r>
                    <w:rPr>
                      <w:rFonts w:hint="eastAsia" w:cs="Times New Roman"/>
                      <w:color w:val="auto"/>
                      <w:sz w:val="21"/>
                      <w:szCs w:val="21"/>
                      <w:lang w:val="en-US" w:eastAsia="zh-CN"/>
                    </w:rPr>
                    <w:t>本</w:t>
                  </w:r>
                  <w:r>
                    <w:rPr>
                      <w:rFonts w:hint="default" w:ascii="Times New Roman" w:hAnsi="Times New Roman" w:eastAsia="宋体" w:cs="Times New Roman"/>
                      <w:color w:val="auto"/>
                      <w:sz w:val="21"/>
                      <w:szCs w:val="21"/>
                    </w:rPr>
                    <w:t>联动线</w:t>
                  </w:r>
                </w:p>
              </w:tc>
              <w:tc>
                <w:tcPr>
                  <w:tcW w:w="1121" w:type="pct"/>
                  <w:noWrap w:val="0"/>
                  <w:vAlign w:val="center"/>
                </w:tcPr>
                <w:p w14:paraId="5BBE6D1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P15-90/232E</w:t>
                  </w:r>
                </w:p>
              </w:tc>
              <w:tc>
                <w:tcPr>
                  <w:tcW w:w="434" w:type="pct"/>
                  <w:noWrap w:val="0"/>
                  <w:vAlign w:val="center"/>
                </w:tcPr>
                <w:p w14:paraId="32F311A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001E7F3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4231E37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5BC431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29764B0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3E2B87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2628ACA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1330" w:type="pct"/>
                  <w:noWrap w:val="0"/>
                  <w:vAlign w:val="center"/>
                </w:tcPr>
                <w:p w14:paraId="77CA07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sz w:val="21"/>
                      <w:szCs w:val="21"/>
                      <w:lang w:val="en-US" w:eastAsia="zh-CN"/>
                    </w:rPr>
                    <w:t>铁订</w:t>
                  </w:r>
                  <w:r>
                    <w:rPr>
                      <w:rFonts w:hint="eastAsia" w:cs="Times New Roman"/>
                      <w:color w:val="auto"/>
                      <w:sz w:val="21"/>
                      <w:szCs w:val="21"/>
                      <w:lang w:val="en-US" w:eastAsia="zh-CN"/>
                    </w:rPr>
                    <w:t>本</w:t>
                  </w:r>
                  <w:r>
                    <w:rPr>
                      <w:rFonts w:hint="default" w:ascii="Times New Roman" w:hAnsi="Times New Roman" w:eastAsia="宋体" w:cs="Times New Roman"/>
                      <w:color w:val="auto"/>
                      <w:sz w:val="21"/>
                      <w:szCs w:val="21"/>
                    </w:rPr>
                    <w:t>联动线</w:t>
                  </w:r>
                </w:p>
              </w:tc>
              <w:tc>
                <w:tcPr>
                  <w:tcW w:w="1121" w:type="pct"/>
                  <w:noWrap w:val="0"/>
                  <w:vAlign w:val="center"/>
                </w:tcPr>
                <w:p w14:paraId="0096F8A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HL-1020</w:t>
                  </w:r>
                </w:p>
              </w:tc>
              <w:tc>
                <w:tcPr>
                  <w:tcW w:w="434" w:type="pct"/>
                  <w:noWrap w:val="0"/>
                  <w:vAlign w:val="center"/>
                </w:tcPr>
                <w:p w14:paraId="23FE08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22B0ED7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2472325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1EEEFB7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5E8B989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076202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5F1C9D9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13</w:t>
                  </w:r>
                </w:p>
              </w:tc>
              <w:tc>
                <w:tcPr>
                  <w:tcW w:w="1330" w:type="pct"/>
                  <w:noWrap w:val="0"/>
                  <w:vAlign w:val="center"/>
                </w:tcPr>
                <w:p w14:paraId="7680310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bidi="ar"/>
                    </w:rPr>
                  </w:pPr>
                  <w:r>
                    <w:rPr>
                      <w:rFonts w:hint="default" w:ascii="Times New Roman" w:hAnsi="Times New Roman" w:eastAsia="宋体" w:cs="Times New Roman"/>
                      <w:color w:val="auto"/>
                      <w:sz w:val="21"/>
                      <w:szCs w:val="21"/>
                    </w:rPr>
                    <w:t>车线</w:t>
                  </w:r>
                  <w:r>
                    <w:rPr>
                      <w:rFonts w:hint="eastAsia" w:cs="Times New Roman"/>
                      <w:color w:val="auto"/>
                      <w:sz w:val="21"/>
                      <w:szCs w:val="21"/>
                      <w:lang w:val="en-US" w:eastAsia="zh-CN"/>
                    </w:rPr>
                    <w:t>本生产线</w:t>
                  </w:r>
                </w:p>
              </w:tc>
              <w:tc>
                <w:tcPr>
                  <w:tcW w:w="1121" w:type="pct"/>
                  <w:noWrap w:val="0"/>
                  <w:vAlign w:val="center"/>
                </w:tcPr>
                <w:p w14:paraId="3FBEC4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FX-1050</w:t>
                  </w:r>
                </w:p>
              </w:tc>
              <w:tc>
                <w:tcPr>
                  <w:tcW w:w="434" w:type="pct"/>
                  <w:noWrap w:val="0"/>
                  <w:vAlign w:val="center"/>
                </w:tcPr>
                <w:p w14:paraId="786FADF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1AABF51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1485511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207FD5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51E1C46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7F6CA3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2A0B3E7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14</w:t>
                  </w:r>
                </w:p>
              </w:tc>
              <w:tc>
                <w:tcPr>
                  <w:tcW w:w="1330" w:type="pct"/>
                  <w:noWrap w:val="0"/>
                  <w:vAlign w:val="center"/>
                </w:tcPr>
                <w:p w14:paraId="37727C0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pacing w:val="6"/>
                      <w:sz w:val="21"/>
                      <w:szCs w:val="21"/>
                    </w:rPr>
                  </w:pPr>
                  <w:r>
                    <w:rPr>
                      <w:rFonts w:hint="default" w:ascii="Times New Roman" w:hAnsi="Times New Roman" w:eastAsia="宋体" w:cs="Times New Roman"/>
                      <w:color w:val="auto"/>
                      <w:sz w:val="21"/>
                      <w:szCs w:val="21"/>
                    </w:rPr>
                    <w:t>柔版机</w:t>
                  </w:r>
                </w:p>
              </w:tc>
              <w:tc>
                <w:tcPr>
                  <w:tcW w:w="1121" w:type="pct"/>
                  <w:noWrap w:val="0"/>
                  <w:vAlign w:val="center"/>
                </w:tcPr>
                <w:p w14:paraId="7A75A7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HL-1020</w:t>
                  </w:r>
                </w:p>
              </w:tc>
              <w:tc>
                <w:tcPr>
                  <w:tcW w:w="434" w:type="pct"/>
                  <w:noWrap w:val="0"/>
                  <w:vAlign w:val="center"/>
                </w:tcPr>
                <w:p w14:paraId="0BB5DE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61CC6CF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26ECC9D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08D1DE9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7F693C7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578BC1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2BC1CAC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15</w:t>
                  </w:r>
                </w:p>
              </w:tc>
              <w:tc>
                <w:tcPr>
                  <w:tcW w:w="1330" w:type="pct"/>
                  <w:noWrap w:val="0"/>
                  <w:vAlign w:val="center"/>
                </w:tcPr>
                <w:p w14:paraId="148B249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pacing w:val="6"/>
                      <w:sz w:val="21"/>
                      <w:szCs w:val="21"/>
                      <w:highlight w:val="gree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收缩</w:t>
                  </w:r>
                  <w:r>
                    <w:rPr>
                      <w:rFonts w:hint="default" w:ascii="Times New Roman" w:hAnsi="Times New Roman" w:eastAsia="宋体" w:cs="Times New Roman"/>
                      <w:color w:val="000000" w:themeColor="text1"/>
                      <w:sz w:val="21"/>
                      <w:szCs w:val="21"/>
                      <w:highlight w:val="none"/>
                      <w14:textFill>
                        <w14:solidFill>
                          <w14:schemeClr w14:val="tx1"/>
                        </w14:solidFill>
                      </w14:textFill>
                    </w:rPr>
                    <w:t>机</w:t>
                  </w:r>
                </w:p>
              </w:tc>
              <w:tc>
                <w:tcPr>
                  <w:tcW w:w="1121" w:type="pct"/>
                  <w:noWrap w:val="0"/>
                  <w:vAlign w:val="center"/>
                </w:tcPr>
                <w:p w14:paraId="4DFBAC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T-400</w:t>
                  </w:r>
                </w:p>
              </w:tc>
              <w:tc>
                <w:tcPr>
                  <w:tcW w:w="434" w:type="pct"/>
                  <w:noWrap w:val="0"/>
                  <w:vAlign w:val="center"/>
                </w:tcPr>
                <w:p w14:paraId="4C34ED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15D3218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0458BDA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285" w:type="pct"/>
                  <w:noWrap w:val="0"/>
                  <w:vAlign w:val="center"/>
                </w:tcPr>
                <w:p w14:paraId="57EF5F7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43" w:type="pct"/>
                  <w:vMerge w:val="continue"/>
                  <w:noWrap w:val="0"/>
                  <w:vAlign w:val="center"/>
                </w:tcPr>
                <w:p w14:paraId="1254E96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51F10D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5246B3C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17</w:t>
                  </w:r>
                </w:p>
              </w:tc>
              <w:tc>
                <w:tcPr>
                  <w:tcW w:w="1330" w:type="pct"/>
                  <w:noWrap w:val="0"/>
                  <w:vAlign w:val="center"/>
                </w:tcPr>
                <w:p w14:paraId="555CCC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pacing w:val="6"/>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直线刀</w:t>
                  </w:r>
                </w:p>
              </w:tc>
              <w:tc>
                <w:tcPr>
                  <w:tcW w:w="1121" w:type="pct"/>
                  <w:noWrap w:val="0"/>
                  <w:vAlign w:val="center"/>
                </w:tcPr>
                <w:p w14:paraId="7168E0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QZYK1370L5</w:t>
                  </w:r>
                </w:p>
              </w:tc>
              <w:tc>
                <w:tcPr>
                  <w:tcW w:w="434" w:type="pct"/>
                  <w:noWrap w:val="0"/>
                  <w:vAlign w:val="center"/>
                </w:tcPr>
                <w:p w14:paraId="12DBBDC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4F875C7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1617776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285" w:type="pct"/>
                  <w:noWrap w:val="0"/>
                  <w:vAlign w:val="center"/>
                </w:tcPr>
                <w:p w14:paraId="242A804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43" w:type="pct"/>
                  <w:vMerge w:val="continue"/>
                  <w:noWrap w:val="0"/>
                  <w:vAlign w:val="center"/>
                </w:tcPr>
                <w:p w14:paraId="6BDE5A8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150E26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40582F8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18</w:t>
                  </w:r>
                </w:p>
              </w:tc>
              <w:tc>
                <w:tcPr>
                  <w:tcW w:w="1330" w:type="pct"/>
                  <w:noWrap w:val="0"/>
                  <w:vAlign w:val="center"/>
                </w:tcPr>
                <w:p w14:paraId="19F3D4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pacing w:val="6"/>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直线刀</w:t>
                  </w:r>
                </w:p>
              </w:tc>
              <w:tc>
                <w:tcPr>
                  <w:tcW w:w="1121" w:type="pct"/>
                  <w:noWrap w:val="0"/>
                  <w:vAlign w:val="center"/>
                </w:tcPr>
                <w:p w14:paraId="5FA23A8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137PF</w:t>
                  </w:r>
                </w:p>
              </w:tc>
              <w:tc>
                <w:tcPr>
                  <w:tcW w:w="434" w:type="pct"/>
                  <w:noWrap w:val="0"/>
                  <w:vAlign w:val="center"/>
                </w:tcPr>
                <w:p w14:paraId="368E8B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3F9A2A3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374AB70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2CF5172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6E4D14E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245843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4D6395B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1330" w:type="pct"/>
                  <w:noWrap w:val="0"/>
                  <w:vAlign w:val="center"/>
                </w:tcPr>
                <w:p w14:paraId="7EEF65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裁切机</w:t>
                  </w:r>
                </w:p>
              </w:tc>
              <w:tc>
                <w:tcPr>
                  <w:tcW w:w="1121" w:type="pct"/>
                  <w:noWrap w:val="0"/>
                  <w:vAlign w:val="center"/>
                </w:tcPr>
                <w:p w14:paraId="1DA99C1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HL-1120</w:t>
                  </w:r>
                </w:p>
              </w:tc>
              <w:tc>
                <w:tcPr>
                  <w:tcW w:w="434" w:type="pct"/>
                  <w:noWrap w:val="0"/>
                  <w:vAlign w:val="center"/>
                </w:tcPr>
                <w:p w14:paraId="062B80C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4DD8F7F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6178918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09A5FCF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24B9656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0B198D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2" w:type="pct"/>
                  <w:noWrap w:val="0"/>
                  <w:vAlign w:val="center"/>
                </w:tcPr>
                <w:p w14:paraId="26609BE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21</w:t>
                  </w:r>
                </w:p>
              </w:tc>
              <w:tc>
                <w:tcPr>
                  <w:tcW w:w="1330" w:type="pct"/>
                  <w:noWrap w:val="0"/>
                  <w:vAlign w:val="center"/>
                </w:tcPr>
                <w:p w14:paraId="06403B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裁切机</w:t>
                  </w:r>
                </w:p>
              </w:tc>
              <w:tc>
                <w:tcPr>
                  <w:tcW w:w="1121" w:type="pct"/>
                  <w:noWrap w:val="0"/>
                  <w:vAlign w:val="center"/>
                </w:tcPr>
                <w:p w14:paraId="50B9D6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LK-1120</w:t>
                  </w:r>
                </w:p>
              </w:tc>
              <w:tc>
                <w:tcPr>
                  <w:tcW w:w="434" w:type="pct"/>
                  <w:noWrap w:val="0"/>
                  <w:vAlign w:val="center"/>
                </w:tcPr>
                <w:p w14:paraId="5ADC37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5A0FE0D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1EFEB47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5CDF01D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05F4E4F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786C49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3B31C45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22</w:t>
                  </w:r>
                </w:p>
              </w:tc>
              <w:tc>
                <w:tcPr>
                  <w:tcW w:w="1330" w:type="pct"/>
                  <w:noWrap w:val="0"/>
                  <w:vAlign w:val="center"/>
                </w:tcPr>
                <w:p w14:paraId="3361C86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内芯机</w:t>
                  </w:r>
                </w:p>
              </w:tc>
              <w:tc>
                <w:tcPr>
                  <w:tcW w:w="1121" w:type="pct"/>
                  <w:noWrap w:val="0"/>
                  <w:vAlign w:val="center"/>
                </w:tcPr>
                <w:p w14:paraId="441823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LK-1120</w:t>
                  </w:r>
                </w:p>
              </w:tc>
              <w:tc>
                <w:tcPr>
                  <w:tcW w:w="434" w:type="pct"/>
                  <w:noWrap w:val="0"/>
                  <w:vAlign w:val="center"/>
                </w:tcPr>
                <w:p w14:paraId="753AF9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6221DA4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6E52076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2035F60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5D46090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443E74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1448A70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23</w:t>
                  </w:r>
                </w:p>
              </w:tc>
              <w:tc>
                <w:tcPr>
                  <w:tcW w:w="1330" w:type="pct"/>
                  <w:noWrap w:val="0"/>
                  <w:vAlign w:val="center"/>
                </w:tcPr>
                <w:p w14:paraId="2E5A91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NB</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联动线</w:t>
                  </w:r>
                </w:p>
              </w:tc>
              <w:tc>
                <w:tcPr>
                  <w:tcW w:w="1121" w:type="pct"/>
                  <w:noWrap w:val="0"/>
                  <w:vAlign w:val="center"/>
                </w:tcPr>
                <w:p w14:paraId="3F7C7F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LYRBB-860型</w:t>
                  </w:r>
                </w:p>
              </w:tc>
              <w:tc>
                <w:tcPr>
                  <w:tcW w:w="434" w:type="pct"/>
                  <w:noWrap w:val="0"/>
                  <w:vAlign w:val="center"/>
                </w:tcPr>
                <w:p w14:paraId="3017A21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733EEF7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63FD425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285" w:type="pct"/>
                  <w:noWrap w:val="0"/>
                  <w:vAlign w:val="center"/>
                </w:tcPr>
                <w:p w14:paraId="2B4B762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443" w:type="pct"/>
                  <w:vMerge w:val="continue"/>
                  <w:noWrap w:val="0"/>
                  <w:vAlign w:val="center"/>
                </w:tcPr>
                <w:p w14:paraId="2DC8C7D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732953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79FE83F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24</w:t>
                  </w:r>
                </w:p>
              </w:tc>
              <w:tc>
                <w:tcPr>
                  <w:tcW w:w="1330" w:type="pct"/>
                  <w:noWrap w:val="0"/>
                  <w:vAlign w:val="center"/>
                </w:tcPr>
                <w:p w14:paraId="0777E8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NB</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联动线</w:t>
                  </w:r>
                </w:p>
              </w:tc>
              <w:tc>
                <w:tcPr>
                  <w:tcW w:w="1121" w:type="pct"/>
                  <w:noWrap w:val="0"/>
                  <w:vAlign w:val="center"/>
                </w:tcPr>
                <w:p w14:paraId="15D919F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GNB-760型</w:t>
                  </w:r>
                </w:p>
              </w:tc>
              <w:tc>
                <w:tcPr>
                  <w:tcW w:w="434" w:type="pct"/>
                  <w:noWrap w:val="0"/>
                  <w:vAlign w:val="center"/>
                </w:tcPr>
                <w:p w14:paraId="48E7B8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35C6202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25742F5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6F02503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0929D72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0F372E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788302C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27</w:t>
                  </w:r>
                </w:p>
              </w:tc>
              <w:tc>
                <w:tcPr>
                  <w:tcW w:w="1330" w:type="pct"/>
                  <w:noWrap w:val="0"/>
                  <w:vAlign w:val="center"/>
                </w:tcPr>
                <w:p w14:paraId="4791AED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内芯机</w:t>
                  </w:r>
                </w:p>
              </w:tc>
              <w:tc>
                <w:tcPr>
                  <w:tcW w:w="1121" w:type="pct"/>
                  <w:noWrap w:val="0"/>
                  <w:vAlign w:val="center"/>
                </w:tcPr>
                <w:p w14:paraId="6F7277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HL-1120</w:t>
                  </w:r>
                </w:p>
              </w:tc>
              <w:tc>
                <w:tcPr>
                  <w:tcW w:w="434" w:type="pct"/>
                  <w:noWrap w:val="0"/>
                  <w:vAlign w:val="center"/>
                </w:tcPr>
                <w:p w14:paraId="6F8A4E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45EAAB6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25AFD32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5D5A1E4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29957AF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39F295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145C0FB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28</w:t>
                  </w:r>
                </w:p>
              </w:tc>
              <w:tc>
                <w:tcPr>
                  <w:tcW w:w="1330" w:type="pct"/>
                  <w:noWrap w:val="0"/>
                  <w:vAlign w:val="center"/>
                </w:tcPr>
                <w:p w14:paraId="78DFD2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包本机</w:t>
                  </w:r>
                </w:p>
              </w:tc>
              <w:tc>
                <w:tcPr>
                  <w:tcW w:w="1121" w:type="pct"/>
                  <w:noWrap w:val="0"/>
                  <w:vAlign w:val="center"/>
                </w:tcPr>
                <w:p w14:paraId="2B4D7A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TBT50/4G</w:t>
                  </w:r>
                </w:p>
              </w:tc>
              <w:tc>
                <w:tcPr>
                  <w:tcW w:w="434" w:type="pct"/>
                  <w:noWrap w:val="0"/>
                  <w:vAlign w:val="center"/>
                </w:tcPr>
                <w:p w14:paraId="312159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6550BE3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7F0E0F3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285" w:type="pct"/>
                  <w:noWrap w:val="0"/>
                  <w:vAlign w:val="center"/>
                </w:tcPr>
                <w:p w14:paraId="0A97413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w:t>
                  </w:r>
                </w:p>
              </w:tc>
              <w:tc>
                <w:tcPr>
                  <w:tcW w:w="443" w:type="pct"/>
                  <w:vMerge w:val="continue"/>
                  <w:noWrap w:val="0"/>
                  <w:vAlign w:val="center"/>
                </w:tcPr>
                <w:p w14:paraId="62CE98D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5759E3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37F7955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1330" w:type="pct"/>
                  <w:noWrap w:val="0"/>
                  <w:vAlign w:val="center"/>
                </w:tcPr>
                <w:p w14:paraId="060924D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包本机</w:t>
                  </w:r>
                </w:p>
              </w:tc>
              <w:tc>
                <w:tcPr>
                  <w:tcW w:w="1121" w:type="pct"/>
                  <w:noWrap w:val="0"/>
                  <w:vAlign w:val="center"/>
                </w:tcPr>
                <w:p w14:paraId="089EC5F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YJB50/880</w:t>
                  </w:r>
                </w:p>
              </w:tc>
              <w:tc>
                <w:tcPr>
                  <w:tcW w:w="434" w:type="pct"/>
                  <w:noWrap w:val="0"/>
                  <w:vAlign w:val="center"/>
                </w:tcPr>
                <w:p w14:paraId="4A5FA3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6E502CF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476F763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723EFBB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13DEB81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016C76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05DD0DA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31</w:t>
                  </w:r>
                </w:p>
              </w:tc>
              <w:tc>
                <w:tcPr>
                  <w:tcW w:w="1330" w:type="pct"/>
                  <w:noWrap w:val="0"/>
                  <w:vAlign w:val="center"/>
                </w:tcPr>
                <w:p w14:paraId="46AD64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复印纸机</w:t>
                  </w:r>
                </w:p>
              </w:tc>
              <w:tc>
                <w:tcPr>
                  <w:tcW w:w="1121" w:type="pct"/>
                  <w:noWrap w:val="0"/>
                  <w:vAlign w:val="center"/>
                </w:tcPr>
                <w:p w14:paraId="5A25BE6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CHM-A4-5/CHM-A4B-30</w:t>
                  </w:r>
                </w:p>
              </w:tc>
              <w:tc>
                <w:tcPr>
                  <w:tcW w:w="434" w:type="pct"/>
                  <w:noWrap w:val="0"/>
                  <w:vAlign w:val="center"/>
                </w:tcPr>
                <w:p w14:paraId="32CFECA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53D27BB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6892818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60137B5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2AE064D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43D93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1094A4D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32</w:t>
                  </w:r>
                </w:p>
              </w:tc>
              <w:tc>
                <w:tcPr>
                  <w:tcW w:w="1330" w:type="pct"/>
                  <w:noWrap w:val="0"/>
                  <w:vAlign w:val="center"/>
                </w:tcPr>
                <w:p w14:paraId="2B78E49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锁线机</w:t>
                  </w:r>
                </w:p>
              </w:tc>
              <w:tc>
                <w:tcPr>
                  <w:tcW w:w="1121" w:type="pct"/>
                  <w:noWrap w:val="0"/>
                  <w:vAlign w:val="center"/>
                </w:tcPr>
                <w:p w14:paraId="23CC965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ASTER 180/51</w:t>
                  </w:r>
                </w:p>
              </w:tc>
              <w:tc>
                <w:tcPr>
                  <w:tcW w:w="434" w:type="pct"/>
                  <w:noWrap w:val="0"/>
                  <w:vAlign w:val="center"/>
                </w:tcPr>
                <w:p w14:paraId="026BF41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65CBD82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51D781C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24F0BF7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123A368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71EC7A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501FAAD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33</w:t>
                  </w:r>
                </w:p>
              </w:tc>
              <w:tc>
                <w:tcPr>
                  <w:tcW w:w="1330" w:type="pct"/>
                  <w:noWrap w:val="0"/>
                  <w:vAlign w:val="center"/>
                </w:tcPr>
                <w:p w14:paraId="0888AB3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折页机</w:t>
                  </w:r>
                </w:p>
              </w:tc>
              <w:tc>
                <w:tcPr>
                  <w:tcW w:w="1121" w:type="pct"/>
                  <w:noWrap w:val="0"/>
                  <w:vAlign w:val="center"/>
                </w:tcPr>
                <w:p w14:paraId="0AEBB66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45242/92-190003</w:t>
                  </w:r>
                </w:p>
              </w:tc>
              <w:tc>
                <w:tcPr>
                  <w:tcW w:w="434" w:type="pct"/>
                  <w:noWrap w:val="0"/>
                  <w:vAlign w:val="center"/>
                </w:tcPr>
                <w:p w14:paraId="1260E8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7E76F97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0216F51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6DC511F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66AAE17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61F21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4BFCD62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34</w:t>
                  </w:r>
                </w:p>
              </w:tc>
              <w:tc>
                <w:tcPr>
                  <w:tcW w:w="1330" w:type="pct"/>
                  <w:noWrap w:val="0"/>
                  <w:vAlign w:val="center"/>
                </w:tcPr>
                <w:p w14:paraId="0A12B7B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折页机</w:t>
                  </w:r>
                </w:p>
              </w:tc>
              <w:tc>
                <w:tcPr>
                  <w:tcW w:w="1121" w:type="pct"/>
                  <w:noWrap w:val="0"/>
                  <w:vAlign w:val="center"/>
                </w:tcPr>
                <w:p w14:paraId="136C94D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ZYH670-ZJZH</w:t>
                  </w:r>
                </w:p>
              </w:tc>
              <w:tc>
                <w:tcPr>
                  <w:tcW w:w="434" w:type="pct"/>
                  <w:noWrap w:val="0"/>
                  <w:vAlign w:val="center"/>
                </w:tcPr>
                <w:p w14:paraId="27EE321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65578ED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15940BF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6E63DEC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7B7A32D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14CE8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398B605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35</w:t>
                  </w:r>
                </w:p>
              </w:tc>
              <w:tc>
                <w:tcPr>
                  <w:tcW w:w="1330" w:type="pct"/>
                  <w:noWrap w:val="0"/>
                  <w:vAlign w:val="center"/>
                </w:tcPr>
                <w:p w14:paraId="2DEB2C7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合本机</w:t>
                  </w:r>
                </w:p>
              </w:tc>
              <w:tc>
                <w:tcPr>
                  <w:tcW w:w="1121" w:type="pct"/>
                  <w:noWrap w:val="0"/>
                  <w:vAlign w:val="center"/>
                </w:tcPr>
                <w:p w14:paraId="57386EA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AUSOP NY480</w:t>
                  </w:r>
                </w:p>
              </w:tc>
              <w:tc>
                <w:tcPr>
                  <w:tcW w:w="434" w:type="pct"/>
                  <w:noWrap w:val="0"/>
                  <w:vAlign w:val="center"/>
                </w:tcPr>
                <w:p w14:paraId="3978B4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台</w:t>
                  </w:r>
                </w:p>
              </w:tc>
              <w:tc>
                <w:tcPr>
                  <w:tcW w:w="521" w:type="pct"/>
                  <w:noWrap w:val="0"/>
                  <w:vAlign w:val="center"/>
                </w:tcPr>
                <w:p w14:paraId="4F00E71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3E1AA90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85" w:type="pct"/>
                  <w:noWrap w:val="0"/>
                  <w:vAlign w:val="center"/>
                </w:tcPr>
                <w:p w14:paraId="4D38D27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42A1F4A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7FCBED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3464402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36</w:t>
                  </w:r>
                </w:p>
              </w:tc>
              <w:tc>
                <w:tcPr>
                  <w:tcW w:w="1330" w:type="pct"/>
                  <w:noWrap w:val="0"/>
                  <w:vAlign w:val="center"/>
                </w:tcPr>
                <w:p w14:paraId="050002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印刷机</w:t>
                  </w:r>
                </w:p>
              </w:tc>
              <w:tc>
                <w:tcPr>
                  <w:tcW w:w="1121" w:type="pct"/>
                  <w:noWrap w:val="0"/>
                  <w:vAlign w:val="center"/>
                </w:tcPr>
                <w:p w14:paraId="0AF577E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海德堡SM4+1</w:t>
                  </w:r>
                </w:p>
              </w:tc>
              <w:tc>
                <w:tcPr>
                  <w:tcW w:w="434" w:type="pct"/>
                  <w:noWrap w:val="0"/>
                  <w:vAlign w:val="center"/>
                </w:tcPr>
                <w:p w14:paraId="5A68FA5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noWrap w:val="0"/>
                  <w:vAlign w:val="center"/>
                </w:tcPr>
                <w:p w14:paraId="32006F1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5F6C289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noWrap w:val="0"/>
                  <w:vAlign w:val="center"/>
                </w:tcPr>
                <w:p w14:paraId="4271790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restart"/>
                  <w:noWrap w:val="0"/>
                  <w:vAlign w:val="center"/>
                </w:tcPr>
                <w:p w14:paraId="3B761DC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2号车间</w:t>
                  </w:r>
                </w:p>
              </w:tc>
            </w:tr>
            <w:tr w14:paraId="3D1061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61F7955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37</w:t>
                  </w:r>
                </w:p>
              </w:tc>
              <w:tc>
                <w:tcPr>
                  <w:tcW w:w="1330" w:type="pct"/>
                  <w:noWrap w:val="0"/>
                  <w:vAlign w:val="center"/>
                </w:tcPr>
                <w:p w14:paraId="44E373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印刷机</w:t>
                  </w:r>
                </w:p>
              </w:tc>
              <w:tc>
                <w:tcPr>
                  <w:tcW w:w="1121" w:type="pct"/>
                  <w:noWrap w:val="0"/>
                  <w:vAlign w:val="center"/>
                </w:tcPr>
                <w:p w14:paraId="50C2847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海德堡CD102-4</w:t>
                  </w:r>
                </w:p>
              </w:tc>
              <w:tc>
                <w:tcPr>
                  <w:tcW w:w="434" w:type="pct"/>
                  <w:noWrap w:val="0"/>
                  <w:vAlign w:val="center"/>
                </w:tcPr>
                <w:p w14:paraId="497AEE0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noWrap w:val="0"/>
                  <w:vAlign w:val="center"/>
                </w:tcPr>
                <w:p w14:paraId="50459FA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4F96032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p>
              </w:tc>
              <w:tc>
                <w:tcPr>
                  <w:tcW w:w="285" w:type="pct"/>
                  <w:noWrap w:val="0"/>
                  <w:vAlign w:val="center"/>
                </w:tcPr>
                <w:p w14:paraId="75787F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p>
              </w:tc>
              <w:tc>
                <w:tcPr>
                  <w:tcW w:w="443" w:type="pct"/>
                  <w:vMerge w:val="continue"/>
                  <w:noWrap w:val="0"/>
                  <w:vAlign w:val="center"/>
                </w:tcPr>
                <w:p w14:paraId="0ED246A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206DD9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5E5A561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38</w:t>
                  </w:r>
                </w:p>
              </w:tc>
              <w:tc>
                <w:tcPr>
                  <w:tcW w:w="1330" w:type="pct"/>
                  <w:noWrap w:val="0"/>
                  <w:vAlign w:val="center"/>
                </w:tcPr>
                <w:p w14:paraId="177D1B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印刷机</w:t>
                  </w:r>
                </w:p>
              </w:tc>
              <w:tc>
                <w:tcPr>
                  <w:tcW w:w="1121" w:type="pct"/>
                  <w:noWrap w:val="0"/>
                  <w:vAlign w:val="center"/>
                </w:tcPr>
                <w:p w14:paraId="5BB799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三菱钻石3000</w:t>
                  </w:r>
                </w:p>
              </w:tc>
              <w:tc>
                <w:tcPr>
                  <w:tcW w:w="434" w:type="pct"/>
                  <w:noWrap w:val="0"/>
                  <w:vAlign w:val="center"/>
                </w:tcPr>
                <w:p w14:paraId="0E1393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noWrap w:val="0"/>
                  <w:vAlign w:val="center"/>
                </w:tcPr>
                <w:p w14:paraId="602FF0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35DC11C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noWrap w:val="0"/>
                  <w:vAlign w:val="center"/>
                </w:tcPr>
                <w:p w14:paraId="6B00FCA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0775739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2B57F9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3B7E8CD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39</w:t>
                  </w:r>
                </w:p>
              </w:tc>
              <w:tc>
                <w:tcPr>
                  <w:tcW w:w="1330" w:type="pct"/>
                  <w:noWrap w:val="0"/>
                  <w:vAlign w:val="center"/>
                </w:tcPr>
                <w:p w14:paraId="55484F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印刷机</w:t>
                  </w:r>
                </w:p>
              </w:tc>
              <w:tc>
                <w:tcPr>
                  <w:tcW w:w="1121" w:type="pct"/>
                  <w:noWrap w:val="0"/>
                  <w:vAlign w:val="center"/>
                </w:tcPr>
                <w:p w14:paraId="58CC3B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小森L240</w:t>
                  </w:r>
                </w:p>
              </w:tc>
              <w:tc>
                <w:tcPr>
                  <w:tcW w:w="434" w:type="pct"/>
                  <w:noWrap w:val="0"/>
                  <w:vAlign w:val="center"/>
                </w:tcPr>
                <w:p w14:paraId="48C4E8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noWrap w:val="0"/>
                  <w:vAlign w:val="center"/>
                </w:tcPr>
                <w:p w14:paraId="3145DDF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31EDB9F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noWrap w:val="0"/>
                  <w:vAlign w:val="center"/>
                </w:tcPr>
                <w:p w14:paraId="3675C8D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0150553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1F08A5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49F7C18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40</w:t>
                  </w:r>
                </w:p>
              </w:tc>
              <w:tc>
                <w:tcPr>
                  <w:tcW w:w="1330" w:type="pct"/>
                  <w:noWrap w:val="0"/>
                  <w:vAlign w:val="center"/>
                </w:tcPr>
                <w:p w14:paraId="66CED5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印刷机</w:t>
                  </w:r>
                </w:p>
              </w:tc>
              <w:tc>
                <w:tcPr>
                  <w:tcW w:w="1121" w:type="pct"/>
                  <w:noWrap w:val="0"/>
                  <w:vAlign w:val="center"/>
                </w:tcPr>
                <w:p w14:paraId="5186E1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北人05</w:t>
                  </w:r>
                </w:p>
              </w:tc>
              <w:tc>
                <w:tcPr>
                  <w:tcW w:w="434" w:type="pct"/>
                  <w:noWrap w:val="0"/>
                  <w:vAlign w:val="center"/>
                </w:tcPr>
                <w:p w14:paraId="3C10B7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noWrap w:val="0"/>
                  <w:vAlign w:val="center"/>
                </w:tcPr>
                <w:p w14:paraId="7407C9B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29D8D70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noWrap w:val="0"/>
                  <w:vAlign w:val="center"/>
                </w:tcPr>
                <w:p w14:paraId="659CF79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0F7AAE7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20D91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646918F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41</w:t>
                  </w:r>
                </w:p>
              </w:tc>
              <w:tc>
                <w:tcPr>
                  <w:tcW w:w="1330" w:type="pct"/>
                  <w:noWrap w:val="0"/>
                  <w:vAlign w:val="center"/>
                </w:tcPr>
                <w:p w14:paraId="7951FD8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胶装线</w:t>
                  </w:r>
                </w:p>
              </w:tc>
              <w:tc>
                <w:tcPr>
                  <w:tcW w:w="1121" w:type="pct"/>
                  <w:noWrap w:val="0"/>
                  <w:vAlign w:val="center"/>
                </w:tcPr>
                <w:p w14:paraId="230FB7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马天尼3001</w:t>
                  </w:r>
                </w:p>
              </w:tc>
              <w:tc>
                <w:tcPr>
                  <w:tcW w:w="434" w:type="pct"/>
                  <w:noWrap w:val="0"/>
                  <w:vAlign w:val="center"/>
                </w:tcPr>
                <w:p w14:paraId="5931FE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5FADF05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0C6E8CC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noWrap w:val="0"/>
                  <w:vAlign w:val="center"/>
                </w:tcPr>
                <w:p w14:paraId="1F38CE8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71C97D0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577052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634C258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42</w:t>
                  </w:r>
                </w:p>
              </w:tc>
              <w:tc>
                <w:tcPr>
                  <w:tcW w:w="1330" w:type="pct"/>
                  <w:noWrap w:val="0"/>
                  <w:vAlign w:val="center"/>
                </w:tcPr>
                <w:p w14:paraId="0AE80AD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骑订线</w:t>
                  </w:r>
                  <w:bookmarkStart w:id="11" w:name="_GoBack"/>
                  <w:bookmarkEnd w:id="11"/>
                </w:p>
              </w:tc>
              <w:tc>
                <w:tcPr>
                  <w:tcW w:w="1121" w:type="pct"/>
                  <w:noWrap w:val="0"/>
                  <w:vAlign w:val="center"/>
                </w:tcPr>
                <w:p w14:paraId="3170398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马天尼335</w:t>
                  </w:r>
                </w:p>
              </w:tc>
              <w:tc>
                <w:tcPr>
                  <w:tcW w:w="434" w:type="pct"/>
                  <w:noWrap w:val="0"/>
                  <w:vAlign w:val="center"/>
                </w:tcPr>
                <w:p w14:paraId="54D41D8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条</w:t>
                  </w:r>
                </w:p>
              </w:tc>
              <w:tc>
                <w:tcPr>
                  <w:tcW w:w="521" w:type="pct"/>
                  <w:noWrap w:val="0"/>
                  <w:vAlign w:val="center"/>
                </w:tcPr>
                <w:p w14:paraId="5D9785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777F922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noWrap w:val="0"/>
                  <w:vAlign w:val="center"/>
                </w:tcPr>
                <w:p w14:paraId="1A226BD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74A6A72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1DEE19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noWrap w:val="0"/>
                  <w:vAlign w:val="center"/>
                </w:tcPr>
                <w:p w14:paraId="6DD1192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43</w:t>
                  </w:r>
                </w:p>
              </w:tc>
              <w:tc>
                <w:tcPr>
                  <w:tcW w:w="1330" w:type="pct"/>
                  <w:noWrap w:val="0"/>
                  <w:vAlign w:val="center"/>
                </w:tcPr>
                <w:p w14:paraId="23BD41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全开刀</w:t>
                  </w:r>
                </w:p>
              </w:tc>
              <w:tc>
                <w:tcPr>
                  <w:tcW w:w="1121" w:type="pct"/>
                  <w:noWrap w:val="0"/>
                  <w:vAlign w:val="center"/>
                </w:tcPr>
                <w:p w14:paraId="5D9247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华岳1370</w:t>
                  </w:r>
                </w:p>
              </w:tc>
              <w:tc>
                <w:tcPr>
                  <w:tcW w:w="434" w:type="pct"/>
                  <w:noWrap w:val="0"/>
                  <w:vAlign w:val="center"/>
                </w:tcPr>
                <w:p w14:paraId="175C329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noWrap w:val="0"/>
                  <w:vAlign w:val="center"/>
                </w:tcPr>
                <w:p w14:paraId="15852FB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noWrap w:val="0"/>
                  <w:vAlign w:val="center"/>
                </w:tcPr>
                <w:p w14:paraId="403511F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noWrap w:val="0"/>
                  <w:vAlign w:val="center"/>
                </w:tcPr>
                <w:p w14:paraId="320D8BE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noWrap w:val="0"/>
                  <w:vAlign w:val="center"/>
                </w:tcPr>
                <w:p w14:paraId="3CF7203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6BB39E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160D6BE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44</w:t>
                  </w:r>
                </w:p>
              </w:tc>
              <w:tc>
                <w:tcPr>
                  <w:tcW w:w="1330" w:type="pct"/>
                  <w:vAlign w:val="center"/>
                </w:tcPr>
                <w:p w14:paraId="69BA065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全开</w:t>
                  </w:r>
                  <w:r>
                    <w:rPr>
                      <w:rFonts w:hint="eastAsia" w:cs="Times New Roman"/>
                      <w:color w:val="000000" w:themeColor="text1"/>
                      <w:sz w:val="21"/>
                      <w:szCs w:val="21"/>
                      <w:lang w:val="en-US" w:eastAsia="zh-CN"/>
                      <w14:textFill>
                        <w14:solidFill>
                          <w14:schemeClr w14:val="tx1"/>
                        </w14:solidFill>
                      </w14:textFill>
                    </w:rPr>
                    <w:t>刀</w:t>
                  </w:r>
                </w:p>
              </w:tc>
              <w:tc>
                <w:tcPr>
                  <w:tcW w:w="1121" w:type="pct"/>
                  <w:vAlign w:val="center"/>
                </w:tcPr>
                <w:p w14:paraId="0AE48FF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戴氏1370</w:t>
                  </w:r>
                </w:p>
              </w:tc>
              <w:tc>
                <w:tcPr>
                  <w:tcW w:w="434" w:type="pct"/>
                  <w:vAlign w:val="center"/>
                </w:tcPr>
                <w:p w14:paraId="1937C8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3C10EF5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6F24F86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2D02412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5CC7F6B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5BD4FC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04F2A47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45</w:t>
                  </w:r>
                </w:p>
              </w:tc>
              <w:tc>
                <w:tcPr>
                  <w:tcW w:w="1330" w:type="pct"/>
                  <w:vAlign w:val="center"/>
                </w:tcPr>
                <w:p w14:paraId="2C81844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全自动覆膜机</w:t>
                  </w:r>
                </w:p>
              </w:tc>
              <w:tc>
                <w:tcPr>
                  <w:tcW w:w="1121" w:type="pct"/>
                  <w:vAlign w:val="center"/>
                </w:tcPr>
                <w:p w14:paraId="32125E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华威1040</w:t>
                  </w:r>
                </w:p>
              </w:tc>
              <w:tc>
                <w:tcPr>
                  <w:tcW w:w="434" w:type="pct"/>
                  <w:vAlign w:val="center"/>
                </w:tcPr>
                <w:p w14:paraId="5E15C28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035CADC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150FFBC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459D38F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2321A5A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095481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6AB7C28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46</w:t>
                  </w:r>
                </w:p>
              </w:tc>
              <w:tc>
                <w:tcPr>
                  <w:tcW w:w="1330" w:type="pct"/>
                  <w:vAlign w:val="center"/>
                </w:tcPr>
                <w:p w14:paraId="7F60A78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覆膜机</w:t>
                  </w:r>
                </w:p>
              </w:tc>
              <w:tc>
                <w:tcPr>
                  <w:tcW w:w="1121" w:type="pct"/>
                  <w:vAlign w:val="center"/>
                </w:tcPr>
                <w:p w14:paraId="02F1D30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晨一（FM-1080）</w:t>
                  </w:r>
                </w:p>
              </w:tc>
              <w:tc>
                <w:tcPr>
                  <w:tcW w:w="434" w:type="pct"/>
                  <w:vAlign w:val="center"/>
                </w:tcPr>
                <w:p w14:paraId="6CD819B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521" w:type="pct"/>
                  <w:vAlign w:val="center"/>
                </w:tcPr>
                <w:p w14:paraId="10A210D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1C45923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285" w:type="pct"/>
                  <w:vAlign w:val="center"/>
                </w:tcPr>
                <w:p w14:paraId="680866C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6FFA9AD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10DDE1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7A8A863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47</w:t>
                  </w:r>
                </w:p>
              </w:tc>
              <w:tc>
                <w:tcPr>
                  <w:tcW w:w="1330" w:type="pct"/>
                  <w:vAlign w:val="center"/>
                </w:tcPr>
                <w:p w14:paraId="0CB3B22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上光机</w:t>
                  </w:r>
                </w:p>
              </w:tc>
              <w:tc>
                <w:tcPr>
                  <w:tcW w:w="1121" w:type="pct"/>
                  <w:vAlign w:val="center"/>
                </w:tcPr>
                <w:p w14:paraId="30D2D17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天岑（KP-1200J）</w:t>
                  </w:r>
                </w:p>
              </w:tc>
              <w:tc>
                <w:tcPr>
                  <w:tcW w:w="434" w:type="pct"/>
                  <w:vAlign w:val="center"/>
                </w:tcPr>
                <w:p w14:paraId="3C0AF83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521" w:type="pct"/>
                  <w:vAlign w:val="center"/>
                </w:tcPr>
                <w:p w14:paraId="6AD0E42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4B5C593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285" w:type="pct"/>
                  <w:vAlign w:val="center"/>
                </w:tcPr>
                <w:p w14:paraId="229714A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1E1E563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283465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0E41EC7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48</w:t>
                  </w:r>
                </w:p>
              </w:tc>
              <w:tc>
                <w:tcPr>
                  <w:tcW w:w="1330" w:type="pct"/>
                  <w:vAlign w:val="center"/>
                </w:tcPr>
                <w:p w14:paraId="145601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骑订线</w:t>
                  </w:r>
                </w:p>
              </w:tc>
              <w:tc>
                <w:tcPr>
                  <w:tcW w:w="1121" w:type="pct"/>
                  <w:vAlign w:val="center"/>
                </w:tcPr>
                <w:p w14:paraId="1CD099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马天尼321</w:t>
                  </w:r>
                </w:p>
              </w:tc>
              <w:tc>
                <w:tcPr>
                  <w:tcW w:w="434" w:type="pct"/>
                  <w:vAlign w:val="center"/>
                </w:tcPr>
                <w:p w14:paraId="17ADAF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186D77F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0399053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701B323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restart"/>
                  <w:vAlign w:val="center"/>
                </w:tcPr>
                <w:p w14:paraId="03B5661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3号车间</w:t>
                  </w:r>
                </w:p>
              </w:tc>
            </w:tr>
            <w:tr w14:paraId="41724F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50CA27F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49</w:t>
                  </w:r>
                </w:p>
              </w:tc>
              <w:tc>
                <w:tcPr>
                  <w:tcW w:w="1330" w:type="pct"/>
                  <w:vAlign w:val="center"/>
                </w:tcPr>
                <w:p w14:paraId="7D2CA9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胶装机</w:t>
                  </w:r>
                </w:p>
              </w:tc>
              <w:tc>
                <w:tcPr>
                  <w:tcW w:w="1121" w:type="pct"/>
                  <w:vAlign w:val="center"/>
                </w:tcPr>
                <w:p w14:paraId="6877C8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马天尼3001</w:t>
                  </w: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5+1</w:t>
                  </w:r>
                </w:p>
              </w:tc>
              <w:tc>
                <w:tcPr>
                  <w:tcW w:w="434" w:type="pct"/>
                  <w:vAlign w:val="center"/>
                </w:tcPr>
                <w:p w14:paraId="32FBF34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290138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6AD4188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2E38E54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58F64B7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349957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7FD51CD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50</w:t>
                  </w:r>
                </w:p>
              </w:tc>
              <w:tc>
                <w:tcPr>
                  <w:tcW w:w="1330" w:type="pct"/>
                  <w:vAlign w:val="center"/>
                </w:tcPr>
                <w:p w14:paraId="1D1959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试卷机</w:t>
                  </w:r>
                </w:p>
              </w:tc>
              <w:tc>
                <w:tcPr>
                  <w:tcW w:w="1121" w:type="pct"/>
                  <w:vAlign w:val="center"/>
                </w:tcPr>
                <w:p w14:paraId="17453C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大连天泰15-12</w:t>
                  </w:r>
                </w:p>
              </w:tc>
              <w:tc>
                <w:tcPr>
                  <w:tcW w:w="434" w:type="pct"/>
                  <w:vAlign w:val="center"/>
                </w:tcPr>
                <w:p w14:paraId="66BB71A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277BE47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7EA1263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77AF61B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44EF21D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59A6A5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6448E1B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51</w:t>
                  </w:r>
                </w:p>
              </w:tc>
              <w:tc>
                <w:tcPr>
                  <w:tcW w:w="1330" w:type="pct"/>
                  <w:vAlign w:val="center"/>
                </w:tcPr>
                <w:p w14:paraId="2A11CC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折页机</w:t>
                  </w:r>
                </w:p>
              </w:tc>
              <w:tc>
                <w:tcPr>
                  <w:tcW w:w="1121" w:type="pct"/>
                  <w:vAlign w:val="center"/>
                </w:tcPr>
                <w:p w14:paraId="7F9351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奥托670</w:t>
                  </w:r>
                </w:p>
              </w:tc>
              <w:tc>
                <w:tcPr>
                  <w:tcW w:w="434" w:type="pct"/>
                  <w:vAlign w:val="center"/>
                </w:tcPr>
                <w:p w14:paraId="3E434CE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413D79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2A8E2D1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7D4EED0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72CCF50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240B19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78C3EF4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52</w:t>
                  </w:r>
                </w:p>
              </w:tc>
              <w:tc>
                <w:tcPr>
                  <w:tcW w:w="1330" w:type="pct"/>
                  <w:vAlign w:val="center"/>
                </w:tcPr>
                <w:p w14:paraId="5B5253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折页机</w:t>
                  </w:r>
                </w:p>
              </w:tc>
              <w:tc>
                <w:tcPr>
                  <w:tcW w:w="1121" w:type="pct"/>
                  <w:vAlign w:val="center"/>
                </w:tcPr>
                <w:p w14:paraId="47E244F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奥托490</w:t>
                  </w:r>
                </w:p>
              </w:tc>
              <w:tc>
                <w:tcPr>
                  <w:tcW w:w="434" w:type="pct"/>
                  <w:vAlign w:val="center"/>
                </w:tcPr>
                <w:p w14:paraId="0880D4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26EA34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487C801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6A40EFF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59A41AB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0BB6B3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0B15145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53</w:t>
                  </w:r>
                </w:p>
              </w:tc>
              <w:tc>
                <w:tcPr>
                  <w:tcW w:w="1330" w:type="pct"/>
                  <w:vAlign w:val="center"/>
                </w:tcPr>
                <w:p w14:paraId="5EFAC1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折页机</w:t>
                  </w:r>
                </w:p>
              </w:tc>
              <w:tc>
                <w:tcPr>
                  <w:tcW w:w="1121" w:type="pct"/>
                  <w:vAlign w:val="center"/>
                </w:tcPr>
                <w:p w14:paraId="1B4A25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紫宏680</w:t>
                  </w:r>
                </w:p>
              </w:tc>
              <w:tc>
                <w:tcPr>
                  <w:tcW w:w="434" w:type="pct"/>
                  <w:vAlign w:val="center"/>
                </w:tcPr>
                <w:p w14:paraId="4FB67F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47F0CB5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08EBBCB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752F23B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7EA5D2C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54FAC9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6E07ACC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54</w:t>
                  </w:r>
                </w:p>
              </w:tc>
              <w:tc>
                <w:tcPr>
                  <w:tcW w:w="1330" w:type="pct"/>
                  <w:shd w:val="clear" w:color="auto" w:fill="auto"/>
                  <w:vAlign w:val="center"/>
                </w:tcPr>
                <w:p w14:paraId="482D2F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折页机</w:t>
                  </w:r>
                </w:p>
              </w:tc>
              <w:tc>
                <w:tcPr>
                  <w:tcW w:w="1121" w:type="pct"/>
                  <w:shd w:val="clear" w:color="auto" w:fill="auto"/>
                  <w:vAlign w:val="center"/>
                </w:tcPr>
                <w:p w14:paraId="3839C3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新邵680</w:t>
                  </w:r>
                </w:p>
              </w:tc>
              <w:tc>
                <w:tcPr>
                  <w:tcW w:w="434" w:type="pct"/>
                  <w:vAlign w:val="center"/>
                </w:tcPr>
                <w:p w14:paraId="530447B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521" w:type="pct"/>
                  <w:vAlign w:val="center"/>
                </w:tcPr>
                <w:p w14:paraId="354A92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72ACA3C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36B619E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56CE2B9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738AD4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6F58392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55</w:t>
                  </w:r>
                </w:p>
              </w:tc>
              <w:tc>
                <w:tcPr>
                  <w:tcW w:w="1330" w:type="pct"/>
                  <w:vAlign w:val="center"/>
                </w:tcPr>
                <w:p w14:paraId="607081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锁线机</w:t>
                  </w:r>
                </w:p>
              </w:tc>
              <w:tc>
                <w:tcPr>
                  <w:tcW w:w="1121" w:type="pct"/>
                  <w:vAlign w:val="center"/>
                </w:tcPr>
                <w:p w14:paraId="5CACCA4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阿斯特150</w:t>
                  </w:r>
                </w:p>
              </w:tc>
              <w:tc>
                <w:tcPr>
                  <w:tcW w:w="434" w:type="pct"/>
                  <w:vAlign w:val="center"/>
                </w:tcPr>
                <w:p w14:paraId="7D9B4EC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521" w:type="pct"/>
                  <w:vAlign w:val="center"/>
                </w:tcPr>
                <w:p w14:paraId="3D26E4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1C84EF8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43EC0C8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30D8B09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2E587C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03B0BF6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56</w:t>
                  </w:r>
                </w:p>
              </w:tc>
              <w:tc>
                <w:tcPr>
                  <w:tcW w:w="1330" w:type="pct"/>
                  <w:vAlign w:val="center"/>
                </w:tcPr>
                <w:p w14:paraId="6527564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胶装机</w:t>
                  </w:r>
                </w:p>
              </w:tc>
              <w:tc>
                <w:tcPr>
                  <w:tcW w:w="1121" w:type="pct"/>
                  <w:vAlign w:val="center"/>
                </w:tcPr>
                <w:p w14:paraId="43945AA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平湖英厚1800</w:t>
                  </w:r>
                </w:p>
              </w:tc>
              <w:tc>
                <w:tcPr>
                  <w:tcW w:w="434" w:type="pct"/>
                  <w:vAlign w:val="center"/>
                </w:tcPr>
                <w:p w14:paraId="5D53AF7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521" w:type="pct"/>
                  <w:vAlign w:val="center"/>
                </w:tcPr>
                <w:p w14:paraId="5D47E78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63E24D7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50547F3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03CA93F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65E369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70A244E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57</w:t>
                  </w:r>
                </w:p>
              </w:tc>
              <w:tc>
                <w:tcPr>
                  <w:tcW w:w="1330" w:type="pct"/>
                  <w:vAlign w:val="center"/>
                </w:tcPr>
                <w:p w14:paraId="50F55A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三面切</w:t>
                  </w:r>
                  <w:r>
                    <w:rPr>
                      <w:rFonts w:hint="eastAsia" w:cs="Times New Roman"/>
                      <w:color w:val="000000" w:themeColor="text1"/>
                      <w:sz w:val="21"/>
                      <w:szCs w:val="21"/>
                      <w:lang w:val="en-US" w:eastAsia="zh-CN"/>
                      <w14:textFill>
                        <w14:solidFill>
                          <w14:schemeClr w14:val="tx1"/>
                        </w14:solidFill>
                      </w14:textFill>
                    </w:rPr>
                    <w:t>书机</w:t>
                  </w:r>
                </w:p>
              </w:tc>
              <w:tc>
                <w:tcPr>
                  <w:tcW w:w="1121" w:type="pct"/>
                  <w:vAlign w:val="center"/>
                </w:tcPr>
                <w:p w14:paraId="2175C1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如皋400</w:t>
                  </w:r>
                </w:p>
              </w:tc>
              <w:tc>
                <w:tcPr>
                  <w:tcW w:w="434" w:type="pct"/>
                  <w:vAlign w:val="center"/>
                </w:tcPr>
                <w:p w14:paraId="51FCE89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6D4062B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7AFB558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6E3772B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4D2A17B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6C6388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2DC586B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58</w:t>
                  </w:r>
                </w:p>
              </w:tc>
              <w:tc>
                <w:tcPr>
                  <w:tcW w:w="1330" w:type="pct"/>
                  <w:vAlign w:val="center"/>
                </w:tcPr>
                <w:p w14:paraId="485C1F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裁切机</w:t>
                  </w:r>
                </w:p>
              </w:tc>
              <w:tc>
                <w:tcPr>
                  <w:tcW w:w="1121" w:type="pct"/>
                  <w:vAlign w:val="center"/>
                </w:tcPr>
                <w:p w14:paraId="79275B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戴氏920</w:t>
                  </w:r>
                </w:p>
              </w:tc>
              <w:tc>
                <w:tcPr>
                  <w:tcW w:w="434" w:type="pct"/>
                  <w:vAlign w:val="center"/>
                </w:tcPr>
                <w:p w14:paraId="63EB322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台</w:t>
                  </w:r>
                </w:p>
              </w:tc>
              <w:tc>
                <w:tcPr>
                  <w:tcW w:w="521" w:type="pct"/>
                  <w:vAlign w:val="center"/>
                </w:tcPr>
                <w:p w14:paraId="3016F7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6DD2EBE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6B0E561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04553D5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bidi="ar"/>
                      <w14:textFill>
                        <w14:solidFill>
                          <w14:schemeClr w14:val="tx1"/>
                        </w14:solidFill>
                      </w14:textFill>
                    </w:rPr>
                  </w:pPr>
                </w:p>
              </w:tc>
            </w:tr>
            <w:tr w14:paraId="0516DB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261D773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59</w:t>
                  </w:r>
                </w:p>
              </w:tc>
              <w:tc>
                <w:tcPr>
                  <w:tcW w:w="1330" w:type="pct"/>
                  <w:vAlign w:val="center"/>
                </w:tcPr>
                <w:p w14:paraId="7CC244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胶印机（四开）</w:t>
                  </w:r>
                </w:p>
              </w:tc>
              <w:tc>
                <w:tcPr>
                  <w:tcW w:w="1121" w:type="pct"/>
                  <w:vAlign w:val="center"/>
                </w:tcPr>
                <w:p w14:paraId="73F4E48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LS-426</w:t>
                  </w:r>
                </w:p>
              </w:tc>
              <w:tc>
                <w:tcPr>
                  <w:tcW w:w="434" w:type="pct"/>
                  <w:vAlign w:val="center"/>
                </w:tcPr>
                <w:p w14:paraId="6F30151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7F2201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1C66439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58F21EB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restart"/>
                  <w:vAlign w:val="center"/>
                </w:tcPr>
                <w:p w14:paraId="0888AD7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4号车间</w:t>
                  </w:r>
                </w:p>
              </w:tc>
            </w:tr>
            <w:tr w14:paraId="61B409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51BB2DB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60</w:t>
                  </w:r>
                </w:p>
              </w:tc>
              <w:tc>
                <w:tcPr>
                  <w:tcW w:w="1330" w:type="pct"/>
                  <w:vAlign w:val="center"/>
                </w:tcPr>
                <w:p w14:paraId="4518DD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胶印机（对开）</w:t>
                  </w:r>
                </w:p>
              </w:tc>
              <w:tc>
                <w:tcPr>
                  <w:tcW w:w="1121" w:type="pct"/>
                  <w:vAlign w:val="center"/>
                </w:tcPr>
                <w:p w14:paraId="720AC5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G40</w:t>
                  </w:r>
                </w:p>
              </w:tc>
              <w:tc>
                <w:tcPr>
                  <w:tcW w:w="434" w:type="pct"/>
                  <w:vAlign w:val="center"/>
                </w:tcPr>
                <w:p w14:paraId="200804B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612DBAE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6E48E75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38EB8F6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5F07578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6EB04E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144A763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61</w:t>
                  </w:r>
                </w:p>
              </w:tc>
              <w:tc>
                <w:tcPr>
                  <w:tcW w:w="1330" w:type="pct"/>
                  <w:vAlign w:val="center"/>
                </w:tcPr>
                <w:p w14:paraId="5861FB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切纸刀</w:t>
                  </w:r>
                </w:p>
              </w:tc>
              <w:tc>
                <w:tcPr>
                  <w:tcW w:w="1121" w:type="pct"/>
                  <w:vAlign w:val="center"/>
                </w:tcPr>
                <w:p w14:paraId="2CD005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1300</w:t>
                  </w:r>
                </w:p>
              </w:tc>
              <w:tc>
                <w:tcPr>
                  <w:tcW w:w="434" w:type="pct"/>
                  <w:vAlign w:val="center"/>
                </w:tcPr>
                <w:p w14:paraId="661D5BF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7CFCB7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3D3DE4E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285" w:type="pct"/>
                  <w:vAlign w:val="center"/>
                </w:tcPr>
                <w:p w14:paraId="0F8F88D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443" w:type="pct"/>
                  <w:vMerge w:val="continue"/>
                  <w:vAlign w:val="center"/>
                </w:tcPr>
                <w:p w14:paraId="75AC7E5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6716DE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5458F34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62</w:t>
                  </w:r>
                </w:p>
              </w:tc>
              <w:tc>
                <w:tcPr>
                  <w:tcW w:w="1330" w:type="pct"/>
                  <w:vAlign w:val="center"/>
                </w:tcPr>
                <w:p w14:paraId="33DBF3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折页机</w:t>
                  </w:r>
                </w:p>
              </w:tc>
              <w:tc>
                <w:tcPr>
                  <w:tcW w:w="1121" w:type="pct"/>
                  <w:vAlign w:val="center"/>
                </w:tcPr>
                <w:p w14:paraId="560B55F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33KF</w:t>
                  </w:r>
                </w:p>
              </w:tc>
              <w:tc>
                <w:tcPr>
                  <w:tcW w:w="434" w:type="pct"/>
                  <w:vAlign w:val="center"/>
                </w:tcPr>
                <w:p w14:paraId="09D9155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6D8B805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04C21D5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6368841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3CCF1BB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016AE3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02" w:type="pct"/>
                  <w:vAlign w:val="center"/>
                </w:tcPr>
                <w:p w14:paraId="172451D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63</w:t>
                  </w:r>
                </w:p>
              </w:tc>
              <w:tc>
                <w:tcPr>
                  <w:tcW w:w="1330" w:type="pct"/>
                  <w:vAlign w:val="center"/>
                </w:tcPr>
                <w:p w14:paraId="36BACF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压线机</w:t>
                  </w:r>
                </w:p>
              </w:tc>
              <w:tc>
                <w:tcPr>
                  <w:tcW w:w="1121" w:type="pct"/>
                  <w:vAlign w:val="center"/>
                </w:tcPr>
                <w:p w14:paraId="111E82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8336B</w:t>
                  </w:r>
                </w:p>
              </w:tc>
              <w:tc>
                <w:tcPr>
                  <w:tcW w:w="434" w:type="pct"/>
                  <w:vAlign w:val="center"/>
                </w:tcPr>
                <w:p w14:paraId="60EF472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42BFDA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280017D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4BF7102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1F834D8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7FBBFC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1AB9F46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64</w:t>
                  </w:r>
                </w:p>
              </w:tc>
              <w:tc>
                <w:tcPr>
                  <w:tcW w:w="1330" w:type="pct"/>
                  <w:vAlign w:val="center"/>
                </w:tcPr>
                <w:p w14:paraId="0BE663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骑马钉</w:t>
                  </w:r>
                </w:p>
              </w:tc>
              <w:tc>
                <w:tcPr>
                  <w:tcW w:w="1121" w:type="pct"/>
                  <w:vAlign w:val="center"/>
                </w:tcPr>
                <w:p w14:paraId="3C1F538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eastAsia="宋体" w:cs="Times New Roman"/>
                      <w:color w:val="000000" w:themeColor="text1"/>
                      <w:sz w:val="21"/>
                      <w:szCs w:val="21"/>
                      <w:lang w:val="en-US" w:eastAsia="zh-CN"/>
                      <w14:textFill>
                        <w14:solidFill>
                          <w14:schemeClr w14:val="tx1"/>
                        </w14:solidFill>
                      </w14:textFill>
                    </w:rPr>
                    <w:t>/</w:t>
                  </w:r>
                </w:p>
              </w:tc>
              <w:tc>
                <w:tcPr>
                  <w:tcW w:w="434" w:type="pct"/>
                  <w:vAlign w:val="center"/>
                </w:tcPr>
                <w:p w14:paraId="6D808BE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p>
              </w:tc>
              <w:tc>
                <w:tcPr>
                  <w:tcW w:w="521" w:type="pct"/>
                  <w:vAlign w:val="center"/>
                </w:tcPr>
                <w:p w14:paraId="59F4E1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168A4F6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285" w:type="pct"/>
                  <w:vAlign w:val="center"/>
                </w:tcPr>
                <w:p w14:paraId="467A7B1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Merge w:val="continue"/>
                  <w:vAlign w:val="center"/>
                </w:tcPr>
                <w:p w14:paraId="61CB8D2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r>
            <w:tr w14:paraId="6BA896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02" w:type="pct"/>
                  <w:vAlign w:val="center"/>
                </w:tcPr>
                <w:p w14:paraId="4C5D61B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65</w:t>
                  </w:r>
                </w:p>
              </w:tc>
              <w:tc>
                <w:tcPr>
                  <w:tcW w:w="1330" w:type="pct"/>
                  <w:vAlign w:val="center"/>
                </w:tcPr>
                <w:p w14:paraId="3E3DE9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全自动立式覆膜机</w:t>
                  </w:r>
                </w:p>
              </w:tc>
              <w:tc>
                <w:tcPr>
                  <w:tcW w:w="1121" w:type="pct"/>
                  <w:vAlign w:val="center"/>
                </w:tcPr>
                <w:p w14:paraId="3725A3A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嘉利特FM-E1080</w:t>
                  </w:r>
                </w:p>
              </w:tc>
              <w:tc>
                <w:tcPr>
                  <w:tcW w:w="434" w:type="pct"/>
                  <w:vAlign w:val="center"/>
                </w:tcPr>
                <w:p w14:paraId="67C716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521" w:type="pct"/>
                  <w:vAlign w:val="center"/>
                </w:tcPr>
                <w:p w14:paraId="41EE31B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459" w:type="pct"/>
                  <w:vAlign w:val="center"/>
                </w:tcPr>
                <w:p w14:paraId="6075589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285" w:type="pct"/>
                  <w:vAlign w:val="center"/>
                </w:tcPr>
                <w:p w14:paraId="55260D0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443" w:type="pct"/>
                  <w:vAlign w:val="center"/>
                </w:tcPr>
                <w:p w14:paraId="1F26335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5号车间</w:t>
                  </w:r>
                </w:p>
              </w:tc>
            </w:tr>
          </w:tbl>
          <w:p w14:paraId="6D168E1A">
            <w:pPr>
              <w:keepNext w:val="0"/>
              <w:keepLines w:val="0"/>
              <w:widowControl/>
              <w:suppressLineNumbers w:val="0"/>
              <w:spacing w:before="0" w:beforeAutospacing="0" w:after="0" w:afterAutospacing="0" w:line="360" w:lineRule="auto"/>
              <w:ind w:left="0" w:right="0" w:firstLine="482" w:firstLineChars="200"/>
              <w:rPr>
                <w:rFonts w:hint="eastAsia" w:ascii="Times New Roman" w:hAnsi="Times New Roman" w:eastAsia="宋体" w:cs="Times New Roman"/>
                <w:b/>
                <w:color w:val="000000" w:themeColor="text1"/>
                <w:sz w:val="24"/>
                <w:lang w:val="en-US" w:eastAsia="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5、主要原辅材料</w:t>
            </w:r>
          </w:p>
          <w:p w14:paraId="4B89DF55">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b/>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主要原辅材料及能源消耗</w:t>
            </w:r>
            <w:r>
              <w:rPr>
                <w:rFonts w:hint="default" w:ascii="Times New Roman" w:hAnsi="Times New Roman" w:cs="Times New Roman"/>
                <w:color w:val="000000" w:themeColor="text1"/>
                <w:sz w:val="24"/>
                <w14:textFill>
                  <w14:solidFill>
                    <w14:schemeClr w14:val="tx1"/>
                  </w14:solidFill>
                </w14:textFill>
              </w:rPr>
              <w:t>见表2-</w:t>
            </w:r>
            <w:r>
              <w:rPr>
                <w:rFonts w:hint="eastAsia" w:cs="Times New Roman"/>
                <w:color w:val="000000" w:themeColor="text1"/>
                <w:sz w:val="24"/>
                <w:lang w:val="en-US" w:eastAsia="zh-CN"/>
                <w14:textFill>
                  <w14:solidFill>
                    <w14:schemeClr w14:val="tx1"/>
                  </w14:solidFill>
                </w14:textFill>
              </w:rPr>
              <w:t>3</w:t>
            </w:r>
            <w:r>
              <w:rPr>
                <w:rFonts w:hint="eastAsia" w:ascii="Times New Roman" w:hAnsi="Times New Roman" w:cs="Times New Roman"/>
                <w:color w:val="000000" w:themeColor="text1"/>
                <w:sz w:val="24"/>
                <w14:textFill>
                  <w14:solidFill>
                    <w14:schemeClr w14:val="tx1"/>
                  </w14:solidFill>
                </w14:textFill>
              </w:rPr>
              <w:t>：</w:t>
            </w:r>
          </w:p>
          <w:p w14:paraId="1A73D5CA">
            <w:pPr>
              <w:keepNext w:val="0"/>
              <w:keepLines w:val="0"/>
              <w:widowControl/>
              <w:suppressLineNumbers w:val="0"/>
              <w:spacing w:before="0" w:beforeAutospacing="0" w:after="0" w:afterAutospacing="0"/>
              <w:ind w:left="0" w:right="0"/>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表2-</w:t>
            </w:r>
            <w:r>
              <w:rPr>
                <w:rFonts w:hint="eastAsia" w:cs="Times New Roman"/>
                <w:b/>
                <w:color w:val="000000" w:themeColor="text1"/>
                <w:sz w:val="24"/>
                <w:lang w:val="en-US" w:eastAsia="zh-CN"/>
                <w14:textFill>
                  <w14:solidFill>
                    <w14:schemeClr w14:val="tx1"/>
                  </w14:solidFill>
                </w14:textFill>
              </w:rPr>
              <w:t>3</w:t>
            </w:r>
            <w:r>
              <w:rPr>
                <w:rFonts w:hint="default" w:ascii="Times New Roman" w:hAnsi="Times New Roman" w:cs="Times New Roman"/>
                <w:b/>
                <w:color w:val="000000" w:themeColor="text1"/>
                <w:sz w:val="24"/>
                <w14:textFill>
                  <w14:solidFill>
                    <w14:schemeClr w14:val="tx1"/>
                  </w14:solidFill>
                </w14:textFill>
              </w:rPr>
              <w:t xml:space="preserve">  主要原辅材料消耗一览表</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0"/>
              <w:gridCol w:w="855"/>
              <w:gridCol w:w="1695"/>
              <w:gridCol w:w="1185"/>
              <w:gridCol w:w="1095"/>
              <w:gridCol w:w="1065"/>
              <w:gridCol w:w="937"/>
              <w:gridCol w:w="1080"/>
            </w:tblGrid>
            <w:tr w14:paraId="5508C8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30445B8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cs="Times New Roman"/>
                      <w:b/>
                      <w:bCs/>
                      <w:color w:val="000000" w:themeColor="text1"/>
                      <w:szCs w:val="21"/>
                      <w:lang w:bidi="ar"/>
                      <w14:textFill>
                        <w14:solidFill>
                          <w14:schemeClr w14:val="tx1"/>
                        </w14:solidFill>
                      </w14:textFill>
                    </w:rPr>
                  </w:pPr>
                  <w:r>
                    <w:rPr>
                      <w:rFonts w:hint="eastAsia" w:ascii="Times New Roman" w:hAnsi="Times New Roman" w:cs="Times New Roman"/>
                      <w:b/>
                      <w:bCs/>
                      <w:color w:val="000000" w:themeColor="text1"/>
                      <w:szCs w:val="21"/>
                      <w:lang w:bidi="ar"/>
                      <w14:textFill>
                        <w14:solidFill>
                          <w14:schemeClr w14:val="tx1"/>
                        </w14:solidFill>
                      </w14:textFill>
                    </w:rPr>
                    <w:t>序号</w:t>
                  </w:r>
                </w:p>
              </w:tc>
              <w:tc>
                <w:tcPr>
                  <w:tcW w:w="495" w:type="pct"/>
                  <w:noWrap w:val="0"/>
                  <w:vAlign w:val="center"/>
                </w:tcPr>
                <w:p w14:paraId="66E110B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000000" w:themeColor="text1"/>
                      <w:szCs w:val="21"/>
                      <w:lang w:val="en-US" w:eastAsia="zh-CN" w:bidi="ar"/>
                      <w14:textFill>
                        <w14:solidFill>
                          <w14:schemeClr w14:val="tx1"/>
                        </w14:solidFill>
                      </w14:textFill>
                    </w:rPr>
                  </w:pPr>
                  <w:r>
                    <w:rPr>
                      <w:rFonts w:hint="eastAsia" w:cs="Times New Roman"/>
                      <w:b/>
                      <w:bCs/>
                      <w:color w:val="000000" w:themeColor="text1"/>
                      <w:szCs w:val="21"/>
                      <w:lang w:val="en-US" w:eastAsia="zh-CN" w:bidi="ar"/>
                      <w14:textFill>
                        <w14:solidFill>
                          <w14:schemeClr w14:val="tx1"/>
                        </w14:solidFill>
                      </w14:textFill>
                    </w:rPr>
                    <w:t>类别</w:t>
                  </w:r>
                </w:p>
              </w:tc>
              <w:tc>
                <w:tcPr>
                  <w:tcW w:w="982" w:type="pct"/>
                  <w:noWrap w:val="0"/>
                  <w:vAlign w:val="center"/>
                </w:tcPr>
                <w:p w14:paraId="0C2B4D3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cs="Times New Roman"/>
                      <w:b/>
                      <w:bCs/>
                      <w:color w:val="000000" w:themeColor="text1"/>
                      <w:szCs w:val="21"/>
                      <w:lang w:bidi="ar"/>
                      <w14:textFill>
                        <w14:solidFill>
                          <w14:schemeClr w14:val="tx1"/>
                        </w14:solidFill>
                      </w14:textFill>
                    </w:rPr>
                  </w:pPr>
                  <w:r>
                    <w:rPr>
                      <w:rFonts w:hint="eastAsia" w:ascii="Times New Roman" w:hAnsi="Times New Roman" w:cs="Times New Roman"/>
                      <w:b/>
                      <w:bCs/>
                      <w:color w:val="000000" w:themeColor="text1"/>
                      <w:szCs w:val="21"/>
                      <w:lang w:bidi="ar"/>
                      <w14:textFill>
                        <w14:solidFill>
                          <w14:schemeClr w14:val="tx1"/>
                        </w14:solidFill>
                      </w14:textFill>
                    </w:rPr>
                    <w:t>名称</w:t>
                  </w:r>
                </w:p>
              </w:tc>
              <w:tc>
                <w:tcPr>
                  <w:tcW w:w="687" w:type="pct"/>
                  <w:noWrap w:val="0"/>
                  <w:vAlign w:val="center"/>
                </w:tcPr>
                <w:p w14:paraId="52D8140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000000" w:themeColor="text1"/>
                      <w:szCs w:val="21"/>
                      <w:lang w:val="en-US" w:eastAsia="zh-CN" w:bidi="ar"/>
                      <w14:textFill>
                        <w14:solidFill>
                          <w14:schemeClr w14:val="tx1"/>
                        </w14:solidFill>
                      </w14:textFill>
                    </w:rPr>
                  </w:pPr>
                  <w:r>
                    <w:rPr>
                      <w:rFonts w:hint="eastAsia" w:cs="Times New Roman"/>
                      <w:b/>
                      <w:bCs/>
                      <w:color w:val="000000" w:themeColor="text1"/>
                      <w:szCs w:val="21"/>
                      <w:lang w:val="en-US" w:eastAsia="zh-CN" w:bidi="ar"/>
                      <w14:textFill>
                        <w14:solidFill>
                          <w14:schemeClr w14:val="tx1"/>
                        </w14:solidFill>
                      </w14:textFill>
                    </w:rPr>
                    <w:t>单位</w:t>
                  </w:r>
                </w:p>
              </w:tc>
              <w:tc>
                <w:tcPr>
                  <w:tcW w:w="635" w:type="pct"/>
                  <w:noWrap w:val="0"/>
                  <w:vAlign w:val="center"/>
                </w:tcPr>
                <w:p w14:paraId="0F2C9805">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Times New Roman"/>
                      <w:b/>
                      <w:bCs/>
                      <w:color w:val="000000" w:themeColor="text1"/>
                      <w:szCs w:val="21"/>
                      <w:lang w:bidi="ar"/>
                      <w14:textFill>
                        <w14:solidFill>
                          <w14:schemeClr w14:val="tx1"/>
                        </w14:solidFill>
                      </w14:textFill>
                    </w:rPr>
                  </w:pPr>
                  <w:r>
                    <w:rPr>
                      <w:rFonts w:hint="eastAsia" w:ascii="Times New Roman" w:hAnsi="Times New Roman" w:cs="Times New Roman"/>
                      <w:b/>
                      <w:bCs/>
                      <w:color w:val="000000" w:themeColor="text1"/>
                      <w:sz w:val="21"/>
                      <w:szCs w:val="21"/>
                      <w:lang w:bidi="ar"/>
                      <w14:textFill>
                        <w14:solidFill>
                          <w14:schemeClr w14:val="tx1"/>
                        </w14:solidFill>
                      </w14:textFill>
                    </w:rPr>
                    <w:t>扩建前</w:t>
                  </w:r>
                  <w:r>
                    <w:rPr>
                      <w:rFonts w:hint="default" w:ascii="Times New Roman" w:hAnsi="Times New Roman" w:cs="Times New Roman"/>
                      <w:b/>
                      <w:bCs/>
                      <w:color w:val="000000" w:themeColor="text1"/>
                      <w:sz w:val="21"/>
                      <w:szCs w:val="21"/>
                      <w:lang w:bidi="ar"/>
                      <w14:textFill>
                        <w14:solidFill>
                          <w14:schemeClr w14:val="tx1"/>
                        </w14:solidFill>
                      </w14:textFill>
                    </w:rPr>
                    <w:t>年用量</w:t>
                  </w:r>
                </w:p>
              </w:tc>
              <w:tc>
                <w:tcPr>
                  <w:tcW w:w="617" w:type="pct"/>
                  <w:noWrap w:val="0"/>
                  <w:vAlign w:val="center"/>
                </w:tcPr>
                <w:p w14:paraId="27CBB98B">
                  <w:pPr>
                    <w:keepNext w:val="0"/>
                    <w:keepLines w:val="0"/>
                    <w:widowControl/>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Times New Roman"/>
                      <w:b/>
                      <w:bCs/>
                      <w:color w:val="000000" w:themeColor="text1"/>
                      <w:szCs w:val="21"/>
                      <w:lang w:bidi="ar"/>
                      <w14:textFill>
                        <w14:solidFill>
                          <w14:schemeClr w14:val="tx1"/>
                        </w14:solidFill>
                      </w14:textFill>
                    </w:rPr>
                  </w:pPr>
                  <w:r>
                    <w:rPr>
                      <w:rFonts w:hint="eastAsia" w:ascii="Times New Roman" w:hAnsi="Times New Roman" w:cs="Times New Roman"/>
                      <w:b/>
                      <w:bCs/>
                      <w:color w:val="000000" w:themeColor="text1"/>
                      <w:sz w:val="21"/>
                      <w:szCs w:val="21"/>
                      <w:lang w:bidi="ar"/>
                      <w14:textFill>
                        <w14:solidFill>
                          <w14:schemeClr w14:val="tx1"/>
                        </w14:solidFill>
                      </w14:textFill>
                    </w:rPr>
                    <w:t>扩建后年用量</w:t>
                  </w:r>
                </w:p>
              </w:tc>
              <w:tc>
                <w:tcPr>
                  <w:tcW w:w="543" w:type="pct"/>
                  <w:noWrap w:val="0"/>
                  <w:vAlign w:val="center"/>
                </w:tcPr>
                <w:p w14:paraId="012F9EC5">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Times New Roman"/>
                      <w:b/>
                      <w:bCs/>
                      <w:color w:val="000000" w:themeColor="text1"/>
                      <w:szCs w:val="21"/>
                      <w:lang w:bidi="ar"/>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变化量</w:t>
                  </w:r>
                </w:p>
              </w:tc>
              <w:tc>
                <w:tcPr>
                  <w:tcW w:w="626" w:type="pct"/>
                  <w:noWrap w:val="0"/>
                  <w:vAlign w:val="center"/>
                </w:tcPr>
                <w:p w14:paraId="362AAA0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b/>
                      <w:bCs/>
                      <w:color w:val="000000" w:themeColor="text1"/>
                      <w:szCs w:val="21"/>
                      <w:lang w:val="en-US" w:eastAsia="zh-CN" w:bidi="ar"/>
                      <w14:textFill>
                        <w14:solidFill>
                          <w14:schemeClr w14:val="tx1"/>
                        </w14:solidFill>
                      </w14:textFill>
                    </w:rPr>
                  </w:pPr>
                  <w:r>
                    <w:rPr>
                      <w:rFonts w:hint="eastAsia" w:cs="Times New Roman"/>
                      <w:b/>
                      <w:bCs/>
                      <w:color w:val="000000" w:themeColor="text1"/>
                      <w:szCs w:val="21"/>
                      <w:lang w:val="en-US" w:eastAsia="zh-CN" w:bidi="ar"/>
                      <w14:textFill>
                        <w14:solidFill>
                          <w14:schemeClr w14:val="tx1"/>
                        </w14:solidFill>
                      </w14:textFill>
                    </w:rPr>
                    <w:t>备注</w:t>
                  </w:r>
                </w:p>
              </w:tc>
            </w:tr>
            <w:tr w14:paraId="0BF449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71A3274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color w:val="000000" w:themeColor="text1"/>
                      <w:szCs w:val="21"/>
                      <w:lang w:bidi="ar"/>
                      <w14:textFill>
                        <w14:solidFill>
                          <w14:schemeClr w14:val="tx1"/>
                        </w14:solidFill>
                      </w14:textFill>
                    </w:rPr>
                    <w:t>1</w:t>
                  </w:r>
                </w:p>
              </w:tc>
              <w:tc>
                <w:tcPr>
                  <w:tcW w:w="495" w:type="pct"/>
                  <w:vMerge w:val="restart"/>
                  <w:noWrap w:val="0"/>
                  <w:vAlign w:val="center"/>
                </w:tcPr>
                <w:p w14:paraId="0DAA287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b/>
                      <w:bCs/>
                      <w:color w:val="000000" w:themeColor="text1"/>
                      <w:szCs w:val="21"/>
                      <w:lang w:val="en-US" w:eastAsia="zh-CN" w:bidi="ar"/>
                      <w14:textFill>
                        <w14:solidFill>
                          <w14:schemeClr w14:val="tx1"/>
                        </w14:solidFill>
                      </w14:textFill>
                    </w:rPr>
                  </w:pPr>
                  <w:r>
                    <w:rPr>
                      <w:rFonts w:hint="eastAsia" w:cs="Times New Roman"/>
                      <w:b w:val="0"/>
                      <w:bCs w:val="0"/>
                      <w:color w:val="000000" w:themeColor="text1"/>
                      <w:szCs w:val="21"/>
                      <w:lang w:val="en-US" w:eastAsia="zh-CN" w:bidi="ar"/>
                      <w14:textFill>
                        <w14:solidFill>
                          <w14:schemeClr w14:val="tx1"/>
                        </w14:solidFill>
                      </w14:textFill>
                    </w:rPr>
                    <w:t>原料</w:t>
                  </w:r>
                </w:p>
              </w:tc>
              <w:tc>
                <w:tcPr>
                  <w:tcW w:w="982" w:type="pct"/>
                  <w:noWrap w:val="0"/>
                  <w:vAlign w:val="center"/>
                </w:tcPr>
                <w:p w14:paraId="7AD4A2D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olor w:val="000000" w:themeColor="text1"/>
                      <w:lang w:val="en-US" w:eastAsia="zh-CN"/>
                      <w14:textFill>
                        <w14:solidFill>
                          <w14:schemeClr w14:val="tx1"/>
                        </w14:solidFill>
                      </w14:textFill>
                    </w:rPr>
                    <w:t>封面纸张</w:t>
                  </w:r>
                </w:p>
              </w:tc>
              <w:tc>
                <w:tcPr>
                  <w:tcW w:w="687" w:type="pct"/>
                  <w:noWrap w:val="0"/>
                  <w:vAlign w:val="center"/>
                </w:tcPr>
                <w:p w14:paraId="609AB7F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t/a</w:t>
                  </w:r>
                </w:p>
              </w:tc>
              <w:tc>
                <w:tcPr>
                  <w:tcW w:w="635" w:type="pct"/>
                  <w:noWrap w:val="0"/>
                  <w:vAlign w:val="center"/>
                </w:tcPr>
                <w:p w14:paraId="31C4A39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17" w:type="pct"/>
                  <w:noWrap w:val="0"/>
                  <w:vAlign w:val="center"/>
                </w:tcPr>
                <w:p w14:paraId="1454DBE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00</w:t>
                  </w:r>
                </w:p>
              </w:tc>
              <w:tc>
                <w:tcPr>
                  <w:tcW w:w="543" w:type="pct"/>
                  <w:noWrap w:val="0"/>
                  <w:vAlign w:val="center"/>
                </w:tcPr>
                <w:p w14:paraId="1A05C3E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00</w:t>
                  </w:r>
                </w:p>
              </w:tc>
              <w:tc>
                <w:tcPr>
                  <w:tcW w:w="626" w:type="pct"/>
                  <w:vMerge w:val="restart"/>
                  <w:noWrap w:val="0"/>
                  <w:vAlign w:val="center"/>
                </w:tcPr>
                <w:p w14:paraId="20F4861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b/>
                      <w:bCs/>
                      <w:color w:val="000000" w:themeColor="text1"/>
                      <w:szCs w:val="21"/>
                      <w:lang w:val="en-US" w:eastAsia="zh-CN" w:bidi="ar"/>
                      <w14:textFill>
                        <w14:solidFill>
                          <w14:schemeClr w14:val="tx1"/>
                        </w14:solidFill>
                      </w14:textFill>
                    </w:rPr>
                  </w:pPr>
                  <w:r>
                    <w:rPr>
                      <w:rFonts w:hint="eastAsia" w:cs="Times New Roman"/>
                      <w:b w:val="0"/>
                      <w:bCs w:val="0"/>
                      <w:color w:val="000000" w:themeColor="text1"/>
                      <w:szCs w:val="21"/>
                      <w:lang w:val="en-US" w:eastAsia="zh-CN" w:bidi="ar"/>
                      <w14:textFill>
                        <w14:solidFill>
                          <w14:schemeClr w14:val="tx1"/>
                        </w14:solidFill>
                      </w14:textFill>
                    </w:rPr>
                    <w:t>外购</w:t>
                  </w:r>
                </w:p>
              </w:tc>
            </w:tr>
            <w:tr w14:paraId="15569E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681DB6F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color w:val="000000" w:themeColor="text1"/>
                      <w:szCs w:val="21"/>
                      <w:lang w:bidi="ar"/>
                      <w14:textFill>
                        <w14:solidFill>
                          <w14:schemeClr w14:val="tx1"/>
                        </w14:solidFill>
                      </w14:textFill>
                    </w:rPr>
                    <w:t>2</w:t>
                  </w:r>
                </w:p>
              </w:tc>
              <w:tc>
                <w:tcPr>
                  <w:tcW w:w="495" w:type="pct"/>
                  <w:vMerge w:val="continue"/>
                  <w:noWrap w:val="0"/>
                  <w:vAlign w:val="center"/>
                </w:tcPr>
                <w:p w14:paraId="0BEAC40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s="Times New Roman"/>
                      <w:b/>
                      <w:bCs/>
                      <w:color w:val="000000" w:themeColor="text1"/>
                      <w:szCs w:val="21"/>
                      <w:lang w:val="en-US" w:eastAsia="zh-CN" w:bidi="ar"/>
                      <w14:textFill>
                        <w14:solidFill>
                          <w14:schemeClr w14:val="tx1"/>
                        </w14:solidFill>
                      </w14:textFill>
                    </w:rPr>
                  </w:pPr>
                </w:p>
              </w:tc>
              <w:tc>
                <w:tcPr>
                  <w:tcW w:w="982" w:type="pct"/>
                  <w:noWrap w:val="0"/>
                  <w:vAlign w:val="center"/>
                </w:tcPr>
                <w:p w14:paraId="6768AA4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内芯纸张</w:t>
                  </w:r>
                </w:p>
              </w:tc>
              <w:tc>
                <w:tcPr>
                  <w:tcW w:w="687" w:type="pct"/>
                  <w:noWrap w:val="0"/>
                  <w:vAlign w:val="center"/>
                </w:tcPr>
                <w:p w14:paraId="4695A70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t</w:t>
                  </w:r>
                  <w:r>
                    <w:rPr>
                      <w:rFonts w:hint="eastAsia"/>
                      <w:color w:val="000000" w:themeColor="text1"/>
                      <w14:textFill>
                        <w14:solidFill>
                          <w14:schemeClr w14:val="tx1"/>
                        </w14:solidFill>
                      </w14:textFill>
                    </w:rPr>
                    <w:t>/a</w:t>
                  </w:r>
                </w:p>
              </w:tc>
              <w:tc>
                <w:tcPr>
                  <w:tcW w:w="635" w:type="pct"/>
                  <w:noWrap w:val="0"/>
                  <w:vAlign w:val="center"/>
                </w:tcPr>
                <w:p w14:paraId="1985144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9000</w:t>
                  </w:r>
                </w:p>
              </w:tc>
              <w:tc>
                <w:tcPr>
                  <w:tcW w:w="617" w:type="pct"/>
                  <w:noWrap w:val="0"/>
                  <w:vAlign w:val="center"/>
                </w:tcPr>
                <w:p w14:paraId="3F7E9F1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8500</w:t>
                  </w:r>
                </w:p>
              </w:tc>
              <w:tc>
                <w:tcPr>
                  <w:tcW w:w="543" w:type="pct"/>
                  <w:noWrap w:val="0"/>
                  <w:vAlign w:val="center"/>
                </w:tcPr>
                <w:p w14:paraId="16B1E1C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-500</w:t>
                  </w:r>
                </w:p>
              </w:tc>
              <w:tc>
                <w:tcPr>
                  <w:tcW w:w="626" w:type="pct"/>
                  <w:vMerge w:val="continue"/>
                  <w:noWrap w:val="0"/>
                  <w:vAlign w:val="center"/>
                </w:tcPr>
                <w:p w14:paraId="2510620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s="Times New Roman"/>
                      <w:b/>
                      <w:bCs/>
                      <w:color w:val="000000" w:themeColor="text1"/>
                      <w:szCs w:val="21"/>
                      <w:lang w:val="en-US" w:eastAsia="zh-CN" w:bidi="ar"/>
                      <w14:textFill>
                        <w14:solidFill>
                          <w14:schemeClr w14:val="tx1"/>
                        </w14:solidFill>
                      </w14:textFill>
                    </w:rPr>
                  </w:pPr>
                </w:p>
              </w:tc>
            </w:tr>
            <w:tr w14:paraId="42CA74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6292C2B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ascii="Times New Roman" w:hAnsi="Times New Roman" w:cs="Times New Roman"/>
                      <w:color w:val="000000" w:themeColor="text1"/>
                      <w:szCs w:val="21"/>
                      <w:lang w:bidi="ar"/>
                      <w14:textFill>
                        <w14:solidFill>
                          <w14:schemeClr w14:val="tx1"/>
                        </w14:solidFill>
                      </w14:textFill>
                    </w:rPr>
                    <w:t>3</w:t>
                  </w:r>
                </w:p>
              </w:tc>
              <w:tc>
                <w:tcPr>
                  <w:tcW w:w="495" w:type="pct"/>
                  <w:vMerge w:val="continue"/>
                  <w:noWrap w:val="0"/>
                  <w:vAlign w:val="center"/>
                </w:tcPr>
                <w:p w14:paraId="29390D7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s="Times New Roman"/>
                      <w:b/>
                      <w:bCs/>
                      <w:color w:val="000000" w:themeColor="text1"/>
                      <w:szCs w:val="21"/>
                      <w:lang w:val="en-US" w:eastAsia="zh-CN" w:bidi="ar"/>
                      <w14:textFill>
                        <w14:solidFill>
                          <w14:schemeClr w14:val="tx1"/>
                        </w14:solidFill>
                      </w14:textFill>
                    </w:rPr>
                  </w:pPr>
                </w:p>
              </w:tc>
              <w:tc>
                <w:tcPr>
                  <w:tcW w:w="982" w:type="pct"/>
                  <w:noWrap w:val="0"/>
                  <w:vAlign w:val="center"/>
                </w:tcPr>
                <w:p w14:paraId="1600D52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静电复印纸</w:t>
                  </w:r>
                </w:p>
              </w:tc>
              <w:tc>
                <w:tcPr>
                  <w:tcW w:w="687" w:type="pct"/>
                  <w:noWrap w:val="0"/>
                  <w:vAlign w:val="center"/>
                </w:tcPr>
                <w:p w14:paraId="3CA294D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t</w:t>
                  </w:r>
                  <w:r>
                    <w:rPr>
                      <w:rFonts w:hint="eastAsia"/>
                      <w:color w:val="000000" w:themeColor="text1"/>
                      <w14:textFill>
                        <w14:solidFill>
                          <w14:schemeClr w14:val="tx1"/>
                        </w14:solidFill>
                      </w14:textFill>
                    </w:rPr>
                    <w:t>/a</w:t>
                  </w:r>
                </w:p>
              </w:tc>
              <w:tc>
                <w:tcPr>
                  <w:tcW w:w="635" w:type="pct"/>
                  <w:noWrap w:val="0"/>
                  <w:vAlign w:val="center"/>
                </w:tcPr>
                <w:p w14:paraId="0F0FAE8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617" w:type="pct"/>
                  <w:noWrap w:val="0"/>
                  <w:vAlign w:val="center"/>
                </w:tcPr>
                <w:p w14:paraId="1445CE8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200</w:t>
                  </w:r>
                </w:p>
              </w:tc>
              <w:tc>
                <w:tcPr>
                  <w:tcW w:w="543" w:type="pct"/>
                  <w:noWrap w:val="0"/>
                  <w:vAlign w:val="center"/>
                </w:tcPr>
                <w:p w14:paraId="4ED0B88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+200</w:t>
                  </w:r>
                </w:p>
              </w:tc>
              <w:tc>
                <w:tcPr>
                  <w:tcW w:w="626" w:type="pct"/>
                  <w:vMerge w:val="continue"/>
                  <w:noWrap w:val="0"/>
                  <w:vAlign w:val="center"/>
                </w:tcPr>
                <w:p w14:paraId="4CCB4BE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s="Times New Roman"/>
                      <w:b/>
                      <w:bCs/>
                      <w:color w:val="000000" w:themeColor="text1"/>
                      <w:szCs w:val="21"/>
                      <w:lang w:val="en-US" w:eastAsia="zh-CN" w:bidi="ar"/>
                      <w14:textFill>
                        <w14:solidFill>
                          <w14:schemeClr w14:val="tx1"/>
                        </w14:solidFill>
                      </w14:textFill>
                    </w:rPr>
                  </w:pPr>
                </w:p>
              </w:tc>
            </w:tr>
            <w:tr w14:paraId="463837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3DF9F78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4</w:t>
                  </w:r>
                </w:p>
              </w:tc>
              <w:tc>
                <w:tcPr>
                  <w:tcW w:w="495" w:type="pct"/>
                  <w:vMerge w:val="continue"/>
                  <w:noWrap w:val="0"/>
                  <w:vAlign w:val="center"/>
                </w:tcPr>
                <w:p w14:paraId="093A442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eastAsia="宋体"/>
                      <w:color w:val="000000" w:themeColor="text1"/>
                      <w:lang w:val="en-US" w:eastAsia="zh-CN"/>
                      <w14:textFill>
                        <w14:solidFill>
                          <w14:schemeClr w14:val="tx1"/>
                        </w14:solidFill>
                      </w14:textFill>
                    </w:rPr>
                  </w:pPr>
                </w:p>
              </w:tc>
              <w:tc>
                <w:tcPr>
                  <w:tcW w:w="982" w:type="pct"/>
                  <w:noWrap w:val="0"/>
                  <w:vAlign w:val="center"/>
                </w:tcPr>
                <w:p w14:paraId="336B60E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cs="Times New Roman"/>
                      <w:color w:val="000000" w:themeColor="text1"/>
                      <w:szCs w:val="21"/>
                      <w:lang w:bidi="ar"/>
                      <w14:textFill>
                        <w14:solidFill>
                          <w14:schemeClr w14:val="tx1"/>
                        </w14:solidFill>
                      </w14:textFill>
                    </w:rPr>
                  </w:pPr>
                  <w:r>
                    <w:rPr>
                      <w:rFonts w:hint="eastAsia"/>
                      <w:color w:val="000000" w:themeColor="text1"/>
                      <w14:textFill>
                        <w14:solidFill>
                          <w14:schemeClr w14:val="tx1"/>
                        </w14:solidFill>
                      </w14:textFill>
                    </w:rPr>
                    <w:t>水性油墨</w:t>
                  </w:r>
                </w:p>
              </w:tc>
              <w:tc>
                <w:tcPr>
                  <w:tcW w:w="687" w:type="pct"/>
                  <w:noWrap w:val="0"/>
                  <w:vAlign w:val="center"/>
                </w:tcPr>
                <w:p w14:paraId="3F107D8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t</w:t>
                  </w:r>
                  <w:r>
                    <w:rPr>
                      <w:rFonts w:hint="eastAsia"/>
                      <w:color w:val="000000" w:themeColor="text1"/>
                      <w14:textFill>
                        <w14:solidFill>
                          <w14:schemeClr w14:val="tx1"/>
                        </w14:solidFill>
                      </w14:textFill>
                    </w:rPr>
                    <w:t>/a</w:t>
                  </w:r>
                </w:p>
              </w:tc>
              <w:tc>
                <w:tcPr>
                  <w:tcW w:w="635" w:type="pct"/>
                  <w:noWrap w:val="0"/>
                  <w:vAlign w:val="center"/>
                </w:tcPr>
                <w:p w14:paraId="2E4C796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5</w:t>
                  </w:r>
                </w:p>
              </w:tc>
              <w:tc>
                <w:tcPr>
                  <w:tcW w:w="617" w:type="pct"/>
                  <w:noWrap w:val="0"/>
                  <w:vAlign w:val="center"/>
                </w:tcPr>
                <w:p w14:paraId="2ED529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7</w:t>
                  </w:r>
                </w:p>
              </w:tc>
              <w:tc>
                <w:tcPr>
                  <w:tcW w:w="543" w:type="pct"/>
                  <w:noWrap w:val="0"/>
                  <w:vAlign w:val="center"/>
                </w:tcPr>
                <w:p w14:paraId="524B624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+2</w:t>
                  </w:r>
                </w:p>
              </w:tc>
              <w:tc>
                <w:tcPr>
                  <w:tcW w:w="626" w:type="pct"/>
                  <w:vMerge w:val="restart"/>
                  <w:noWrap w:val="0"/>
                  <w:vAlign w:val="center"/>
                </w:tcPr>
                <w:p w14:paraId="3E29266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cs="Times New Roman"/>
                      <w:color w:val="000000" w:themeColor="text1"/>
                      <w:kern w:val="0"/>
                      <w:szCs w:val="21"/>
                      <w:lang w:val="en-US" w:eastAsia="zh-CN" w:bidi="ar"/>
                      <w14:textFill>
                        <w14:solidFill>
                          <w14:schemeClr w14:val="tx1"/>
                        </w14:solidFill>
                      </w14:textFill>
                    </w:rPr>
                    <w:t>外购</w:t>
                  </w:r>
                </w:p>
              </w:tc>
            </w:tr>
            <w:tr w14:paraId="5DB0D4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67B0618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kern w:val="2"/>
                      <w:sz w:val="21"/>
                      <w:szCs w:val="21"/>
                      <w:lang w:val="en-US" w:eastAsia="zh-CN" w:bidi="ar"/>
                      <w14:textFill>
                        <w14:solidFill>
                          <w14:schemeClr w14:val="tx1"/>
                        </w14:solidFill>
                      </w14:textFill>
                    </w:rPr>
                    <w:t>5</w:t>
                  </w:r>
                </w:p>
              </w:tc>
              <w:tc>
                <w:tcPr>
                  <w:tcW w:w="495" w:type="pct"/>
                  <w:vMerge w:val="continue"/>
                  <w:noWrap w:val="0"/>
                  <w:vAlign w:val="center"/>
                </w:tcPr>
                <w:p w14:paraId="4D1C80C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116192D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宋体"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宋体"/>
                      <w:color w:val="000000" w:themeColor="text1"/>
                      <w:szCs w:val="21"/>
                      <w:lang w:val="en-US" w:eastAsia="zh-CN"/>
                      <w14:textFill>
                        <w14:solidFill>
                          <w14:schemeClr w14:val="tx1"/>
                        </w14:solidFill>
                      </w14:textFill>
                    </w:rPr>
                    <w:t>热熔型树脂</w:t>
                  </w:r>
                </w:p>
              </w:tc>
              <w:tc>
                <w:tcPr>
                  <w:tcW w:w="687" w:type="pct"/>
                  <w:noWrap w:val="0"/>
                  <w:vAlign w:val="center"/>
                </w:tcPr>
                <w:p w14:paraId="2DB345B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t/a</w:t>
                  </w:r>
                </w:p>
              </w:tc>
              <w:tc>
                <w:tcPr>
                  <w:tcW w:w="635" w:type="pct"/>
                  <w:noWrap w:val="0"/>
                  <w:vAlign w:val="center"/>
                </w:tcPr>
                <w:p w14:paraId="7180CBB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617" w:type="pct"/>
                  <w:noWrap w:val="0"/>
                  <w:vAlign w:val="center"/>
                </w:tcPr>
                <w:p w14:paraId="0B4187B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w:t>
                  </w:r>
                </w:p>
              </w:tc>
              <w:tc>
                <w:tcPr>
                  <w:tcW w:w="543" w:type="pct"/>
                  <w:noWrap w:val="0"/>
                  <w:vAlign w:val="center"/>
                </w:tcPr>
                <w:p w14:paraId="5F093BC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+1</w:t>
                  </w:r>
                </w:p>
              </w:tc>
              <w:tc>
                <w:tcPr>
                  <w:tcW w:w="626" w:type="pct"/>
                  <w:vMerge w:val="continue"/>
                  <w:noWrap w:val="0"/>
                  <w:vAlign w:val="center"/>
                </w:tcPr>
                <w:p w14:paraId="3D0DBC7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1B4A6C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664FCB8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6</w:t>
                  </w:r>
                </w:p>
              </w:tc>
              <w:tc>
                <w:tcPr>
                  <w:tcW w:w="495" w:type="pct"/>
                  <w:vMerge w:val="continue"/>
                  <w:noWrap w:val="0"/>
                  <w:vAlign w:val="center"/>
                </w:tcPr>
                <w:p w14:paraId="5F56CBD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1D32883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宋体"/>
                      <w:color w:val="000000" w:themeColor="text1"/>
                      <w:szCs w:val="21"/>
                      <w:lang w:val="en-US" w:eastAsia="zh-CN"/>
                      <w14:textFill>
                        <w14:solidFill>
                          <w14:schemeClr w14:val="tx1"/>
                        </w14:solidFill>
                      </w14:textFill>
                    </w:rPr>
                    <w:t>水性亮油</w:t>
                  </w:r>
                </w:p>
              </w:tc>
              <w:tc>
                <w:tcPr>
                  <w:tcW w:w="687" w:type="pct"/>
                  <w:noWrap w:val="0"/>
                  <w:vAlign w:val="center"/>
                </w:tcPr>
                <w:p w14:paraId="695EDC6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t/a</w:t>
                  </w:r>
                </w:p>
              </w:tc>
              <w:tc>
                <w:tcPr>
                  <w:tcW w:w="635" w:type="pct"/>
                  <w:noWrap w:val="0"/>
                  <w:vAlign w:val="center"/>
                </w:tcPr>
                <w:p w14:paraId="76FAA0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617" w:type="pct"/>
                  <w:noWrap w:val="0"/>
                  <w:vAlign w:val="center"/>
                </w:tcPr>
                <w:p w14:paraId="7A3E46A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1.5</w:t>
                  </w:r>
                </w:p>
              </w:tc>
              <w:tc>
                <w:tcPr>
                  <w:tcW w:w="543" w:type="pct"/>
                  <w:noWrap w:val="0"/>
                  <w:vAlign w:val="center"/>
                </w:tcPr>
                <w:p w14:paraId="3D9BEB4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+1.5</w:t>
                  </w:r>
                </w:p>
              </w:tc>
              <w:tc>
                <w:tcPr>
                  <w:tcW w:w="626" w:type="pct"/>
                  <w:vMerge w:val="continue"/>
                  <w:noWrap w:val="0"/>
                  <w:vAlign w:val="center"/>
                </w:tcPr>
                <w:p w14:paraId="5E045B1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7BA1E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55DFF74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7</w:t>
                  </w:r>
                </w:p>
              </w:tc>
              <w:tc>
                <w:tcPr>
                  <w:tcW w:w="495" w:type="pct"/>
                  <w:vMerge w:val="continue"/>
                  <w:noWrap w:val="0"/>
                  <w:vAlign w:val="center"/>
                </w:tcPr>
                <w:p w14:paraId="0717F86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45621ED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color w:val="000000" w:themeColor="text1"/>
                      <w:szCs w:val="21"/>
                      <w:lang w:val="en-US" w:eastAsia="zh-CN"/>
                      <w14:textFill>
                        <w14:solidFill>
                          <w14:schemeClr w14:val="tx1"/>
                        </w14:solidFill>
                      </w14:textFill>
                    </w:rPr>
                    <w:t>BOPP薄膜</w:t>
                  </w:r>
                </w:p>
              </w:tc>
              <w:tc>
                <w:tcPr>
                  <w:tcW w:w="687" w:type="pct"/>
                  <w:noWrap w:val="0"/>
                  <w:vAlign w:val="center"/>
                </w:tcPr>
                <w:p w14:paraId="40D2784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t/a</w:t>
                  </w:r>
                </w:p>
              </w:tc>
              <w:tc>
                <w:tcPr>
                  <w:tcW w:w="635" w:type="pct"/>
                  <w:noWrap w:val="0"/>
                  <w:vAlign w:val="center"/>
                </w:tcPr>
                <w:p w14:paraId="4B47F7F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617" w:type="pct"/>
                  <w:noWrap w:val="0"/>
                  <w:vAlign w:val="center"/>
                </w:tcPr>
                <w:p w14:paraId="3F03361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6.5</w:t>
                  </w:r>
                </w:p>
              </w:tc>
              <w:tc>
                <w:tcPr>
                  <w:tcW w:w="543" w:type="pct"/>
                  <w:noWrap w:val="0"/>
                  <w:vAlign w:val="center"/>
                </w:tcPr>
                <w:p w14:paraId="58FD063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+6.5</w:t>
                  </w:r>
                </w:p>
              </w:tc>
              <w:tc>
                <w:tcPr>
                  <w:tcW w:w="626" w:type="pct"/>
                  <w:vMerge w:val="continue"/>
                  <w:noWrap w:val="0"/>
                  <w:vAlign w:val="center"/>
                </w:tcPr>
                <w:p w14:paraId="3AF5FC6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0D34B3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60424EA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8</w:t>
                  </w:r>
                </w:p>
              </w:tc>
              <w:tc>
                <w:tcPr>
                  <w:tcW w:w="495" w:type="pct"/>
                  <w:vMerge w:val="continue"/>
                  <w:noWrap w:val="0"/>
                  <w:vAlign w:val="center"/>
                </w:tcPr>
                <w:p w14:paraId="75844EC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5BD29B1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宋体"/>
                      <w:b w:val="0"/>
                      <w:bCs w:val="0"/>
                      <w:color w:val="000000" w:themeColor="text1"/>
                      <w:szCs w:val="21"/>
                      <w:lang w:val="en-US" w:eastAsia="zh-CN"/>
                      <w14:textFill>
                        <w14:solidFill>
                          <w14:schemeClr w14:val="tx1"/>
                        </w14:solidFill>
                      </w14:textFill>
                    </w:rPr>
                    <w:t>无胶膜</w:t>
                  </w:r>
                </w:p>
              </w:tc>
              <w:tc>
                <w:tcPr>
                  <w:tcW w:w="687" w:type="pct"/>
                  <w:noWrap w:val="0"/>
                  <w:vAlign w:val="center"/>
                </w:tcPr>
                <w:p w14:paraId="48C3EB9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t/a</w:t>
                  </w:r>
                </w:p>
              </w:tc>
              <w:tc>
                <w:tcPr>
                  <w:tcW w:w="635" w:type="pct"/>
                  <w:noWrap w:val="0"/>
                  <w:vAlign w:val="center"/>
                </w:tcPr>
                <w:p w14:paraId="6DA1040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b w:val="0"/>
                      <w:bCs w:val="0"/>
                      <w:color w:val="000000" w:themeColor="text1"/>
                      <w:szCs w:val="21"/>
                      <w:lang w:val="en-US" w:eastAsia="zh-CN"/>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0</w:t>
                  </w:r>
                </w:p>
              </w:tc>
              <w:tc>
                <w:tcPr>
                  <w:tcW w:w="617" w:type="pct"/>
                  <w:noWrap w:val="0"/>
                  <w:vAlign w:val="center"/>
                </w:tcPr>
                <w:p w14:paraId="2D75870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54</w:t>
                  </w:r>
                </w:p>
              </w:tc>
              <w:tc>
                <w:tcPr>
                  <w:tcW w:w="543" w:type="pct"/>
                  <w:noWrap w:val="0"/>
                  <w:vAlign w:val="center"/>
                </w:tcPr>
                <w:p w14:paraId="5CB398A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b w:val="0"/>
                      <w:bCs w:val="0"/>
                      <w:color w:val="000000" w:themeColor="text1"/>
                      <w:szCs w:val="21"/>
                      <w:lang w:val="en-US" w:eastAsia="zh-CN"/>
                      <w14:textFill>
                        <w14:solidFill>
                          <w14:schemeClr w14:val="tx1"/>
                        </w14:solidFill>
                      </w14:textFill>
                    </w:rPr>
                    <w:t>+54</w:t>
                  </w:r>
                </w:p>
              </w:tc>
              <w:tc>
                <w:tcPr>
                  <w:tcW w:w="626" w:type="pct"/>
                  <w:vMerge w:val="continue"/>
                  <w:noWrap w:val="0"/>
                  <w:vAlign w:val="center"/>
                </w:tcPr>
                <w:p w14:paraId="0B08BD5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35C7B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2F92A18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9</w:t>
                  </w:r>
                </w:p>
              </w:tc>
              <w:tc>
                <w:tcPr>
                  <w:tcW w:w="495" w:type="pct"/>
                  <w:vMerge w:val="continue"/>
                  <w:noWrap w:val="0"/>
                  <w:vAlign w:val="center"/>
                </w:tcPr>
                <w:p w14:paraId="7550AAB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78EE618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宋体"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宋体"/>
                      <w:color w:val="000000" w:themeColor="text1"/>
                      <w:szCs w:val="21"/>
                      <w:lang w:val="en-US" w:eastAsia="zh-CN"/>
                      <w14:textFill>
                        <w14:solidFill>
                          <w14:schemeClr w14:val="tx1"/>
                        </w14:solidFill>
                      </w14:textFill>
                    </w:rPr>
                    <w:t>热熔胶</w:t>
                  </w:r>
                </w:p>
              </w:tc>
              <w:tc>
                <w:tcPr>
                  <w:tcW w:w="687" w:type="pct"/>
                  <w:noWrap w:val="0"/>
                  <w:vAlign w:val="center"/>
                </w:tcPr>
                <w:p w14:paraId="4C410D8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t/a</w:t>
                  </w:r>
                </w:p>
              </w:tc>
              <w:tc>
                <w:tcPr>
                  <w:tcW w:w="635" w:type="pct"/>
                  <w:noWrap w:val="0"/>
                  <w:vAlign w:val="center"/>
                </w:tcPr>
                <w:p w14:paraId="6FA5F22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617" w:type="pct"/>
                  <w:noWrap w:val="0"/>
                  <w:vAlign w:val="center"/>
                </w:tcPr>
                <w:p w14:paraId="2F7FA33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20</w:t>
                  </w:r>
                </w:p>
              </w:tc>
              <w:tc>
                <w:tcPr>
                  <w:tcW w:w="543" w:type="pct"/>
                  <w:noWrap w:val="0"/>
                  <w:vAlign w:val="center"/>
                </w:tcPr>
                <w:p w14:paraId="4FEF78C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+20</w:t>
                  </w:r>
                </w:p>
              </w:tc>
              <w:tc>
                <w:tcPr>
                  <w:tcW w:w="626" w:type="pct"/>
                  <w:vMerge w:val="continue"/>
                  <w:noWrap w:val="0"/>
                  <w:vAlign w:val="center"/>
                </w:tcPr>
                <w:p w14:paraId="4BF8A7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402BF5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30B8167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10</w:t>
                  </w:r>
                </w:p>
              </w:tc>
              <w:tc>
                <w:tcPr>
                  <w:tcW w:w="495" w:type="pct"/>
                  <w:vMerge w:val="continue"/>
                  <w:noWrap w:val="0"/>
                  <w:vAlign w:val="center"/>
                </w:tcPr>
                <w:p w14:paraId="7512CC2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6F6C4E9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水性胶</w:t>
                  </w:r>
                </w:p>
              </w:tc>
              <w:tc>
                <w:tcPr>
                  <w:tcW w:w="687" w:type="pct"/>
                  <w:noWrap w:val="0"/>
                  <w:vAlign w:val="center"/>
                </w:tcPr>
                <w:p w14:paraId="4F9A036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Kg/a</w:t>
                  </w:r>
                </w:p>
              </w:tc>
              <w:tc>
                <w:tcPr>
                  <w:tcW w:w="635" w:type="pct"/>
                  <w:noWrap w:val="0"/>
                  <w:vAlign w:val="center"/>
                </w:tcPr>
                <w:p w14:paraId="72105BC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1100</w:t>
                  </w:r>
                </w:p>
              </w:tc>
              <w:tc>
                <w:tcPr>
                  <w:tcW w:w="617" w:type="pct"/>
                  <w:noWrap w:val="0"/>
                  <w:vAlign w:val="center"/>
                </w:tcPr>
                <w:p w14:paraId="27E8656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1100</w:t>
                  </w:r>
                </w:p>
              </w:tc>
              <w:tc>
                <w:tcPr>
                  <w:tcW w:w="543" w:type="pct"/>
                  <w:noWrap w:val="0"/>
                  <w:vAlign w:val="center"/>
                </w:tcPr>
                <w:p w14:paraId="449334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26" w:type="pct"/>
                  <w:vMerge w:val="continue"/>
                  <w:noWrap w:val="0"/>
                  <w:vAlign w:val="center"/>
                </w:tcPr>
                <w:p w14:paraId="6396CDA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512658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0CCD0C2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11</w:t>
                  </w:r>
                </w:p>
              </w:tc>
              <w:tc>
                <w:tcPr>
                  <w:tcW w:w="495" w:type="pct"/>
                  <w:vMerge w:val="continue"/>
                  <w:noWrap w:val="0"/>
                  <w:vAlign w:val="center"/>
                </w:tcPr>
                <w:p w14:paraId="134ACAB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0391C29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胶印油墨</w:t>
                  </w:r>
                </w:p>
              </w:tc>
              <w:tc>
                <w:tcPr>
                  <w:tcW w:w="687" w:type="pct"/>
                  <w:noWrap w:val="0"/>
                  <w:vAlign w:val="center"/>
                </w:tcPr>
                <w:p w14:paraId="41CF0E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t/a</w:t>
                  </w:r>
                </w:p>
              </w:tc>
              <w:tc>
                <w:tcPr>
                  <w:tcW w:w="635" w:type="pct"/>
                  <w:noWrap w:val="0"/>
                  <w:vAlign w:val="center"/>
                </w:tcPr>
                <w:p w14:paraId="71E3A1F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617" w:type="pct"/>
                  <w:noWrap w:val="0"/>
                  <w:vAlign w:val="center"/>
                </w:tcPr>
                <w:p w14:paraId="1BA0878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4.5</w:t>
                  </w:r>
                </w:p>
              </w:tc>
              <w:tc>
                <w:tcPr>
                  <w:tcW w:w="543" w:type="pct"/>
                  <w:noWrap w:val="0"/>
                  <w:vAlign w:val="center"/>
                </w:tcPr>
                <w:p w14:paraId="5AFA84E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+4.5</w:t>
                  </w:r>
                </w:p>
              </w:tc>
              <w:tc>
                <w:tcPr>
                  <w:tcW w:w="626" w:type="pct"/>
                  <w:vMerge w:val="continue"/>
                  <w:noWrap w:val="0"/>
                  <w:vAlign w:val="center"/>
                </w:tcPr>
                <w:p w14:paraId="105719D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25DDDE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6E69748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12</w:t>
                  </w:r>
                </w:p>
              </w:tc>
              <w:tc>
                <w:tcPr>
                  <w:tcW w:w="495" w:type="pct"/>
                  <w:vMerge w:val="continue"/>
                  <w:noWrap w:val="0"/>
                  <w:vAlign w:val="center"/>
                </w:tcPr>
                <w:p w14:paraId="12AC3C6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0D92873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装订丝</w:t>
                  </w:r>
                </w:p>
              </w:tc>
              <w:tc>
                <w:tcPr>
                  <w:tcW w:w="687" w:type="pct"/>
                  <w:noWrap w:val="0"/>
                  <w:vAlign w:val="center"/>
                </w:tcPr>
                <w:p w14:paraId="65CD1497">
                  <w:pPr>
                    <w:keepNext w:val="0"/>
                    <w:keepLines w:val="0"/>
                    <w:pageBreakBefore w:val="0"/>
                    <w:widowControl/>
                    <w:suppressLineNumbers w:val="0"/>
                    <w:tabs>
                      <w:tab w:val="left" w:pos="259"/>
                    </w:tabs>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盘</w:t>
                  </w:r>
                  <w:r>
                    <w:rPr>
                      <w:rFonts w:hint="eastAsia"/>
                      <w:color w:val="000000" w:themeColor="text1"/>
                      <w14:textFill>
                        <w14:solidFill>
                          <w14:schemeClr w14:val="tx1"/>
                        </w14:solidFill>
                      </w14:textFill>
                    </w:rPr>
                    <w:t>/a</w:t>
                  </w:r>
                </w:p>
              </w:tc>
              <w:tc>
                <w:tcPr>
                  <w:tcW w:w="635" w:type="pct"/>
                  <w:noWrap w:val="0"/>
                  <w:vAlign w:val="center"/>
                </w:tcPr>
                <w:p w14:paraId="23109DA4">
                  <w:pPr>
                    <w:keepNext w:val="0"/>
                    <w:keepLines w:val="0"/>
                    <w:pageBreakBefore w:val="0"/>
                    <w:widowControl/>
                    <w:suppressLineNumbers w:val="0"/>
                    <w:tabs>
                      <w:tab w:val="left" w:pos="320"/>
                    </w:tabs>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110</w:t>
                  </w:r>
                </w:p>
              </w:tc>
              <w:tc>
                <w:tcPr>
                  <w:tcW w:w="617" w:type="pct"/>
                  <w:noWrap w:val="0"/>
                  <w:vAlign w:val="center"/>
                </w:tcPr>
                <w:p w14:paraId="71C96C0B">
                  <w:pPr>
                    <w:keepNext w:val="0"/>
                    <w:keepLines w:val="0"/>
                    <w:pageBreakBefore w:val="0"/>
                    <w:widowControl/>
                    <w:suppressLineNumbers w:val="0"/>
                    <w:tabs>
                      <w:tab w:val="left" w:pos="320"/>
                    </w:tabs>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90</w:t>
                  </w:r>
                </w:p>
              </w:tc>
              <w:tc>
                <w:tcPr>
                  <w:tcW w:w="543" w:type="pct"/>
                  <w:noWrap w:val="0"/>
                  <w:vAlign w:val="center"/>
                </w:tcPr>
                <w:p w14:paraId="23DA574C">
                  <w:pPr>
                    <w:keepNext w:val="0"/>
                    <w:keepLines w:val="0"/>
                    <w:pageBreakBefore w:val="0"/>
                    <w:widowControl/>
                    <w:suppressLineNumbers w:val="0"/>
                    <w:tabs>
                      <w:tab w:val="left" w:pos="320"/>
                    </w:tabs>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-20</w:t>
                  </w:r>
                </w:p>
              </w:tc>
              <w:tc>
                <w:tcPr>
                  <w:tcW w:w="626" w:type="pct"/>
                  <w:vMerge w:val="continue"/>
                  <w:noWrap w:val="0"/>
                  <w:vAlign w:val="center"/>
                </w:tcPr>
                <w:p w14:paraId="5F2269C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1C77E5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7803C06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13</w:t>
                  </w:r>
                </w:p>
              </w:tc>
              <w:tc>
                <w:tcPr>
                  <w:tcW w:w="495" w:type="pct"/>
                  <w:vMerge w:val="continue"/>
                  <w:noWrap w:val="0"/>
                  <w:vAlign w:val="center"/>
                </w:tcPr>
                <w:p w14:paraId="261A920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59E2104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收缩膜</w:t>
                  </w:r>
                </w:p>
              </w:tc>
              <w:tc>
                <w:tcPr>
                  <w:tcW w:w="687" w:type="pct"/>
                  <w:noWrap w:val="0"/>
                  <w:vAlign w:val="center"/>
                </w:tcPr>
                <w:p w14:paraId="1A0F08C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Kg/a</w:t>
                  </w:r>
                </w:p>
              </w:tc>
              <w:tc>
                <w:tcPr>
                  <w:tcW w:w="635" w:type="pct"/>
                  <w:noWrap w:val="0"/>
                  <w:vAlign w:val="center"/>
                </w:tcPr>
                <w:p w14:paraId="733C135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17" w:type="pct"/>
                  <w:noWrap w:val="0"/>
                  <w:vAlign w:val="center"/>
                </w:tcPr>
                <w:p w14:paraId="7B7AE4F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2000</w:t>
                  </w:r>
                </w:p>
              </w:tc>
              <w:tc>
                <w:tcPr>
                  <w:tcW w:w="543" w:type="pct"/>
                  <w:noWrap w:val="0"/>
                  <w:vAlign w:val="center"/>
                </w:tcPr>
                <w:p w14:paraId="24CA484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2000</w:t>
                  </w:r>
                </w:p>
              </w:tc>
              <w:tc>
                <w:tcPr>
                  <w:tcW w:w="626" w:type="pct"/>
                  <w:vMerge w:val="continue"/>
                  <w:noWrap w:val="0"/>
                  <w:vAlign w:val="center"/>
                </w:tcPr>
                <w:p w14:paraId="3C37BBA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5BAF58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1094147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14</w:t>
                  </w:r>
                </w:p>
              </w:tc>
              <w:tc>
                <w:tcPr>
                  <w:tcW w:w="495" w:type="pct"/>
                  <w:vMerge w:val="restart"/>
                  <w:noWrap w:val="0"/>
                  <w:vAlign w:val="center"/>
                </w:tcPr>
                <w:p w14:paraId="4D7E5CD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辅料</w:t>
                  </w:r>
                </w:p>
              </w:tc>
              <w:tc>
                <w:tcPr>
                  <w:tcW w:w="982" w:type="pct"/>
                  <w:noWrap w:val="0"/>
                  <w:vAlign w:val="center"/>
                </w:tcPr>
                <w:p w14:paraId="6707B60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纸箱</w:t>
                  </w:r>
                </w:p>
              </w:tc>
              <w:tc>
                <w:tcPr>
                  <w:tcW w:w="687" w:type="pct"/>
                  <w:noWrap w:val="0"/>
                  <w:vAlign w:val="center"/>
                </w:tcPr>
                <w:p w14:paraId="46750A4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个/a</w:t>
                  </w:r>
                </w:p>
              </w:tc>
              <w:tc>
                <w:tcPr>
                  <w:tcW w:w="635" w:type="pct"/>
                  <w:noWrap w:val="0"/>
                  <w:vAlign w:val="center"/>
                </w:tcPr>
                <w:p w14:paraId="51BDB44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17" w:type="pct"/>
                  <w:noWrap w:val="0"/>
                  <w:vAlign w:val="center"/>
                </w:tcPr>
                <w:p w14:paraId="4FFBF87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20000</w:t>
                  </w:r>
                </w:p>
              </w:tc>
              <w:tc>
                <w:tcPr>
                  <w:tcW w:w="543" w:type="pct"/>
                  <w:noWrap w:val="0"/>
                  <w:vAlign w:val="center"/>
                </w:tcPr>
                <w:p w14:paraId="07070E8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20000</w:t>
                  </w:r>
                </w:p>
              </w:tc>
              <w:tc>
                <w:tcPr>
                  <w:tcW w:w="626" w:type="pct"/>
                  <w:vMerge w:val="continue"/>
                  <w:noWrap w:val="0"/>
                  <w:vAlign w:val="center"/>
                </w:tcPr>
                <w:p w14:paraId="4116CC5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2C2B5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2EDD1C5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15</w:t>
                  </w:r>
                </w:p>
              </w:tc>
              <w:tc>
                <w:tcPr>
                  <w:tcW w:w="495" w:type="pct"/>
                  <w:vMerge w:val="continue"/>
                  <w:noWrap w:val="0"/>
                  <w:vAlign w:val="center"/>
                </w:tcPr>
                <w:p w14:paraId="7FE4F2B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5703546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清洗剂</w:t>
                  </w:r>
                </w:p>
              </w:tc>
              <w:tc>
                <w:tcPr>
                  <w:tcW w:w="687" w:type="pct"/>
                  <w:noWrap w:val="0"/>
                  <w:vAlign w:val="center"/>
                </w:tcPr>
                <w:p w14:paraId="76889E5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Kg/a</w:t>
                  </w:r>
                </w:p>
              </w:tc>
              <w:tc>
                <w:tcPr>
                  <w:tcW w:w="635" w:type="pct"/>
                  <w:noWrap w:val="0"/>
                  <w:vAlign w:val="center"/>
                </w:tcPr>
                <w:p w14:paraId="4D003EC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0</w:t>
                  </w:r>
                </w:p>
              </w:tc>
              <w:tc>
                <w:tcPr>
                  <w:tcW w:w="617" w:type="pct"/>
                  <w:noWrap w:val="0"/>
                  <w:vAlign w:val="center"/>
                </w:tcPr>
                <w:p w14:paraId="5E515F5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550</w:t>
                  </w:r>
                </w:p>
              </w:tc>
              <w:tc>
                <w:tcPr>
                  <w:tcW w:w="543" w:type="pct"/>
                  <w:noWrap w:val="0"/>
                  <w:vAlign w:val="center"/>
                </w:tcPr>
                <w:p w14:paraId="2234F37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+550</w:t>
                  </w:r>
                </w:p>
              </w:tc>
              <w:tc>
                <w:tcPr>
                  <w:tcW w:w="626" w:type="pct"/>
                  <w:vMerge w:val="continue"/>
                  <w:noWrap w:val="0"/>
                  <w:vAlign w:val="center"/>
                </w:tcPr>
                <w:p w14:paraId="4D6F5ED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3B8145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3CEE96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kern w:val="2"/>
                      <w:sz w:val="21"/>
                      <w:szCs w:val="21"/>
                      <w:lang w:val="en-US" w:eastAsia="zh-CN" w:bidi="ar"/>
                      <w14:textFill>
                        <w14:solidFill>
                          <w14:schemeClr w14:val="tx1"/>
                        </w14:solidFill>
                      </w14:textFill>
                    </w:rPr>
                    <w:t>16</w:t>
                  </w:r>
                </w:p>
              </w:tc>
              <w:tc>
                <w:tcPr>
                  <w:tcW w:w="495" w:type="pct"/>
                  <w:vMerge w:val="continue"/>
                  <w:noWrap w:val="0"/>
                  <w:vAlign w:val="center"/>
                </w:tcPr>
                <w:p w14:paraId="4C1955F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3EE9C34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擦机布</w:t>
                  </w:r>
                </w:p>
              </w:tc>
              <w:tc>
                <w:tcPr>
                  <w:tcW w:w="687" w:type="pct"/>
                  <w:noWrap w:val="0"/>
                  <w:vAlign w:val="center"/>
                </w:tcPr>
                <w:p w14:paraId="5282FDE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14:textFill>
                        <w14:solidFill>
                          <w14:schemeClr w14:val="tx1"/>
                        </w14:solidFill>
                      </w14:textFill>
                    </w:rPr>
                    <w:t>Kg/a</w:t>
                  </w:r>
                </w:p>
              </w:tc>
              <w:tc>
                <w:tcPr>
                  <w:tcW w:w="635" w:type="pct"/>
                  <w:noWrap w:val="0"/>
                  <w:vAlign w:val="center"/>
                </w:tcPr>
                <w:p w14:paraId="3FDA562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200</w:t>
                  </w:r>
                </w:p>
              </w:tc>
              <w:tc>
                <w:tcPr>
                  <w:tcW w:w="617" w:type="pct"/>
                  <w:noWrap w:val="0"/>
                  <w:vAlign w:val="center"/>
                </w:tcPr>
                <w:p w14:paraId="5730470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500</w:t>
                  </w:r>
                </w:p>
              </w:tc>
              <w:tc>
                <w:tcPr>
                  <w:tcW w:w="543" w:type="pct"/>
                  <w:noWrap w:val="0"/>
                  <w:vAlign w:val="center"/>
                </w:tcPr>
                <w:p w14:paraId="1EB9110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+300</w:t>
                  </w:r>
                </w:p>
              </w:tc>
              <w:tc>
                <w:tcPr>
                  <w:tcW w:w="626" w:type="pct"/>
                  <w:vMerge w:val="continue"/>
                  <w:noWrap w:val="0"/>
                  <w:vAlign w:val="center"/>
                </w:tcPr>
                <w:p w14:paraId="48C4CB2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6B711E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4B5B184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kern w:val="2"/>
                      <w:sz w:val="21"/>
                      <w:szCs w:val="21"/>
                      <w:lang w:val="en-US" w:eastAsia="zh-CN" w:bidi="ar"/>
                      <w14:textFill>
                        <w14:solidFill>
                          <w14:schemeClr w14:val="tx1"/>
                        </w14:solidFill>
                      </w14:textFill>
                    </w:rPr>
                    <w:t>17</w:t>
                  </w:r>
                </w:p>
              </w:tc>
              <w:tc>
                <w:tcPr>
                  <w:tcW w:w="495" w:type="pct"/>
                  <w:vMerge w:val="continue"/>
                  <w:noWrap w:val="0"/>
                  <w:vAlign w:val="center"/>
                </w:tcPr>
                <w:p w14:paraId="6733853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p>
              </w:tc>
              <w:tc>
                <w:tcPr>
                  <w:tcW w:w="982" w:type="pct"/>
                  <w:noWrap w:val="0"/>
                  <w:vAlign w:val="center"/>
                </w:tcPr>
                <w:p w14:paraId="18105B4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机油</w:t>
                  </w:r>
                </w:p>
              </w:tc>
              <w:tc>
                <w:tcPr>
                  <w:tcW w:w="687" w:type="pct"/>
                  <w:noWrap w:val="0"/>
                  <w:vAlign w:val="center"/>
                </w:tcPr>
                <w:p w14:paraId="7833432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olor w:val="000000" w:themeColor="text1"/>
                      <w14:textFill>
                        <w14:solidFill>
                          <w14:schemeClr w14:val="tx1"/>
                        </w14:solidFill>
                      </w14:textFill>
                    </w:rPr>
                  </w:pPr>
                  <w:r>
                    <w:rPr>
                      <w:rFonts w:hint="eastAsia"/>
                      <w:color w:val="000000" w:themeColor="text1"/>
                      <w:szCs w:val="21"/>
                      <w:lang w:val="en-US" w:eastAsia="zh-CN"/>
                      <w14:textFill>
                        <w14:solidFill>
                          <w14:schemeClr w14:val="tx1"/>
                        </w14:solidFill>
                      </w14:textFill>
                    </w:rPr>
                    <w:t>t/a</w:t>
                  </w:r>
                </w:p>
              </w:tc>
              <w:tc>
                <w:tcPr>
                  <w:tcW w:w="635" w:type="pct"/>
                  <w:noWrap w:val="0"/>
                  <w:vAlign w:val="center"/>
                </w:tcPr>
                <w:p w14:paraId="19E0E6F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0.3</w:t>
                  </w:r>
                </w:p>
              </w:tc>
              <w:tc>
                <w:tcPr>
                  <w:tcW w:w="617" w:type="pct"/>
                  <w:noWrap w:val="0"/>
                  <w:vAlign w:val="center"/>
                </w:tcPr>
                <w:p w14:paraId="56993B4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0.6</w:t>
                  </w:r>
                </w:p>
              </w:tc>
              <w:tc>
                <w:tcPr>
                  <w:tcW w:w="543" w:type="pct"/>
                  <w:noWrap w:val="0"/>
                  <w:vAlign w:val="center"/>
                </w:tcPr>
                <w:p w14:paraId="44DC28D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+0.3</w:t>
                  </w:r>
                </w:p>
              </w:tc>
              <w:tc>
                <w:tcPr>
                  <w:tcW w:w="626" w:type="pct"/>
                  <w:vMerge w:val="continue"/>
                  <w:noWrap w:val="0"/>
                  <w:vAlign w:val="center"/>
                </w:tcPr>
                <w:p w14:paraId="38F40C0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lang w:bidi="ar"/>
                      <w14:textFill>
                        <w14:solidFill>
                          <w14:schemeClr w14:val="tx1"/>
                        </w14:solidFill>
                      </w14:textFill>
                    </w:rPr>
                  </w:pPr>
                </w:p>
              </w:tc>
            </w:tr>
            <w:tr w14:paraId="616A2A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37A45B7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kern w:val="2"/>
                      <w:sz w:val="21"/>
                      <w:szCs w:val="21"/>
                      <w:lang w:val="en-US" w:eastAsia="zh-CN" w:bidi="ar"/>
                      <w14:textFill>
                        <w14:solidFill>
                          <w14:schemeClr w14:val="tx1"/>
                        </w14:solidFill>
                      </w14:textFill>
                    </w:rPr>
                    <w:t>18</w:t>
                  </w:r>
                </w:p>
              </w:tc>
              <w:tc>
                <w:tcPr>
                  <w:tcW w:w="495" w:type="pct"/>
                  <w:vMerge w:val="restart"/>
                  <w:noWrap w:val="0"/>
                  <w:vAlign w:val="center"/>
                </w:tcPr>
                <w:p w14:paraId="7A2227E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能源</w:t>
                  </w:r>
                </w:p>
              </w:tc>
              <w:tc>
                <w:tcPr>
                  <w:tcW w:w="982" w:type="pct"/>
                  <w:noWrap w:val="0"/>
                  <w:vAlign w:val="center"/>
                </w:tcPr>
                <w:p w14:paraId="339D95E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Cs w:val="21"/>
                      <w:lang w:bidi="ar"/>
                      <w14:textFill>
                        <w14:solidFill>
                          <w14:schemeClr w14:val="tx1"/>
                        </w14:solidFill>
                      </w14:textFill>
                    </w:rPr>
                  </w:pPr>
                  <w:r>
                    <w:rPr>
                      <w:rFonts w:hint="eastAsia" w:ascii="Times New Roman" w:hAnsi="Times New Roman" w:cs="Times New Roman"/>
                      <w:color w:val="000000" w:themeColor="text1"/>
                      <w:szCs w:val="21"/>
                      <w:lang w:bidi="ar"/>
                      <w14:textFill>
                        <w14:solidFill>
                          <w14:schemeClr w14:val="tx1"/>
                        </w14:solidFill>
                      </w14:textFill>
                    </w:rPr>
                    <w:t>水</w:t>
                  </w:r>
                </w:p>
              </w:tc>
              <w:tc>
                <w:tcPr>
                  <w:tcW w:w="687" w:type="pct"/>
                  <w:noWrap w:val="0"/>
                  <w:vAlign w:val="center"/>
                </w:tcPr>
                <w:p w14:paraId="53E7420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t/a</w:t>
                  </w:r>
                </w:p>
              </w:tc>
              <w:tc>
                <w:tcPr>
                  <w:tcW w:w="635" w:type="pct"/>
                  <w:noWrap w:val="0"/>
                  <w:vAlign w:val="center"/>
                </w:tcPr>
                <w:p w14:paraId="7722561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3014.5</w:t>
                  </w:r>
                </w:p>
              </w:tc>
              <w:tc>
                <w:tcPr>
                  <w:tcW w:w="617" w:type="pct"/>
                  <w:noWrap w:val="0"/>
                  <w:vAlign w:val="center"/>
                </w:tcPr>
                <w:p w14:paraId="7FECC30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4214.5</w:t>
                  </w:r>
                </w:p>
              </w:tc>
              <w:tc>
                <w:tcPr>
                  <w:tcW w:w="543" w:type="pct"/>
                  <w:noWrap w:val="0"/>
                  <w:vAlign w:val="center"/>
                </w:tcPr>
                <w:p w14:paraId="14CE7C2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+1200</w:t>
                  </w:r>
                </w:p>
              </w:tc>
              <w:tc>
                <w:tcPr>
                  <w:tcW w:w="626" w:type="pct"/>
                  <w:noWrap w:val="0"/>
                  <w:vAlign w:val="center"/>
                </w:tcPr>
                <w:p w14:paraId="6FD0D32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市政供水</w:t>
                  </w:r>
                </w:p>
              </w:tc>
            </w:tr>
            <w:tr w14:paraId="5F88DC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noWrap w:val="0"/>
                  <w:vAlign w:val="center"/>
                </w:tcPr>
                <w:p w14:paraId="08A1762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kern w:val="2"/>
                      <w:sz w:val="21"/>
                      <w:szCs w:val="21"/>
                      <w:lang w:val="en-US" w:eastAsia="zh-CN" w:bidi="ar"/>
                      <w14:textFill>
                        <w14:solidFill>
                          <w14:schemeClr w14:val="tx1"/>
                        </w14:solidFill>
                      </w14:textFill>
                    </w:rPr>
                    <w:t>19</w:t>
                  </w:r>
                </w:p>
              </w:tc>
              <w:tc>
                <w:tcPr>
                  <w:tcW w:w="495" w:type="pct"/>
                  <w:vMerge w:val="continue"/>
                  <w:noWrap w:val="0"/>
                  <w:vAlign w:val="center"/>
                </w:tcPr>
                <w:p w14:paraId="4C41C0D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cs="Times New Roman"/>
                      <w:color w:val="000000" w:themeColor="text1"/>
                      <w:szCs w:val="21"/>
                      <w:lang w:bidi="ar"/>
                      <w14:textFill>
                        <w14:solidFill>
                          <w14:schemeClr w14:val="tx1"/>
                        </w14:solidFill>
                      </w14:textFill>
                    </w:rPr>
                  </w:pPr>
                </w:p>
              </w:tc>
              <w:tc>
                <w:tcPr>
                  <w:tcW w:w="982" w:type="pct"/>
                  <w:noWrap w:val="0"/>
                  <w:vAlign w:val="center"/>
                </w:tcPr>
                <w:p w14:paraId="1E0C086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cs="Times New Roman"/>
                      <w:color w:val="000000" w:themeColor="text1"/>
                      <w:szCs w:val="21"/>
                      <w:lang w:bidi="ar"/>
                      <w14:textFill>
                        <w14:solidFill>
                          <w14:schemeClr w14:val="tx1"/>
                        </w14:solidFill>
                      </w14:textFill>
                    </w:rPr>
                  </w:pPr>
                  <w:r>
                    <w:rPr>
                      <w:rFonts w:hint="eastAsia" w:ascii="Times New Roman" w:hAnsi="Times New Roman" w:cs="Times New Roman"/>
                      <w:color w:val="000000" w:themeColor="text1"/>
                      <w:szCs w:val="21"/>
                      <w:lang w:bidi="ar"/>
                      <w14:textFill>
                        <w14:solidFill>
                          <w14:schemeClr w14:val="tx1"/>
                        </w14:solidFill>
                      </w14:textFill>
                    </w:rPr>
                    <w:t>电</w:t>
                  </w:r>
                </w:p>
              </w:tc>
              <w:tc>
                <w:tcPr>
                  <w:tcW w:w="687" w:type="pct"/>
                  <w:noWrap w:val="0"/>
                  <w:vAlign w:val="center"/>
                </w:tcPr>
                <w:p w14:paraId="1CDDCB5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Kwh/a</w:t>
                  </w:r>
                </w:p>
              </w:tc>
              <w:tc>
                <w:tcPr>
                  <w:tcW w:w="635" w:type="pct"/>
                  <w:noWrap w:val="0"/>
                  <w:vAlign w:val="center"/>
                </w:tcPr>
                <w:p w14:paraId="03DE0DD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50万</w:t>
                  </w:r>
                </w:p>
              </w:tc>
              <w:tc>
                <w:tcPr>
                  <w:tcW w:w="617" w:type="pct"/>
                  <w:noWrap w:val="0"/>
                  <w:vAlign w:val="center"/>
                </w:tcPr>
                <w:p w14:paraId="2E90677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110万</w:t>
                  </w:r>
                </w:p>
              </w:tc>
              <w:tc>
                <w:tcPr>
                  <w:tcW w:w="543" w:type="pct"/>
                  <w:noWrap w:val="0"/>
                  <w:vAlign w:val="center"/>
                </w:tcPr>
                <w:p w14:paraId="298BA1C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+60万</w:t>
                  </w:r>
                </w:p>
              </w:tc>
              <w:tc>
                <w:tcPr>
                  <w:tcW w:w="626" w:type="pct"/>
                  <w:noWrap w:val="0"/>
                  <w:vAlign w:val="center"/>
                </w:tcPr>
                <w:p w14:paraId="5503DDD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Cs w:val="21"/>
                      <w:lang w:val="en-US" w:eastAsia="zh-CN" w:bidi="ar"/>
                      <w14:textFill>
                        <w14:solidFill>
                          <w14:schemeClr w14:val="tx1"/>
                        </w14:solidFill>
                      </w14:textFill>
                    </w:rPr>
                  </w:pPr>
                  <w:r>
                    <w:rPr>
                      <w:rFonts w:hint="eastAsia" w:cs="Times New Roman"/>
                      <w:color w:val="000000" w:themeColor="text1"/>
                      <w:szCs w:val="21"/>
                      <w:lang w:val="en-US" w:eastAsia="zh-CN" w:bidi="ar"/>
                      <w14:textFill>
                        <w14:solidFill>
                          <w14:schemeClr w14:val="tx1"/>
                        </w14:solidFill>
                      </w14:textFill>
                    </w:rPr>
                    <w:t>市政供电</w:t>
                  </w:r>
                </w:p>
              </w:tc>
            </w:tr>
          </w:tbl>
          <w:p w14:paraId="493C0F90">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主要原辅料理化性质：</w:t>
            </w:r>
          </w:p>
          <w:p w14:paraId="1BC36338">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（1）</w:t>
            </w:r>
            <w:r>
              <w:rPr>
                <w:rFonts w:hint="eastAsia" w:cs="Times New Roman"/>
                <w:color w:val="auto"/>
                <w:sz w:val="24"/>
                <w:lang w:val="en-US" w:eastAsia="zh-CN"/>
              </w:rPr>
              <w:t>水性油墨：</w:t>
            </w:r>
            <w:r>
              <w:rPr>
                <w:rFonts w:hint="eastAsia" w:ascii="Times New Roman" w:hAnsi="Times New Roman" w:cs="Times New Roman"/>
                <w:color w:val="auto"/>
                <w:sz w:val="24"/>
                <w:lang w:val="en-US" w:eastAsia="zh-CN"/>
              </w:rPr>
              <w:t xml:space="preserve">本项目柔印工序过程中使用水性油墨作为原料，不含苯、甲苯和二甲苯。具有无毒、无刺激性气味、无腐蚀性、不易燃易爆，使用安全性好等特点。外观与性状：粘性液体；熔融点：/；沸点 95-100℃；闪点：&gt;60℃；燃烧性/自燃温度：水性溶液材料，不可燃。使用特点：对于笔记本线格类印刷产品，原墨兑水稀释使用，进一步降低气味产生。 </w:t>
            </w:r>
          </w:p>
          <w:p w14:paraId="43C4DAE4">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 xml:space="preserve">（2）胶印油墨：有色糊状液体，密度（25℃）：0.95~1.1，闪点&gt;130℃。 </w:t>
            </w:r>
          </w:p>
          <w:p w14:paraId="6212E78D">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（3）热溶胶：用于胶订工序，黄</w:t>
            </w:r>
            <w:r>
              <w:rPr>
                <w:rFonts w:hint="eastAsia" w:cs="Times New Roman"/>
                <w:color w:val="auto"/>
                <w:sz w:val="24"/>
                <w:lang w:val="en-US" w:eastAsia="zh-CN"/>
              </w:rPr>
              <w:t>白</w:t>
            </w:r>
            <w:r>
              <w:rPr>
                <w:rFonts w:hint="eastAsia" w:ascii="Times New Roman" w:hAnsi="Times New Roman" w:cs="Times New Roman"/>
                <w:color w:val="auto"/>
                <w:sz w:val="24"/>
                <w:lang w:val="en-US" w:eastAsia="zh-CN"/>
              </w:rPr>
              <w:t>色颗粒状固体，有轻微气味，软化点：73~80℃，密度（20℃）：0.98g/cm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，粘度：7200~8200mPa</w:t>
            </w:r>
            <w:r>
              <w:rPr>
                <w:rFonts w:hint="eastAsia" w:cs="Times New Roman"/>
                <w:color w:val="auto"/>
                <w:sz w:val="24"/>
                <w:lang w:val="en-US" w:eastAsia="zh-CN"/>
              </w:rPr>
              <w:t>，</w:t>
            </w:r>
            <w:r>
              <w:rPr>
                <w:rFonts w:hint="eastAsia" w:ascii="Times New Roman" w:hAnsi="Times New Roman" w:cs="Times New Roman"/>
                <w:color w:val="auto"/>
                <w:sz w:val="24"/>
                <w:lang w:val="en-US" w:eastAsia="zh-CN"/>
              </w:rPr>
              <w:t xml:space="preserve">主要成分为：EVA、树脂、石蜡。 </w:t>
            </w:r>
          </w:p>
          <w:p w14:paraId="25462F23">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（4）水性亮油：溶剂主要是水，含有少量乙醇，无色无味，流平性能非常好。</w:t>
            </w:r>
          </w:p>
          <w:p w14:paraId="066011B7">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6、平面布置</w:t>
            </w:r>
          </w:p>
          <w:p w14:paraId="35D24C6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本项目</w:t>
            </w:r>
            <w:r>
              <w:rPr>
                <w:rFonts w:hint="eastAsia" w:cs="Times New Roman"/>
                <w:bCs/>
                <w:color w:val="auto"/>
                <w:sz w:val="24"/>
                <w:lang w:val="en-US" w:eastAsia="zh-CN"/>
              </w:rPr>
              <w:t>五个车间位于厂区中心位置，原料库、成品库位于厂区南侧，办公楼、宿舍、食堂位于厂区北侧</w:t>
            </w:r>
            <w:r>
              <w:rPr>
                <w:rFonts w:hint="default" w:ascii="Times New Roman" w:hAnsi="Times New Roman" w:cs="Times New Roman"/>
                <w:bCs/>
                <w:color w:val="auto"/>
                <w:sz w:val="24"/>
              </w:rPr>
              <w:t>。本次扩建项目</w:t>
            </w:r>
            <w:r>
              <w:rPr>
                <w:rFonts w:hint="eastAsia" w:cs="Times New Roman"/>
                <w:bCs/>
                <w:color w:val="auto"/>
                <w:sz w:val="24"/>
                <w:lang w:val="en-US" w:eastAsia="zh-CN"/>
              </w:rPr>
              <w:t>利用原有厂房，更新设备及生产线</w:t>
            </w:r>
            <w:r>
              <w:rPr>
                <w:rFonts w:hint="default" w:ascii="Times New Roman" w:hAnsi="Times New Roman" w:cs="Times New Roman"/>
                <w:bCs/>
                <w:color w:val="auto"/>
                <w:sz w:val="24"/>
              </w:rPr>
              <w:t>，车间内部设备布置根据产品生产工艺流程、物流等合理布局，既满足生产又便于管理，设备排列合理、流畅、操作方便。平面布置功能分区明确，工艺流程顺畅，交通运输顺畅，生产区相对集中布置。从总体来看，项目总平面布置合理，具体平面布</w:t>
            </w:r>
            <w:r>
              <w:rPr>
                <w:rFonts w:hint="default" w:ascii="Times New Roman" w:hAnsi="Times New Roman" w:cs="Times New Roman"/>
                <w:color w:val="auto"/>
                <w:sz w:val="24"/>
              </w:rPr>
              <w:t>置见附图</w:t>
            </w:r>
            <w:r>
              <w:rPr>
                <w:rFonts w:hint="eastAsia" w:cs="Times New Roman"/>
                <w:color w:val="auto"/>
                <w:sz w:val="24"/>
                <w:lang w:val="en-US" w:eastAsia="zh-CN"/>
              </w:rPr>
              <w:t>3</w:t>
            </w:r>
            <w:r>
              <w:rPr>
                <w:rFonts w:hint="default" w:ascii="Times New Roman" w:hAnsi="Times New Roman" w:cs="Times New Roman"/>
                <w:color w:val="auto"/>
                <w:sz w:val="24"/>
              </w:rPr>
              <w:t>。</w:t>
            </w:r>
          </w:p>
          <w:p w14:paraId="262A513B">
            <w:pPr>
              <w:keepNext w:val="0"/>
              <w:keepLines w:val="0"/>
              <w:widowControl/>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7、劳动定员及工作制度</w:t>
            </w:r>
          </w:p>
          <w:p w14:paraId="1D59293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eastAsia" w:cs="Times New Roman"/>
                <w:bCs/>
                <w:color w:val="auto"/>
                <w:sz w:val="24"/>
                <w:lang w:val="en-US" w:eastAsia="zh-CN"/>
              </w:rPr>
              <w:t>企业原有工作人员100人，日工作21</w:t>
            </w:r>
            <w:r>
              <w:rPr>
                <w:rFonts w:hint="eastAsia" w:ascii="Times New Roman" w:hAnsi="Times New Roman" w:cs="Times New Roman"/>
                <w:bCs/>
                <w:color w:val="auto"/>
                <w:sz w:val="24"/>
                <w:lang w:val="en-US" w:eastAsia="zh-CN"/>
              </w:rPr>
              <w:t>小时</w:t>
            </w:r>
            <w:r>
              <w:rPr>
                <w:rFonts w:hint="eastAsia" w:cs="Times New Roman"/>
                <w:bCs/>
                <w:color w:val="auto"/>
                <w:sz w:val="24"/>
                <w:lang w:val="en-US" w:eastAsia="zh-CN"/>
              </w:rPr>
              <w:t>，两班制，年运行天数为240天，</w:t>
            </w:r>
            <w:r>
              <w:rPr>
                <w:rFonts w:hint="eastAsia" w:ascii="Times New Roman" w:hAnsi="Times New Roman" w:cs="Times New Roman"/>
                <w:bCs/>
                <w:color w:val="auto"/>
                <w:sz w:val="24"/>
                <w:lang w:val="en-US" w:eastAsia="zh-CN"/>
              </w:rPr>
              <w:t>本次改扩建项目新增劳动定员人数</w:t>
            </w:r>
            <w:r>
              <w:rPr>
                <w:rFonts w:hint="eastAsia" w:cs="Times New Roman"/>
                <w:bCs/>
                <w:color w:val="auto"/>
                <w:sz w:val="24"/>
                <w:lang w:val="en-US" w:eastAsia="zh-CN"/>
              </w:rPr>
              <w:t>4</w:t>
            </w:r>
            <w:r>
              <w:rPr>
                <w:rFonts w:hint="default" w:ascii="Times New Roman" w:hAnsi="Times New Roman" w:cs="Times New Roman"/>
                <w:bCs/>
                <w:color w:val="auto"/>
                <w:sz w:val="24"/>
                <w:lang w:val="en-US" w:eastAsia="zh-CN"/>
              </w:rPr>
              <w:t>0</w:t>
            </w:r>
            <w:r>
              <w:rPr>
                <w:rFonts w:hint="eastAsia" w:ascii="Times New Roman" w:hAnsi="Times New Roman" w:cs="Times New Roman"/>
                <w:bCs/>
                <w:color w:val="auto"/>
                <w:sz w:val="24"/>
                <w:lang w:val="en-US" w:eastAsia="zh-CN"/>
              </w:rPr>
              <w:t>人，</w:t>
            </w:r>
            <w:r>
              <w:rPr>
                <w:rFonts w:hint="eastAsia" w:cs="Times New Roman"/>
                <w:bCs/>
                <w:color w:val="auto"/>
                <w:sz w:val="24"/>
                <w:lang w:val="en-US" w:eastAsia="zh-CN"/>
              </w:rPr>
              <w:t>共计劳动定员140人，日工作21</w:t>
            </w:r>
            <w:r>
              <w:rPr>
                <w:rFonts w:hint="eastAsia" w:ascii="Times New Roman" w:hAnsi="Times New Roman" w:cs="Times New Roman"/>
                <w:bCs/>
                <w:color w:val="auto"/>
                <w:sz w:val="24"/>
                <w:lang w:val="en-US" w:eastAsia="zh-CN"/>
              </w:rPr>
              <w:t>小时</w:t>
            </w:r>
            <w:r>
              <w:rPr>
                <w:rFonts w:hint="eastAsia" w:cs="Times New Roman"/>
                <w:bCs/>
                <w:color w:val="auto"/>
                <w:sz w:val="24"/>
                <w:lang w:val="en-US" w:eastAsia="zh-CN"/>
              </w:rPr>
              <w:t>，两班制</w:t>
            </w:r>
            <w:r>
              <w:rPr>
                <w:rFonts w:hint="eastAsia" w:ascii="Times New Roman" w:hAnsi="Times New Roman" w:cs="Times New Roman"/>
                <w:bCs/>
                <w:color w:val="auto"/>
                <w:sz w:val="24"/>
                <w:lang w:val="en-US" w:eastAsia="zh-CN"/>
              </w:rPr>
              <w:t>，年运行天数为</w:t>
            </w:r>
            <w:r>
              <w:rPr>
                <w:rFonts w:hint="eastAsia" w:cs="Times New Roman"/>
                <w:bCs/>
                <w:color w:val="auto"/>
                <w:sz w:val="24"/>
                <w:lang w:val="en-US" w:eastAsia="zh-CN"/>
              </w:rPr>
              <w:t>300</w:t>
            </w:r>
            <w:r>
              <w:rPr>
                <w:rFonts w:hint="eastAsia" w:ascii="Times New Roman" w:hAnsi="Times New Roman" w:cs="Times New Roman"/>
                <w:bCs/>
                <w:color w:val="auto"/>
                <w:sz w:val="24"/>
                <w:lang w:val="en-US" w:eastAsia="zh-CN"/>
              </w:rPr>
              <w:t>天。</w:t>
            </w:r>
          </w:p>
          <w:p w14:paraId="540A218D">
            <w:pPr>
              <w:keepNext w:val="0"/>
              <w:keepLines w:val="0"/>
              <w:widowControl/>
              <w:numPr>
                <w:ilvl w:val="0"/>
                <w:numId w:val="8"/>
              </w:numPr>
              <w:suppressLineNumbers w:val="0"/>
              <w:spacing w:before="0" w:beforeAutospacing="0" w:after="0" w:afterAutospacing="0" w:line="360" w:lineRule="auto"/>
              <w:ind w:left="0" w:right="0"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给</w:t>
            </w:r>
            <w:r>
              <w:rPr>
                <w:rFonts w:hint="eastAsia" w:ascii="Times New Roman" w:hAnsi="Times New Roman" w:cs="Times New Roman"/>
                <w:b/>
                <w:color w:val="auto"/>
                <w:sz w:val="24"/>
              </w:rPr>
              <w:t>排</w:t>
            </w:r>
            <w:r>
              <w:rPr>
                <w:rFonts w:hint="default" w:ascii="Times New Roman" w:hAnsi="Times New Roman" w:cs="Times New Roman"/>
                <w:b/>
                <w:color w:val="auto"/>
                <w:sz w:val="24"/>
              </w:rPr>
              <w:t>水</w:t>
            </w:r>
          </w:p>
          <w:p w14:paraId="0390EB14">
            <w:pPr>
              <w:keepNext w:val="0"/>
              <w:keepLines w:val="0"/>
              <w:widowControl/>
              <w:suppressLineNumbers w:val="0"/>
              <w:spacing w:before="0" w:beforeAutospacing="0" w:after="0" w:afterAutospacing="0" w:line="360" w:lineRule="auto"/>
              <w:ind w:left="420" w:leftChars="200" w:right="0"/>
              <w:rPr>
                <w:rFonts w:hint="default" w:ascii="Times New Roman" w:hAnsi="Times New Roman" w:cs="Times New Roman"/>
                <w:b/>
                <w:color w:val="auto"/>
                <w:sz w:val="24"/>
              </w:rPr>
            </w:pPr>
            <w:r>
              <w:rPr>
                <w:rFonts w:hint="eastAsia" w:ascii="Times New Roman" w:hAnsi="Times New Roman" w:cs="Times New Roman"/>
                <w:b/>
                <w:color w:val="auto"/>
                <w:sz w:val="24"/>
              </w:rPr>
              <w:t>（1）给水</w:t>
            </w:r>
          </w:p>
          <w:p w14:paraId="10553344">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cs="Times New Roman"/>
                <w:bCs/>
                <w:color w:val="auto"/>
                <w:sz w:val="24"/>
                <w:lang w:val="en-US" w:eastAsia="zh-CN"/>
              </w:rPr>
              <w:t>企业原有工作人员100人，</w:t>
            </w:r>
            <w:r>
              <w:rPr>
                <w:rFonts w:hint="default" w:ascii="Times New Roman" w:hAnsi="Times New Roman" w:cs="Times New Roman"/>
                <w:bCs/>
                <w:color w:val="auto"/>
                <w:sz w:val="24"/>
              </w:rPr>
              <w:t>本项目新增工作人员</w:t>
            </w:r>
            <w:r>
              <w:rPr>
                <w:rFonts w:hint="eastAsia" w:cs="Times New Roman"/>
                <w:bCs/>
                <w:color w:val="auto"/>
                <w:sz w:val="24"/>
                <w:lang w:val="en-US" w:eastAsia="zh-CN"/>
              </w:rPr>
              <w:t>40人</w:t>
            </w:r>
            <w:r>
              <w:rPr>
                <w:rFonts w:hint="default" w:ascii="Times New Roman" w:hAnsi="Times New Roman" w:cs="Times New Roman"/>
                <w:bCs/>
                <w:color w:val="auto"/>
                <w:sz w:val="24"/>
              </w:rPr>
              <w:t>，</w:t>
            </w:r>
            <w:r>
              <w:rPr>
                <w:rFonts w:hint="eastAsia" w:ascii="Times New Roman" w:hAnsi="Times New Roman" w:cs="Times New Roman"/>
                <w:bCs/>
                <w:color w:val="auto"/>
                <w:sz w:val="24"/>
              </w:rPr>
              <w:t>本</w:t>
            </w:r>
            <w:r>
              <w:rPr>
                <w:rFonts w:hint="default" w:ascii="Times New Roman" w:hAnsi="Times New Roman" w:cs="Times New Roman"/>
                <w:bCs/>
                <w:color w:val="auto"/>
                <w:sz w:val="24"/>
              </w:rPr>
              <w:t>项目用水主要为</w:t>
            </w:r>
            <w:r>
              <w:rPr>
                <w:rFonts w:hint="eastAsia" w:cs="Times New Roman"/>
                <w:bCs/>
                <w:color w:val="auto"/>
                <w:sz w:val="24"/>
                <w:lang w:val="en-US" w:eastAsia="zh-CN"/>
              </w:rPr>
              <w:t>生活用水、</w:t>
            </w:r>
            <w:r>
              <w:rPr>
                <w:rFonts w:hint="eastAsia" w:ascii="Times New Roman" w:hAnsi="Times New Roman" w:cs="Times New Roman"/>
                <w:bCs/>
                <w:color w:val="auto"/>
                <w:sz w:val="24"/>
              </w:rPr>
              <w:t>生产用水</w:t>
            </w:r>
            <w:r>
              <w:rPr>
                <w:rFonts w:hint="default" w:ascii="Times New Roman" w:hAnsi="Times New Roman" w:cs="Times New Roman"/>
                <w:bCs/>
                <w:color w:val="auto"/>
                <w:sz w:val="24"/>
              </w:rPr>
              <w:t>。用水来源为</w:t>
            </w:r>
            <w:r>
              <w:rPr>
                <w:rFonts w:hint="eastAsia" w:cs="Times New Roman"/>
                <w:bCs/>
                <w:color w:val="auto"/>
                <w:sz w:val="24"/>
                <w:lang w:val="en-US" w:eastAsia="zh-CN"/>
              </w:rPr>
              <w:t>市政供水</w:t>
            </w:r>
            <w:r>
              <w:rPr>
                <w:rFonts w:hint="default" w:ascii="Times New Roman" w:hAnsi="Times New Roman" w:cs="Times New Roman"/>
                <w:bCs/>
                <w:color w:val="auto"/>
                <w:sz w:val="24"/>
              </w:rPr>
              <w:t>。</w:t>
            </w:r>
          </w:p>
          <w:p w14:paraId="124167D0">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bCs/>
                <w:color w:val="auto"/>
                <w:sz w:val="24"/>
                <w:lang w:val="en-US" w:eastAsia="zh-CN"/>
              </w:rPr>
            </w:pPr>
            <w:r>
              <w:rPr>
                <w:rFonts w:hint="eastAsia" w:ascii="Times New Roman" w:hAnsi="Times New Roman" w:cs="Times New Roman"/>
                <w:bCs/>
                <w:color w:val="auto"/>
                <w:sz w:val="24"/>
                <w:lang w:val="en-US" w:eastAsia="zh-CN"/>
              </w:rPr>
              <w:t>①</w:t>
            </w:r>
            <w:r>
              <w:rPr>
                <w:rFonts w:hint="eastAsia" w:cs="Times New Roman"/>
                <w:bCs/>
                <w:color w:val="auto"/>
                <w:sz w:val="24"/>
                <w:lang w:val="en-US" w:eastAsia="zh-CN"/>
              </w:rPr>
              <w:t>生活</w:t>
            </w:r>
            <w:r>
              <w:rPr>
                <w:rFonts w:hint="eastAsia" w:ascii="Times New Roman" w:hAnsi="Times New Roman" w:cs="Times New Roman"/>
                <w:bCs/>
                <w:color w:val="auto"/>
                <w:sz w:val="24"/>
                <w:lang w:val="en-US" w:eastAsia="zh-CN"/>
              </w:rPr>
              <w:t>用水：本项目员工</w:t>
            </w:r>
            <w:r>
              <w:rPr>
                <w:rFonts w:hint="eastAsia" w:cs="Times New Roman"/>
                <w:bCs/>
                <w:color w:val="auto"/>
                <w:sz w:val="24"/>
                <w:lang w:val="en-US" w:eastAsia="zh-CN"/>
              </w:rPr>
              <w:t>40</w:t>
            </w:r>
            <w:r>
              <w:rPr>
                <w:rFonts w:hint="eastAsia" w:ascii="Times New Roman" w:hAnsi="Times New Roman" w:cs="Times New Roman"/>
                <w:bCs/>
                <w:color w:val="auto"/>
                <w:sz w:val="24"/>
                <w:lang w:val="en-US" w:eastAsia="zh-CN"/>
              </w:rPr>
              <w:t>人，年工作</w:t>
            </w:r>
            <w:r>
              <w:rPr>
                <w:rFonts w:hint="eastAsia" w:cs="Times New Roman"/>
                <w:bCs/>
                <w:color w:val="auto"/>
                <w:sz w:val="24"/>
                <w:lang w:val="en-US" w:eastAsia="zh-CN"/>
              </w:rPr>
              <w:t>300</w:t>
            </w:r>
            <w:r>
              <w:rPr>
                <w:rFonts w:hint="eastAsia" w:ascii="Times New Roman" w:hAnsi="Times New Roman" w:cs="Times New Roman"/>
                <w:bCs/>
                <w:color w:val="auto"/>
                <w:sz w:val="24"/>
                <w:lang w:val="en-US" w:eastAsia="zh-CN"/>
              </w:rPr>
              <w:t>天，本项目为员工提供</w:t>
            </w:r>
            <w:r>
              <w:rPr>
                <w:rFonts w:hint="eastAsia" w:cs="Times New Roman"/>
                <w:bCs/>
                <w:color w:val="auto"/>
                <w:sz w:val="24"/>
                <w:lang w:val="en-US" w:eastAsia="zh-CN"/>
              </w:rPr>
              <w:t>食宿</w:t>
            </w:r>
            <w:r>
              <w:rPr>
                <w:rFonts w:hint="eastAsia" w:ascii="Times New Roman" w:hAnsi="Times New Roman" w:cs="Times New Roman"/>
                <w:bCs/>
                <w:color w:val="auto"/>
                <w:sz w:val="24"/>
                <w:lang w:val="en-US" w:eastAsia="zh-CN"/>
              </w:rPr>
              <w:t>，根据陕西省《行业用水定额》（DB61/T943-2020）表B.1，职工生活用水按1</w:t>
            </w:r>
            <w:r>
              <w:rPr>
                <w:rFonts w:hint="eastAsia" w:cs="Times New Roman"/>
                <w:bCs/>
                <w:color w:val="auto"/>
                <w:sz w:val="24"/>
                <w:lang w:val="en-US" w:eastAsia="zh-CN"/>
              </w:rPr>
              <w:t>0</w:t>
            </w:r>
            <w:r>
              <w:rPr>
                <w:rFonts w:hint="eastAsia" w:ascii="Times New Roman" w:hAnsi="Times New Roman" w:cs="Times New Roman"/>
                <w:bCs/>
                <w:color w:val="auto"/>
                <w:sz w:val="24"/>
                <w:lang w:val="en-US" w:eastAsia="zh-CN"/>
              </w:rPr>
              <w:t>0</w:t>
            </w:r>
            <w:r>
              <w:rPr>
                <w:rFonts w:hint="eastAsia" w:cs="Times New Roman"/>
                <w:bCs/>
                <w:color w:val="auto"/>
                <w:sz w:val="24"/>
                <w:lang w:val="en-US" w:eastAsia="zh-CN"/>
              </w:rPr>
              <w:t>L</w:t>
            </w:r>
            <w:r>
              <w:rPr>
                <w:rFonts w:hint="eastAsia" w:ascii="Times New Roman" w:hAnsi="Times New Roman" w:cs="Times New Roman"/>
                <w:bCs/>
                <w:color w:val="auto"/>
                <w:sz w:val="24"/>
                <w:lang w:val="en-US" w:eastAsia="zh-CN"/>
              </w:rPr>
              <w:t>/人</w:t>
            </w:r>
            <w:r>
              <w:rPr>
                <w:rFonts w:hint="eastAsia" w:cs="Times New Roman"/>
                <w:bCs/>
                <w:color w:val="auto"/>
                <w:sz w:val="24"/>
                <w:lang w:val="en-US" w:eastAsia="zh-CN"/>
              </w:rPr>
              <w:t>·</w:t>
            </w:r>
            <w:r>
              <w:rPr>
                <w:rFonts w:hint="eastAsia" w:ascii="Times New Roman" w:hAnsi="Times New Roman" w:cs="Times New Roman"/>
                <w:bCs/>
                <w:color w:val="auto"/>
                <w:sz w:val="24"/>
                <w:lang w:val="en-US" w:eastAsia="zh-CN"/>
              </w:rPr>
              <w:t>d</w:t>
            </w:r>
            <w:r>
              <w:rPr>
                <w:rFonts w:hint="default" w:ascii="Times New Roman" w:hAnsi="Times New Roman" w:cs="Times New Roman"/>
                <w:bCs/>
                <w:color w:val="auto"/>
                <w:sz w:val="24"/>
                <w:lang w:val="en-US" w:eastAsia="zh-CN"/>
              </w:rPr>
              <w:t>，</w:t>
            </w:r>
            <w:r>
              <w:rPr>
                <w:rFonts w:hint="eastAsia" w:ascii="Times New Roman" w:hAnsi="Times New Roman" w:cs="Times New Roman"/>
                <w:color w:val="auto"/>
                <w:sz w:val="24"/>
                <w:szCs w:val="32"/>
              </w:rPr>
              <w:t>则项目生活用水总量为</w:t>
            </w:r>
            <w:r>
              <w:rPr>
                <w:rFonts w:hint="eastAsia" w:ascii="Times New Roman" w:hAnsi="Times New Roman" w:cs="Times New Roman"/>
                <w:color w:val="auto"/>
                <w:sz w:val="24"/>
                <w:szCs w:val="32"/>
                <w:lang w:val="en-US" w:eastAsia="zh-CN"/>
              </w:rPr>
              <w:t>4</w:t>
            </w:r>
            <w:r>
              <w:rPr>
                <w:rFonts w:hint="eastAsia" w:ascii="Times New Roman" w:hAnsi="Times New Roman" w:cs="Times New Roman"/>
                <w:color w:val="auto"/>
                <w:sz w:val="24"/>
                <w:szCs w:val="32"/>
              </w:rPr>
              <w:t>m</w:t>
            </w:r>
            <w:r>
              <w:rPr>
                <w:rFonts w:hint="eastAsia" w:ascii="Times New Roman" w:hAnsi="Times New Roman" w:cs="Times New Roman"/>
                <w:color w:val="auto"/>
                <w:sz w:val="24"/>
                <w:szCs w:val="32"/>
                <w:vertAlign w:val="superscript"/>
              </w:rPr>
              <w:t>3</w:t>
            </w:r>
            <w:r>
              <w:rPr>
                <w:rFonts w:hint="eastAsia" w:ascii="Times New Roman" w:hAnsi="Times New Roman" w:cs="Times New Roman"/>
                <w:color w:val="auto"/>
                <w:sz w:val="24"/>
                <w:szCs w:val="32"/>
              </w:rPr>
              <w:t>/d</w:t>
            </w: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1200</w:t>
            </w:r>
            <w:r>
              <w:rPr>
                <w:rFonts w:hint="eastAsia" w:ascii="Times New Roman" w:hAnsi="Times New Roman" w:cs="Times New Roman"/>
                <w:color w:val="auto"/>
                <w:sz w:val="24"/>
                <w:szCs w:val="32"/>
              </w:rPr>
              <w:t>m</w:t>
            </w:r>
            <w:r>
              <w:rPr>
                <w:rFonts w:hint="eastAsia" w:ascii="Times New Roman" w:hAnsi="Times New Roman" w:cs="Times New Roman"/>
                <w:color w:val="auto"/>
                <w:sz w:val="24"/>
                <w:szCs w:val="32"/>
                <w:vertAlign w:val="superscript"/>
              </w:rPr>
              <w:t>3</w:t>
            </w:r>
            <w:r>
              <w:rPr>
                <w:rFonts w:hint="eastAsia" w:ascii="Times New Roman" w:hAnsi="Times New Roman" w:cs="Times New Roman"/>
                <w:color w:val="auto"/>
                <w:sz w:val="24"/>
                <w:szCs w:val="32"/>
              </w:rPr>
              <w:t>/a。</w:t>
            </w:r>
          </w:p>
          <w:p w14:paraId="72E1787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lang w:val="en-US" w:eastAsia="zh-CN"/>
              </w:rPr>
            </w:pPr>
            <w:r>
              <w:rPr>
                <w:rFonts w:hint="default" w:ascii="Times New Roman" w:hAnsi="Times New Roman" w:cs="Times New Roman"/>
                <w:bCs/>
                <w:color w:val="auto"/>
                <w:sz w:val="24"/>
                <w:lang w:val="en-US" w:eastAsia="zh-CN"/>
              </w:rPr>
              <w:t xml:space="preserve">项目生产用水为印刷过程中水性油墨的稀释用水及印刷机清洗用水。 </w:t>
            </w:r>
          </w:p>
          <w:p w14:paraId="3FD415A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lang w:val="en-US" w:eastAsia="zh-CN"/>
              </w:rPr>
            </w:pPr>
            <w:r>
              <w:rPr>
                <w:rFonts w:hint="eastAsia" w:ascii="Times New Roman" w:hAnsi="Times New Roman" w:cs="Times New Roman"/>
                <w:bCs/>
                <w:color w:val="auto"/>
                <w:sz w:val="24"/>
                <w:lang w:val="en-US" w:eastAsia="zh-CN"/>
              </w:rPr>
              <w:t>②</w:t>
            </w:r>
            <w:r>
              <w:rPr>
                <w:rFonts w:hint="default" w:ascii="Times New Roman" w:hAnsi="Times New Roman" w:cs="Times New Roman"/>
                <w:bCs/>
                <w:color w:val="auto"/>
                <w:sz w:val="24"/>
                <w:lang w:val="en-US" w:eastAsia="zh-CN"/>
              </w:rPr>
              <w:t>水性油墨稀释用水：纸张线条印刷过程中使用的水性油墨必须每公斤勾兑1.5-2倍水来降低粘度，以达到更好的使用效果。水性油墨使用量为</w:t>
            </w:r>
            <w:r>
              <w:rPr>
                <w:rFonts w:hint="eastAsia" w:cs="Times New Roman"/>
                <w:bCs/>
                <w:color w:val="auto"/>
                <w:sz w:val="24"/>
                <w:lang w:val="en-US" w:eastAsia="zh-CN"/>
              </w:rPr>
              <w:t>7</w:t>
            </w:r>
            <w:r>
              <w:rPr>
                <w:rFonts w:hint="default" w:ascii="Times New Roman" w:hAnsi="Times New Roman" w:cs="Times New Roman"/>
                <w:bCs/>
                <w:color w:val="auto"/>
                <w:sz w:val="24"/>
                <w:lang w:val="en-US" w:eastAsia="zh-CN"/>
              </w:rPr>
              <w:t>t/a，按2倍水稀释计算，水性油墨稀释用水量为</w:t>
            </w:r>
            <w:r>
              <w:rPr>
                <w:rFonts w:hint="eastAsia" w:cs="Times New Roman"/>
                <w:bCs/>
                <w:color w:val="auto"/>
                <w:sz w:val="24"/>
                <w:lang w:val="en-US" w:eastAsia="zh-CN"/>
              </w:rPr>
              <w:t>0.047</w:t>
            </w:r>
            <w:r>
              <w:rPr>
                <w:rFonts w:hint="eastAsia" w:ascii="Times New Roman" w:hAnsi="Times New Roman" w:cs="Times New Roman"/>
                <w:bCs/>
                <w:color w:val="auto"/>
                <w:sz w:val="24"/>
                <w:lang w:val="en-US" w:eastAsia="zh-CN"/>
              </w:rPr>
              <w:t>m</w:t>
            </w:r>
            <w:r>
              <w:rPr>
                <w:rFonts w:hint="eastAsia" w:ascii="Times New Roman" w:hAnsi="Times New Roman" w:cs="Times New Roman"/>
                <w:bCs/>
                <w:color w:val="auto"/>
                <w:sz w:val="24"/>
                <w:vertAlign w:val="superscript"/>
                <w:lang w:val="en-US" w:eastAsia="zh-CN"/>
              </w:rPr>
              <w:t>3</w:t>
            </w:r>
            <w:r>
              <w:rPr>
                <w:rFonts w:hint="eastAsia" w:ascii="Times New Roman" w:hAnsi="Times New Roman" w:cs="Times New Roman"/>
                <w:bCs/>
                <w:color w:val="auto"/>
                <w:sz w:val="24"/>
                <w:lang w:val="en-US" w:eastAsia="zh-CN"/>
              </w:rPr>
              <w:t>/d</w:t>
            </w:r>
            <w:r>
              <w:rPr>
                <w:rFonts w:hint="default" w:ascii="Times New Roman" w:hAnsi="Times New Roman" w:cs="Times New Roman"/>
                <w:bCs/>
                <w:color w:val="auto"/>
                <w:sz w:val="24"/>
                <w:lang w:val="en-US" w:eastAsia="zh-CN"/>
              </w:rPr>
              <w:t>（</w:t>
            </w:r>
            <w:r>
              <w:rPr>
                <w:rFonts w:hint="eastAsia" w:cs="Times New Roman"/>
                <w:bCs/>
                <w:color w:val="auto"/>
                <w:sz w:val="24"/>
                <w:lang w:val="en-US" w:eastAsia="zh-CN"/>
              </w:rPr>
              <w:t>14</w:t>
            </w:r>
            <w:r>
              <w:rPr>
                <w:rFonts w:hint="default" w:ascii="Times New Roman" w:hAnsi="Times New Roman" w:cs="Times New Roman"/>
                <w:bCs/>
                <w:color w:val="auto"/>
                <w:sz w:val="24"/>
                <w:lang w:val="en-US" w:eastAsia="zh-CN"/>
              </w:rPr>
              <w:t>m</w:t>
            </w:r>
            <w:r>
              <w:rPr>
                <w:rFonts w:hint="default" w:ascii="Times New Roman" w:hAnsi="Times New Roman" w:cs="Times New Roman"/>
                <w:bCs/>
                <w:color w:val="auto"/>
                <w:sz w:val="24"/>
                <w:vertAlign w:val="superscript"/>
                <w:lang w:val="en-US" w:eastAsia="zh-CN"/>
              </w:rPr>
              <w:t>3</w:t>
            </w:r>
            <w:r>
              <w:rPr>
                <w:rFonts w:hint="default" w:ascii="Times New Roman" w:hAnsi="Times New Roman" w:cs="Times New Roman"/>
                <w:bCs/>
                <w:color w:val="auto"/>
                <w:sz w:val="24"/>
                <w:lang w:val="en-US" w:eastAsia="zh-CN"/>
              </w:rPr>
              <w:t xml:space="preserve">/a）； </w:t>
            </w:r>
            <w:r>
              <w:rPr>
                <w:rFonts w:hint="eastAsia" w:cs="Times New Roman"/>
                <w:bCs/>
                <w:color w:val="auto"/>
                <w:sz w:val="24"/>
                <w:lang w:val="en-US" w:eastAsia="zh-CN"/>
              </w:rPr>
              <w:t>其中新鲜水用量为4.5</w:t>
            </w:r>
            <w:r>
              <w:rPr>
                <w:rFonts w:hint="default" w:ascii="Times New Roman" w:hAnsi="Times New Roman" w:cs="Times New Roman"/>
                <w:bCs/>
                <w:color w:val="auto"/>
                <w:sz w:val="24"/>
                <w:lang w:val="en-US" w:eastAsia="zh-CN"/>
              </w:rPr>
              <w:t>m</w:t>
            </w:r>
            <w:r>
              <w:rPr>
                <w:rFonts w:hint="default" w:ascii="Times New Roman" w:hAnsi="Times New Roman" w:cs="Times New Roman"/>
                <w:bCs/>
                <w:color w:val="auto"/>
                <w:sz w:val="24"/>
                <w:vertAlign w:val="superscript"/>
                <w:lang w:val="en-US" w:eastAsia="zh-CN"/>
              </w:rPr>
              <w:t>3</w:t>
            </w:r>
            <w:r>
              <w:rPr>
                <w:rFonts w:hint="default" w:ascii="Times New Roman" w:hAnsi="Times New Roman" w:cs="Times New Roman"/>
                <w:bCs/>
                <w:color w:val="auto"/>
                <w:sz w:val="24"/>
                <w:lang w:val="en-US" w:eastAsia="zh-CN"/>
              </w:rPr>
              <w:t>/a</w:t>
            </w:r>
            <w:r>
              <w:rPr>
                <w:rFonts w:hint="eastAsia" w:cs="Times New Roman"/>
                <w:bCs/>
                <w:color w:val="auto"/>
                <w:sz w:val="24"/>
                <w:lang w:val="en-US" w:eastAsia="zh-CN"/>
              </w:rPr>
              <w:t>，剩余9.5</w:t>
            </w:r>
            <w:r>
              <w:rPr>
                <w:rFonts w:hint="default" w:ascii="Times New Roman" w:hAnsi="Times New Roman" w:cs="Times New Roman"/>
                <w:bCs/>
                <w:color w:val="auto"/>
                <w:sz w:val="24"/>
                <w:lang w:val="en-US" w:eastAsia="zh-CN"/>
              </w:rPr>
              <w:t>m</w:t>
            </w:r>
            <w:r>
              <w:rPr>
                <w:rFonts w:hint="default" w:ascii="Times New Roman" w:hAnsi="Times New Roman" w:cs="Times New Roman"/>
                <w:bCs/>
                <w:color w:val="auto"/>
                <w:sz w:val="24"/>
                <w:vertAlign w:val="superscript"/>
                <w:lang w:val="en-US" w:eastAsia="zh-CN"/>
              </w:rPr>
              <w:t>3</w:t>
            </w:r>
            <w:r>
              <w:rPr>
                <w:rFonts w:hint="default" w:ascii="Times New Roman" w:hAnsi="Times New Roman" w:cs="Times New Roman"/>
                <w:bCs/>
                <w:color w:val="auto"/>
                <w:sz w:val="24"/>
                <w:lang w:val="en-US" w:eastAsia="zh-CN"/>
              </w:rPr>
              <w:t>/a</w:t>
            </w:r>
            <w:r>
              <w:rPr>
                <w:rFonts w:hint="eastAsia" w:cs="Times New Roman"/>
                <w:bCs/>
                <w:color w:val="auto"/>
                <w:sz w:val="24"/>
                <w:lang w:val="en-US" w:eastAsia="zh-CN"/>
              </w:rPr>
              <w:t>为清洗废水回用。</w:t>
            </w:r>
          </w:p>
          <w:p w14:paraId="4BAB734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lang w:val="en-US" w:eastAsia="zh-CN"/>
              </w:rPr>
            </w:pPr>
            <w:r>
              <w:rPr>
                <w:rFonts w:hint="default" w:ascii="Times New Roman" w:hAnsi="Times New Roman" w:cs="Times New Roman"/>
                <w:bCs/>
                <w:color w:val="auto"/>
                <w:sz w:val="24"/>
                <w:lang w:val="en-US" w:eastAsia="zh-CN"/>
              </w:rPr>
              <w:t>③印刷机清洗用水：据建设单位提供资料，本项目设备清洗用水量为</w:t>
            </w:r>
            <w:r>
              <w:rPr>
                <w:rFonts w:hint="eastAsia" w:cs="Times New Roman"/>
                <w:bCs/>
                <w:color w:val="auto"/>
                <w:sz w:val="24"/>
                <w:lang w:val="en-US" w:eastAsia="zh-CN"/>
              </w:rPr>
              <w:t>0.033</w:t>
            </w:r>
            <w:r>
              <w:rPr>
                <w:rFonts w:hint="eastAsia" w:ascii="Times New Roman" w:hAnsi="Times New Roman" w:cs="Times New Roman"/>
                <w:bCs/>
                <w:color w:val="auto"/>
                <w:sz w:val="24"/>
                <w:lang w:val="en-US" w:eastAsia="zh-CN"/>
              </w:rPr>
              <w:t>m</w:t>
            </w:r>
            <w:r>
              <w:rPr>
                <w:rFonts w:hint="eastAsia" w:ascii="Times New Roman" w:hAnsi="Times New Roman" w:cs="Times New Roman"/>
                <w:bCs/>
                <w:color w:val="auto"/>
                <w:sz w:val="24"/>
                <w:vertAlign w:val="superscript"/>
                <w:lang w:val="en-US" w:eastAsia="zh-CN"/>
              </w:rPr>
              <w:t>3</w:t>
            </w:r>
            <w:r>
              <w:rPr>
                <w:rFonts w:hint="eastAsia" w:ascii="Times New Roman" w:hAnsi="Times New Roman" w:cs="Times New Roman"/>
                <w:bCs/>
                <w:color w:val="auto"/>
                <w:sz w:val="24"/>
                <w:lang w:val="en-US" w:eastAsia="zh-CN"/>
              </w:rPr>
              <w:t>/d</w:t>
            </w:r>
            <w:r>
              <w:rPr>
                <w:rFonts w:hint="default" w:ascii="Times New Roman" w:hAnsi="Times New Roman" w:cs="Times New Roman"/>
                <w:bCs/>
                <w:color w:val="auto"/>
                <w:sz w:val="24"/>
                <w:lang w:val="en-US" w:eastAsia="zh-CN"/>
              </w:rPr>
              <w:t>（</w:t>
            </w:r>
            <w:r>
              <w:rPr>
                <w:rFonts w:hint="eastAsia" w:cs="Times New Roman"/>
                <w:bCs/>
                <w:color w:val="auto"/>
                <w:sz w:val="24"/>
                <w:lang w:val="en-US" w:eastAsia="zh-CN"/>
              </w:rPr>
              <w:t>1</w:t>
            </w:r>
            <w:r>
              <w:rPr>
                <w:rFonts w:hint="default" w:ascii="Times New Roman" w:hAnsi="Times New Roman" w:cs="Times New Roman"/>
                <w:bCs/>
                <w:color w:val="auto"/>
                <w:sz w:val="24"/>
                <w:lang w:val="en-US" w:eastAsia="zh-CN"/>
              </w:rPr>
              <w:t>0m</w:t>
            </w:r>
            <w:r>
              <w:rPr>
                <w:rFonts w:hint="default" w:ascii="Times New Roman" w:hAnsi="Times New Roman" w:cs="Times New Roman"/>
                <w:bCs/>
                <w:color w:val="auto"/>
                <w:sz w:val="24"/>
                <w:vertAlign w:val="superscript"/>
                <w:lang w:val="en-US" w:eastAsia="zh-CN"/>
              </w:rPr>
              <w:t>3</w:t>
            </w:r>
            <w:r>
              <w:rPr>
                <w:rFonts w:hint="default" w:ascii="Times New Roman" w:hAnsi="Times New Roman" w:cs="Times New Roman"/>
                <w:bCs/>
                <w:color w:val="auto"/>
                <w:sz w:val="24"/>
                <w:lang w:val="en-US" w:eastAsia="zh-CN"/>
              </w:rPr>
              <w:t>/a）。</w:t>
            </w:r>
          </w:p>
          <w:p w14:paraId="2EE9866C">
            <w:pPr>
              <w:keepNext w:val="0"/>
              <w:keepLines w:val="0"/>
              <w:widowControl/>
              <w:numPr>
                <w:ilvl w:val="0"/>
                <w:numId w:val="9"/>
              </w:numPr>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排水</w:t>
            </w:r>
          </w:p>
          <w:p w14:paraId="7414DBDF">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bCs/>
                <w:color w:val="auto"/>
                <w:sz w:val="24"/>
              </w:rPr>
              <w:t>本</w:t>
            </w:r>
            <w:r>
              <w:rPr>
                <w:rFonts w:hint="default" w:ascii="Times New Roman" w:hAnsi="Times New Roman" w:cs="Times New Roman"/>
                <w:bCs/>
                <w:color w:val="auto"/>
                <w:sz w:val="24"/>
              </w:rPr>
              <w:t>项目</w:t>
            </w:r>
            <w:r>
              <w:rPr>
                <w:rFonts w:hint="eastAsia" w:ascii="Times New Roman" w:hAnsi="Times New Roman" w:cs="Times New Roman"/>
                <w:bCs/>
                <w:color w:val="auto"/>
                <w:sz w:val="24"/>
              </w:rPr>
              <w:t>产生的废水</w:t>
            </w:r>
            <w:r>
              <w:rPr>
                <w:rFonts w:hint="default" w:ascii="Times New Roman" w:hAnsi="Times New Roman" w:cs="Times New Roman"/>
                <w:bCs/>
                <w:color w:val="auto"/>
                <w:sz w:val="24"/>
              </w:rPr>
              <w:t>主要为</w:t>
            </w:r>
            <w:r>
              <w:rPr>
                <w:rFonts w:hint="eastAsia" w:cs="Times New Roman"/>
                <w:color w:val="auto"/>
                <w:sz w:val="24"/>
                <w:lang w:val="en-US" w:eastAsia="zh-CN"/>
              </w:rPr>
              <w:t>生活污水和生产废水</w:t>
            </w:r>
            <w:r>
              <w:rPr>
                <w:rFonts w:hint="eastAsia" w:ascii="Times New Roman" w:hAnsi="Times New Roman" w:cs="Times New Roman"/>
                <w:color w:val="auto"/>
                <w:sz w:val="24"/>
              </w:rPr>
              <w:t>，</w:t>
            </w:r>
            <w:r>
              <w:rPr>
                <w:rFonts w:hint="eastAsia" w:cs="Times New Roman"/>
                <w:color w:val="auto"/>
                <w:sz w:val="24"/>
                <w:lang w:val="en-US" w:eastAsia="zh-CN"/>
              </w:rPr>
              <w:t>生活污水经化粪池处理后排入污水管网，生产废水经污水处理一体机处理后</w:t>
            </w:r>
            <w:r>
              <w:rPr>
                <w:rFonts w:hint="eastAsia" w:ascii="Times New Roman" w:hAnsi="Times New Roman" w:cs="Times New Roman"/>
                <w:color w:val="auto"/>
                <w:sz w:val="24"/>
              </w:rPr>
              <w:t>回用，不外排。</w:t>
            </w:r>
          </w:p>
          <w:p w14:paraId="08BBDEF9">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①生活污水：</w:t>
            </w:r>
            <w:r>
              <w:rPr>
                <w:rFonts w:hint="eastAsia" w:cs="Times New Roman"/>
                <w:color w:val="auto"/>
                <w:sz w:val="24"/>
                <w:lang w:val="en-US" w:eastAsia="zh-CN"/>
              </w:rPr>
              <w:t>生活</w:t>
            </w:r>
            <w:r>
              <w:rPr>
                <w:rFonts w:hint="eastAsia" w:ascii="Times New Roman" w:hAnsi="Times New Roman" w:cs="Times New Roman"/>
                <w:color w:val="auto"/>
                <w:sz w:val="24"/>
                <w:lang w:val="en-US" w:eastAsia="zh-CN"/>
              </w:rPr>
              <w:t>用水总量为</w:t>
            </w:r>
            <w:r>
              <w:rPr>
                <w:rFonts w:hint="eastAsia" w:cs="Times New Roman"/>
                <w:color w:val="auto"/>
                <w:sz w:val="24"/>
                <w:lang w:val="en-US" w:eastAsia="zh-CN"/>
              </w:rPr>
              <w:t>1200</w:t>
            </w:r>
            <w:r>
              <w:rPr>
                <w:rFonts w:hint="eastAsia" w:ascii="Times New Roman" w:hAnsi="Times New Roman" w:cs="Times New Roman"/>
                <w:color w:val="auto"/>
                <w:sz w:val="24"/>
                <w:lang w:val="en-US" w:eastAsia="zh-CN"/>
              </w:rPr>
              <w:t>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/a，项目生活污水排水量按总用量的80%计，则生活废水排水量为</w:t>
            </w:r>
            <w:r>
              <w:rPr>
                <w:rFonts w:hint="eastAsia" w:cs="Times New Roman"/>
                <w:color w:val="auto"/>
                <w:sz w:val="24"/>
                <w:lang w:val="en-US" w:eastAsia="zh-CN"/>
              </w:rPr>
              <w:t>960</w:t>
            </w:r>
            <w:r>
              <w:rPr>
                <w:rFonts w:hint="eastAsia" w:ascii="Times New Roman" w:hAnsi="Times New Roman" w:cs="Times New Roman"/>
                <w:color w:val="auto"/>
                <w:sz w:val="24"/>
                <w:lang w:val="en-US" w:eastAsia="zh-CN"/>
              </w:rPr>
              <w:t>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 xml:space="preserve">/a。餐饮废水经油水分离器处理后与生活污水一起经化粪池处理，经市政污水管网排入西安市第六污水处理厂进行处理。 </w:t>
            </w:r>
          </w:p>
          <w:p w14:paraId="59EE52AE">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②生产废水：项目印刷机设备需定期进行清洗，清洗废水统一收集于废水专用沉淀池（容积为6m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），沉淀后的废水再经油墨污水处理一体机处理，</w:t>
            </w:r>
            <w:r>
              <w:rPr>
                <w:rFonts w:hint="eastAsia" w:cs="Times New Roman"/>
                <w:color w:val="auto"/>
                <w:sz w:val="24"/>
                <w:lang w:val="en-US" w:eastAsia="zh-CN"/>
              </w:rPr>
              <w:t>处理后的</w:t>
            </w:r>
            <w:r>
              <w:rPr>
                <w:rFonts w:hint="eastAsia" w:ascii="Times New Roman" w:hAnsi="Times New Roman" w:cs="Times New Roman"/>
                <w:color w:val="auto"/>
                <w:sz w:val="24"/>
                <w:lang w:val="en-US" w:eastAsia="zh-CN"/>
              </w:rPr>
              <w:t>清水作为油墨稀释用水回用，不外排，</w:t>
            </w:r>
            <w:r>
              <w:rPr>
                <w:rFonts w:hint="eastAsia" w:cs="Times New Roman"/>
                <w:color w:val="auto"/>
                <w:sz w:val="24"/>
                <w:lang w:val="en-US" w:eastAsia="zh-CN"/>
              </w:rPr>
              <w:t>处理过程中有0.3</w:t>
            </w:r>
            <w:r>
              <w:rPr>
                <w:rFonts w:hint="eastAsia" w:ascii="Times New Roman" w:hAnsi="Times New Roman" w:cs="Times New Roman"/>
                <w:color w:val="auto"/>
                <w:sz w:val="24"/>
                <w:lang w:val="en-US" w:eastAsia="zh-CN"/>
              </w:rPr>
              <w:t>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/a的损耗及</w:t>
            </w:r>
            <w:r>
              <w:rPr>
                <w:rFonts w:hint="eastAsia" w:cs="Times New Roman"/>
                <w:color w:val="auto"/>
                <w:sz w:val="24"/>
                <w:lang w:val="en-US" w:eastAsia="zh-CN"/>
              </w:rPr>
              <w:t>0.2</w:t>
            </w:r>
            <w:r>
              <w:rPr>
                <w:rFonts w:hint="eastAsia" w:ascii="Times New Roman" w:hAnsi="Times New Roman" w:cs="Times New Roman"/>
                <w:color w:val="auto"/>
                <w:sz w:val="24"/>
                <w:lang w:val="en-US" w:eastAsia="zh-CN"/>
              </w:rPr>
              <w:t>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/a</w:t>
            </w:r>
            <w:r>
              <w:rPr>
                <w:rFonts w:hint="eastAsia" w:cs="Times New Roman"/>
                <w:color w:val="auto"/>
                <w:sz w:val="24"/>
                <w:lang w:val="en-US" w:eastAsia="zh-CN"/>
              </w:rPr>
              <w:t>污泥，污泥</w:t>
            </w:r>
            <w:r>
              <w:rPr>
                <w:rFonts w:hint="eastAsia" w:ascii="Times New Roman" w:hAnsi="Times New Roman" w:cs="Times New Roman"/>
                <w:color w:val="auto"/>
                <w:sz w:val="24"/>
                <w:lang w:val="en-US" w:eastAsia="zh-CN"/>
              </w:rPr>
              <w:t>属于危险废物交由有相关资质的单位处理。</w:t>
            </w:r>
          </w:p>
          <w:p w14:paraId="6AE12878">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综上所述，本项目新鲜水用量为</w:t>
            </w:r>
            <w:r>
              <w:rPr>
                <w:rFonts w:hint="eastAsia" w:cs="Times New Roman"/>
                <w:color w:val="auto"/>
                <w:sz w:val="24"/>
                <w:lang w:val="en-US" w:eastAsia="zh-CN"/>
              </w:rPr>
              <w:t>4.9</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w:t>
            </w:r>
            <w:r>
              <w:rPr>
                <w:rFonts w:hint="eastAsia" w:cs="Times New Roman"/>
                <w:color w:val="auto"/>
                <w:sz w:val="24"/>
                <w:lang w:val="en-US" w:eastAsia="zh-CN"/>
              </w:rPr>
              <w:t>1464</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w:t>
            </w:r>
            <w:r>
              <w:rPr>
                <w:rFonts w:hint="eastAsia" w:ascii="Times New Roman" w:hAnsi="Times New Roman" w:cs="Times New Roman"/>
                <w:color w:val="auto"/>
                <w:sz w:val="24"/>
                <w:lang w:val="en-US" w:eastAsia="zh-CN"/>
              </w:rPr>
              <w:t>餐饮废水与生活污水经化粪池处理</w:t>
            </w:r>
            <w:r>
              <w:rPr>
                <w:rFonts w:hint="eastAsia" w:cs="Times New Roman"/>
                <w:color w:val="auto"/>
                <w:sz w:val="24"/>
                <w:lang w:val="en-US" w:eastAsia="zh-CN"/>
              </w:rPr>
              <w:t>后</w:t>
            </w:r>
            <w:r>
              <w:rPr>
                <w:rFonts w:hint="eastAsia" w:ascii="Times New Roman" w:hAnsi="Times New Roman" w:cs="Times New Roman"/>
                <w:color w:val="auto"/>
                <w:sz w:val="24"/>
                <w:lang w:val="en-US" w:eastAsia="zh-CN"/>
              </w:rPr>
              <w:t>，经市政污水管网排入污水处理厂</w:t>
            </w:r>
            <w:r>
              <w:rPr>
                <w:rFonts w:hint="eastAsia" w:cs="Times New Roman"/>
                <w:color w:val="auto"/>
                <w:sz w:val="24"/>
                <w:lang w:val="en-US" w:eastAsia="zh-CN"/>
              </w:rPr>
              <w:t>；</w:t>
            </w:r>
            <w:r>
              <w:rPr>
                <w:rFonts w:hint="eastAsia" w:ascii="Times New Roman" w:hAnsi="Times New Roman" w:cs="Times New Roman"/>
                <w:color w:val="auto"/>
                <w:sz w:val="24"/>
                <w:lang w:val="en-US" w:eastAsia="zh-CN"/>
              </w:rPr>
              <w:t>清洗废水经处理一体机处理后，清水作为油墨稀释用水回用，不外排</w:t>
            </w:r>
            <w:r>
              <w:rPr>
                <w:rFonts w:hint="default" w:ascii="Times New Roman" w:hAnsi="Times New Roman" w:cs="Times New Roman"/>
                <w:color w:val="auto"/>
                <w:sz w:val="24"/>
              </w:rPr>
              <w:t>。本项目水平衡见表2-</w:t>
            </w:r>
            <w:r>
              <w:rPr>
                <w:rFonts w:hint="eastAsia" w:cs="Times New Roman"/>
                <w:color w:val="auto"/>
                <w:sz w:val="24"/>
                <w:lang w:val="en-US" w:eastAsia="zh-CN"/>
              </w:rPr>
              <w:t>4</w:t>
            </w:r>
            <w:r>
              <w:rPr>
                <w:rFonts w:hint="default" w:ascii="Times New Roman" w:hAnsi="Times New Roman" w:cs="Times New Roman"/>
                <w:color w:val="auto"/>
                <w:sz w:val="24"/>
              </w:rPr>
              <w:t>及图2-</w:t>
            </w:r>
            <w:r>
              <w:rPr>
                <w:rFonts w:hint="eastAsia" w:ascii="Times New Roman" w:hAnsi="Times New Roman" w:cs="Times New Roman"/>
                <w:color w:val="auto"/>
                <w:sz w:val="24"/>
              </w:rPr>
              <w:t>1。</w:t>
            </w:r>
          </w:p>
          <w:p w14:paraId="7469F68D">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24"/>
                <w:lang w:eastAsia="zh-CN"/>
              </w:rPr>
            </w:pPr>
            <w:r>
              <w:rPr>
                <w:rFonts w:hint="eastAsia" w:ascii="Times New Roman" w:hAnsi="Times New Roman" w:cs="Times New Roman"/>
                <w:b/>
                <w:bCs/>
                <w:color w:val="auto"/>
                <w:sz w:val="24"/>
              </w:rPr>
              <w:t>表2-</w:t>
            </w:r>
            <w:r>
              <w:rPr>
                <w:rFonts w:hint="eastAsia" w:cs="Times New Roman"/>
                <w:b/>
                <w:bCs/>
                <w:color w:val="auto"/>
                <w:sz w:val="24"/>
                <w:lang w:val="en-US" w:eastAsia="zh-CN"/>
              </w:rPr>
              <w:t>4</w:t>
            </w:r>
            <w:r>
              <w:rPr>
                <w:rFonts w:hint="eastAsia" w:ascii="Times New Roman" w:hAnsi="Times New Roman" w:cs="Times New Roman"/>
                <w:b/>
                <w:bCs/>
                <w:color w:val="auto"/>
                <w:sz w:val="24"/>
              </w:rPr>
              <w:t xml:space="preserve">  本项目水平衡一览表</w:t>
            </w:r>
            <w:r>
              <w:rPr>
                <w:rFonts w:hint="eastAsia" w:cs="Times New Roman"/>
                <w:b/>
                <w:bCs/>
                <w:color w:val="auto"/>
                <w:sz w:val="24"/>
                <w:lang w:eastAsia="zh-CN"/>
              </w:rPr>
              <w:t>（</w:t>
            </w:r>
            <w:r>
              <w:rPr>
                <w:rFonts w:hint="eastAsia" w:cs="Times New Roman"/>
                <w:b/>
                <w:bCs/>
                <w:color w:val="auto"/>
                <w:sz w:val="24"/>
                <w:lang w:val="en-US" w:eastAsia="zh-CN"/>
              </w:rPr>
              <w:t>单位：m</w:t>
            </w:r>
            <w:r>
              <w:rPr>
                <w:rFonts w:hint="eastAsia" w:cs="Times New Roman"/>
                <w:b/>
                <w:bCs/>
                <w:color w:val="auto"/>
                <w:sz w:val="24"/>
                <w:vertAlign w:val="superscript"/>
                <w:lang w:val="en-US" w:eastAsia="zh-CN"/>
              </w:rPr>
              <w:t>3</w:t>
            </w:r>
            <w:r>
              <w:rPr>
                <w:rFonts w:hint="eastAsia" w:cs="Times New Roman"/>
                <w:b/>
                <w:bCs/>
                <w:color w:val="auto"/>
                <w:sz w:val="24"/>
                <w:lang w:val="en-US" w:eastAsia="zh-CN"/>
              </w:rPr>
              <w:t>/a</w:t>
            </w:r>
            <w:r>
              <w:rPr>
                <w:rFonts w:hint="eastAsia" w:cs="Times New Roman"/>
                <w:b/>
                <w:bCs/>
                <w:color w:val="auto"/>
                <w:sz w:val="24"/>
                <w:lang w:eastAsia="zh-CN"/>
              </w:rPr>
              <w:t>）</w:t>
            </w:r>
          </w:p>
          <w:tbl>
            <w:tblPr>
              <w:tblStyle w:val="26"/>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073"/>
              <w:gridCol w:w="1090"/>
              <w:gridCol w:w="1004"/>
              <w:gridCol w:w="852"/>
              <w:gridCol w:w="3381"/>
            </w:tblGrid>
            <w:tr w14:paraId="5F210D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07" w:type="pct"/>
                  <w:tcBorders>
                    <w:tl2br w:val="nil"/>
                    <w:tr2bl w:val="nil"/>
                  </w:tcBorders>
                  <w:noWrap w:val="0"/>
                  <w:vAlign w:val="center"/>
                </w:tcPr>
                <w:p w14:paraId="3AADD0B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名称</w:t>
                  </w:r>
                </w:p>
              </w:tc>
              <w:tc>
                <w:tcPr>
                  <w:tcW w:w="622" w:type="pct"/>
                  <w:tcBorders>
                    <w:tl2br w:val="nil"/>
                    <w:tr2bl w:val="nil"/>
                  </w:tcBorders>
                  <w:noWrap w:val="0"/>
                  <w:vAlign w:val="center"/>
                </w:tcPr>
                <w:p w14:paraId="13C26B1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新鲜水</w:t>
                  </w:r>
                </w:p>
              </w:tc>
              <w:tc>
                <w:tcPr>
                  <w:tcW w:w="632" w:type="pct"/>
                  <w:tcBorders>
                    <w:tl2br w:val="nil"/>
                    <w:tr2bl w:val="nil"/>
                  </w:tcBorders>
                  <w:noWrap w:val="0"/>
                  <w:vAlign w:val="center"/>
                </w:tcPr>
                <w:p w14:paraId="5256E70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循环用水</w:t>
                  </w:r>
                </w:p>
              </w:tc>
              <w:tc>
                <w:tcPr>
                  <w:tcW w:w="582" w:type="pct"/>
                  <w:tcBorders>
                    <w:tl2br w:val="nil"/>
                    <w:tr2bl w:val="nil"/>
                  </w:tcBorders>
                  <w:noWrap w:val="0"/>
                  <w:vAlign w:val="center"/>
                </w:tcPr>
                <w:p w14:paraId="701CAC6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损耗量</w:t>
                  </w:r>
                </w:p>
              </w:tc>
              <w:tc>
                <w:tcPr>
                  <w:tcW w:w="494" w:type="pct"/>
                  <w:tcBorders>
                    <w:tl2br w:val="nil"/>
                    <w:tr2bl w:val="nil"/>
                  </w:tcBorders>
                  <w:noWrap w:val="0"/>
                  <w:vAlign w:val="center"/>
                </w:tcPr>
                <w:p w14:paraId="257985D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废水量</w:t>
                  </w:r>
                </w:p>
              </w:tc>
              <w:tc>
                <w:tcPr>
                  <w:tcW w:w="1961" w:type="pct"/>
                  <w:tcBorders>
                    <w:tl2br w:val="nil"/>
                    <w:tr2bl w:val="nil"/>
                  </w:tcBorders>
                  <w:noWrap w:val="0"/>
                  <w:vAlign w:val="center"/>
                </w:tcPr>
                <w:p w14:paraId="4EF230E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排放去向</w:t>
                  </w:r>
                </w:p>
              </w:tc>
            </w:tr>
            <w:tr w14:paraId="0720B8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07" w:type="pct"/>
                  <w:tcBorders>
                    <w:tl2br w:val="nil"/>
                    <w:tr2bl w:val="nil"/>
                  </w:tcBorders>
                  <w:noWrap w:val="0"/>
                  <w:vAlign w:val="center"/>
                </w:tcPr>
                <w:p w14:paraId="2EA3368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snapToGrid w:val="0"/>
                      <w:color w:val="auto"/>
                      <w:kern w:val="0"/>
                      <w:szCs w:val="21"/>
                      <w:lang w:val="en-US" w:eastAsia="zh-CN"/>
                    </w:rPr>
                    <w:t>生活</w:t>
                  </w:r>
                  <w:r>
                    <w:rPr>
                      <w:rFonts w:hint="eastAsia" w:ascii="Times New Roman" w:hAnsi="Times New Roman" w:cs="Times New Roman"/>
                      <w:snapToGrid w:val="0"/>
                      <w:color w:val="auto"/>
                      <w:kern w:val="0"/>
                      <w:szCs w:val="21"/>
                    </w:rPr>
                    <w:t>用水</w:t>
                  </w:r>
                </w:p>
              </w:tc>
              <w:tc>
                <w:tcPr>
                  <w:tcW w:w="622" w:type="pct"/>
                  <w:tcBorders>
                    <w:tl2br w:val="nil"/>
                    <w:tr2bl w:val="nil"/>
                  </w:tcBorders>
                  <w:noWrap w:val="0"/>
                  <w:vAlign w:val="center"/>
                </w:tcPr>
                <w:p w14:paraId="01B5FD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1200</w:t>
                  </w:r>
                </w:p>
              </w:tc>
              <w:tc>
                <w:tcPr>
                  <w:tcW w:w="632" w:type="pct"/>
                  <w:tcBorders>
                    <w:tl2br w:val="nil"/>
                    <w:tr2bl w:val="nil"/>
                  </w:tcBorders>
                  <w:noWrap w:val="0"/>
                  <w:vAlign w:val="center"/>
                </w:tcPr>
                <w:p w14:paraId="49F42B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 xml:space="preserve">0 </w:t>
                  </w:r>
                </w:p>
              </w:tc>
              <w:tc>
                <w:tcPr>
                  <w:tcW w:w="582" w:type="pct"/>
                  <w:tcBorders>
                    <w:tl2br w:val="nil"/>
                    <w:tr2bl w:val="nil"/>
                  </w:tcBorders>
                  <w:noWrap w:val="0"/>
                  <w:vAlign w:val="center"/>
                </w:tcPr>
                <w:p w14:paraId="6DFFD4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240</w:t>
                  </w:r>
                </w:p>
              </w:tc>
              <w:tc>
                <w:tcPr>
                  <w:tcW w:w="494" w:type="pct"/>
                  <w:tcBorders>
                    <w:tl2br w:val="nil"/>
                    <w:tr2bl w:val="nil"/>
                  </w:tcBorders>
                  <w:noWrap w:val="0"/>
                  <w:vAlign w:val="center"/>
                </w:tcPr>
                <w:p w14:paraId="37D4A9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960</w:t>
                  </w:r>
                </w:p>
              </w:tc>
              <w:tc>
                <w:tcPr>
                  <w:tcW w:w="1961" w:type="pct"/>
                  <w:tcBorders>
                    <w:tl2br w:val="nil"/>
                    <w:tr2bl w:val="nil"/>
                  </w:tcBorders>
                  <w:noWrap w:val="0"/>
                  <w:vAlign w:val="center"/>
                </w:tcPr>
                <w:p w14:paraId="23F8C9B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经化粪池处理，经市政污水管网排入西安市第六污水处理厂</w:t>
                  </w:r>
                </w:p>
              </w:tc>
            </w:tr>
            <w:tr w14:paraId="1472B7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07" w:type="pct"/>
                  <w:tcBorders>
                    <w:tl2br w:val="nil"/>
                    <w:tr2bl w:val="nil"/>
                  </w:tcBorders>
                  <w:noWrap w:val="0"/>
                  <w:vAlign w:val="center"/>
                </w:tcPr>
                <w:p w14:paraId="46936FF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水性油墨稀释用水</w:t>
                  </w:r>
                </w:p>
              </w:tc>
              <w:tc>
                <w:tcPr>
                  <w:tcW w:w="622" w:type="pct"/>
                  <w:tcBorders>
                    <w:tl2br w:val="nil"/>
                    <w:tr2bl w:val="nil"/>
                  </w:tcBorders>
                  <w:noWrap w:val="0"/>
                  <w:vAlign w:val="center"/>
                </w:tcPr>
                <w:p w14:paraId="6570DF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4.5</w:t>
                  </w:r>
                </w:p>
              </w:tc>
              <w:tc>
                <w:tcPr>
                  <w:tcW w:w="632" w:type="pct"/>
                  <w:tcBorders>
                    <w:tl2br w:val="nil"/>
                    <w:tr2bl w:val="nil"/>
                  </w:tcBorders>
                  <w:noWrap w:val="0"/>
                  <w:vAlign w:val="center"/>
                </w:tcPr>
                <w:p w14:paraId="0CB4FF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9.5</w:t>
                  </w:r>
                </w:p>
              </w:tc>
              <w:tc>
                <w:tcPr>
                  <w:tcW w:w="582" w:type="pct"/>
                  <w:tcBorders>
                    <w:tl2br w:val="nil"/>
                    <w:tr2bl w:val="nil"/>
                  </w:tcBorders>
                  <w:noWrap w:val="0"/>
                  <w:vAlign w:val="center"/>
                </w:tcPr>
                <w:p w14:paraId="5D11D8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14</w:t>
                  </w:r>
                </w:p>
              </w:tc>
              <w:tc>
                <w:tcPr>
                  <w:tcW w:w="494" w:type="pct"/>
                  <w:tcBorders>
                    <w:tl2br w:val="nil"/>
                    <w:tr2bl w:val="nil"/>
                  </w:tcBorders>
                  <w:noWrap w:val="0"/>
                  <w:vAlign w:val="center"/>
                </w:tcPr>
                <w:p w14:paraId="5F63B18D">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szCs w:val="21"/>
                    </w:rPr>
                  </w:pPr>
                  <w:r>
                    <w:rPr>
                      <w:rFonts w:hint="eastAsia" w:ascii="Times New Roman" w:hAnsi="Times New Roman" w:cs="Times New Roman"/>
                      <w:color w:val="auto"/>
                      <w:szCs w:val="21"/>
                    </w:rPr>
                    <w:t>0</w:t>
                  </w:r>
                </w:p>
              </w:tc>
              <w:tc>
                <w:tcPr>
                  <w:tcW w:w="1961" w:type="pct"/>
                  <w:tcBorders>
                    <w:tl2br w:val="nil"/>
                    <w:tr2bl w:val="nil"/>
                  </w:tcBorders>
                  <w:noWrap w:val="0"/>
                  <w:vAlign w:val="center"/>
                </w:tcPr>
                <w:p w14:paraId="1886A88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稀释油墨后，印到纸上，不外排</w:t>
                  </w:r>
                </w:p>
              </w:tc>
            </w:tr>
            <w:tr w14:paraId="28DD4C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07" w:type="pct"/>
                  <w:tcBorders>
                    <w:tl2br w:val="nil"/>
                    <w:tr2bl w:val="nil"/>
                  </w:tcBorders>
                  <w:noWrap w:val="0"/>
                  <w:vAlign w:val="center"/>
                </w:tcPr>
                <w:p w14:paraId="2C0957E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印刷机清洗用水</w:t>
                  </w:r>
                </w:p>
              </w:tc>
              <w:tc>
                <w:tcPr>
                  <w:tcW w:w="622" w:type="pct"/>
                  <w:tcBorders>
                    <w:tl2br w:val="nil"/>
                    <w:tr2bl w:val="nil"/>
                  </w:tcBorders>
                  <w:noWrap w:val="0"/>
                  <w:vAlign w:val="center"/>
                </w:tcPr>
                <w:p w14:paraId="3A19DC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c>
                <w:tcPr>
                  <w:tcW w:w="632" w:type="pct"/>
                  <w:tcBorders>
                    <w:tl2br w:val="nil"/>
                    <w:tr2bl w:val="nil"/>
                  </w:tcBorders>
                  <w:noWrap w:val="0"/>
                  <w:vAlign w:val="center"/>
                </w:tcPr>
                <w:p w14:paraId="0D696F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582" w:type="pct"/>
                  <w:tcBorders>
                    <w:tl2br w:val="nil"/>
                    <w:tr2bl w:val="nil"/>
                  </w:tcBorders>
                  <w:noWrap w:val="0"/>
                  <w:vAlign w:val="center"/>
                </w:tcPr>
                <w:p w14:paraId="6A8BB00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0.5</w:t>
                  </w:r>
                </w:p>
              </w:tc>
              <w:tc>
                <w:tcPr>
                  <w:tcW w:w="494" w:type="pct"/>
                  <w:tcBorders>
                    <w:tl2br w:val="nil"/>
                    <w:tr2bl w:val="nil"/>
                  </w:tcBorders>
                  <w:noWrap w:val="0"/>
                  <w:vAlign w:val="center"/>
                </w:tcPr>
                <w:p w14:paraId="17D768F0">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961" w:type="pct"/>
                  <w:tcBorders>
                    <w:tl2br w:val="nil"/>
                    <w:tr2bl w:val="nil"/>
                  </w:tcBorders>
                  <w:noWrap w:val="0"/>
                  <w:vAlign w:val="center"/>
                </w:tcPr>
                <w:p w14:paraId="1B7B078E">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污水处理一体机处理后，清水作为油墨稀释用水回用，不外排</w:t>
                  </w:r>
                  <w:r>
                    <w:rPr>
                      <w:rFonts w:hint="eastAsia" w:cs="Times New Roman"/>
                      <w:color w:val="auto"/>
                      <w:szCs w:val="21"/>
                      <w:lang w:val="en-US" w:eastAsia="zh-CN"/>
                    </w:rPr>
                    <w:t>，</w:t>
                  </w:r>
                  <w:r>
                    <w:rPr>
                      <w:rFonts w:hint="eastAsia" w:cs="Times New Roman"/>
                      <w:color w:val="auto"/>
                      <w:sz w:val="21"/>
                      <w:szCs w:val="21"/>
                      <w:lang w:val="en-US" w:eastAsia="zh-CN"/>
                    </w:rPr>
                    <w:t>0.2</w:t>
                  </w:r>
                  <w:r>
                    <w:rPr>
                      <w:rFonts w:hint="eastAsia" w:ascii="Times New Roman" w:hAnsi="Times New Roman" w:cs="Times New Roman"/>
                      <w:color w:val="auto"/>
                      <w:sz w:val="21"/>
                      <w:szCs w:val="21"/>
                      <w:lang w:val="en-US" w:eastAsia="zh-CN"/>
                    </w:rPr>
                    <w:t>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/a污泥交由有相关资质的单位处理</w:t>
                  </w:r>
                </w:p>
              </w:tc>
            </w:tr>
            <w:tr w14:paraId="493199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07" w:type="pct"/>
                  <w:tcBorders>
                    <w:tl2br w:val="nil"/>
                    <w:tr2bl w:val="nil"/>
                  </w:tcBorders>
                  <w:noWrap w:val="0"/>
                  <w:vAlign w:val="center"/>
                </w:tcPr>
                <w:p w14:paraId="24C28BF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rPr>
                    <w:t>合计</w:t>
                  </w:r>
                </w:p>
              </w:tc>
              <w:tc>
                <w:tcPr>
                  <w:tcW w:w="622" w:type="pct"/>
                  <w:tcBorders>
                    <w:tl2br w:val="nil"/>
                    <w:tr2bl w:val="nil"/>
                  </w:tcBorders>
                  <w:noWrap w:val="0"/>
                  <w:vAlign w:val="center"/>
                </w:tcPr>
                <w:p w14:paraId="7A4D6C7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0"/>
                      <w:sz w:val="22"/>
                      <w:szCs w:val="22"/>
                      <w:lang w:val="en-US" w:eastAsia="zh-CN" w:bidi="ar"/>
                    </w:rPr>
                    <w:t>1214.5</w:t>
                  </w:r>
                </w:p>
              </w:tc>
              <w:tc>
                <w:tcPr>
                  <w:tcW w:w="632" w:type="pct"/>
                  <w:tcBorders>
                    <w:tl2br w:val="nil"/>
                    <w:tr2bl w:val="nil"/>
                  </w:tcBorders>
                  <w:noWrap w:val="0"/>
                  <w:vAlign w:val="center"/>
                </w:tcPr>
                <w:p w14:paraId="4E4CFE1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0"/>
                      <w:sz w:val="22"/>
                      <w:szCs w:val="22"/>
                      <w:lang w:val="en-US" w:eastAsia="zh-CN" w:bidi="ar"/>
                    </w:rPr>
                    <w:t>9.5</w:t>
                  </w:r>
                </w:p>
              </w:tc>
              <w:tc>
                <w:tcPr>
                  <w:tcW w:w="582" w:type="pct"/>
                  <w:tcBorders>
                    <w:tl2br w:val="nil"/>
                    <w:tr2bl w:val="nil"/>
                  </w:tcBorders>
                  <w:noWrap w:val="0"/>
                  <w:vAlign w:val="center"/>
                </w:tcPr>
                <w:p w14:paraId="4EC25AC2">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0"/>
                      <w:sz w:val="22"/>
                      <w:szCs w:val="22"/>
                      <w:lang w:val="en-US" w:eastAsia="zh-CN" w:bidi="ar"/>
                    </w:rPr>
                    <w:t>254.5</w:t>
                  </w:r>
                </w:p>
              </w:tc>
              <w:tc>
                <w:tcPr>
                  <w:tcW w:w="494" w:type="pct"/>
                  <w:tcBorders>
                    <w:tl2br w:val="nil"/>
                    <w:tr2bl w:val="nil"/>
                  </w:tcBorders>
                  <w:noWrap w:val="0"/>
                  <w:vAlign w:val="center"/>
                </w:tcPr>
                <w:p w14:paraId="3FF84C11">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0"/>
                      <w:sz w:val="22"/>
                      <w:szCs w:val="22"/>
                      <w:lang w:val="en-US" w:eastAsia="zh-CN" w:bidi="ar"/>
                    </w:rPr>
                    <w:t>960</w:t>
                  </w:r>
                </w:p>
              </w:tc>
              <w:tc>
                <w:tcPr>
                  <w:tcW w:w="1961" w:type="pct"/>
                  <w:tcBorders>
                    <w:tl2br w:val="nil"/>
                    <w:tr2bl w:val="nil"/>
                  </w:tcBorders>
                  <w:noWrap w:val="0"/>
                  <w:vAlign w:val="center"/>
                </w:tcPr>
                <w:p w14:paraId="3AAAA2CA">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rPr>
                    <w:t>/</w:t>
                  </w:r>
                </w:p>
              </w:tc>
            </w:tr>
          </w:tbl>
          <w:p w14:paraId="24D5576B">
            <w:pPr>
              <w:keepNext w:val="0"/>
              <w:keepLines w:val="0"/>
              <w:suppressLineNumbers w:val="0"/>
              <w:spacing w:before="0" w:beforeAutospacing="0" w:after="0" w:afterAutospacing="0" w:line="360" w:lineRule="auto"/>
              <w:ind w:left="0" w:right="0" w:firstLine="420" w:firstLineChars="200"/>
              <w:jc w:val="center"/>
              <w:rPr>
                <w:rFonts w:hint="default" w:ascii="Times New Roman" w:hAnsi="Times New Roman" w:eastAsia="宋体" w:cs="Times New Roman"/>
                <w:color w:val="auto"/>
                <w:lang w:val="en-US" w:eastAsia="zh-CN"/>
              </w:rPr>
            </w:pPr>
          </w:p>
          <w:p w14:paraId="781F449C">
            <w:pPr>
              <w:keepNext w:val="0"/>
              <w:keepLines w:val="0"/>
              <w:suppressLineNumbers w:val="0"/>
              <w:spacing w:before="0" w:beforeAutospacing="0" w:after="0" w:afterAutospacing="0" w:line="360" w:lineRule="auto"/>
              <w:ind w:left="0" w:right="0"/>
              <w:jc w:val="both"/>
              <w:rPr>
                <w:rFonts w:hint="default" w:ascii="Times New Roman" w:hAnsi="Times New Roman" w:eastAsia="宋体" w:cs="Times New Roman"/>
                <w:color w:val="auto"/>
                <w:lang w:val="en-US" w:eastAsia="zh-CN"/>
              </w:rPr>
            </w:pPr>
            <w:r>
              <w:rPr>
                <w:rFonts w:hint="eastAsia" w:cs="Times New Roman"/>
                <w:color w:val="auto"/>
                <w:lang w:val="en-US" w:eastAsia="zh-CN"/>
              </w:rPr>
              <w:t xml:space="preserve">  </w:t>
            </w:r>
            <w:r>
              <w:rPr>
                <w:rFonts w:hint="default" w:ascii="Times New Roman" w:hAnsi="Times New Roman" w:eastAsia="宋体" w:cs="Times New Roman"/>
                <w:color w:val="auto"/>
                <w:lang w:val="en-US" w:eastAsia="zh-CN"/>
              </w:rPr>
              <w:drawing>
                <wp:inline distT="0" distB="0" distL="114300" distR="114300">
                  <wp:extent cx="5217160" cy="2066925"/>
                  <wp:effectExtent l="0" t="0" r="2540" b="9525"/>
                  <wp:docPr id="4" name="F360BE8B-6686-4F3D-AEAF-501FE73E4058-1" descr="C:/Users/Lenovo/AppData/Local/Temp/绘图1(20).png绘图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360BE8B-6686-4F3D-AEAF-501FE73E4058-1" descr="C:/Users/Lenovo/AppData/Local/Temp/绘图1(20).png绘图1(20)"/>
                          <pic:cNvPicPr>
                            <a:picLocks noChangeAspect="1"/>
                          </pic:cNvPicPr>
                        </pic:nvPicPr>
                        <pic:blipFill>
                          <a:blip r:embed="rId9"/>
                          <a:stretch>
                            <a:fillRect/>
                          </a:stretch>
                        </pic:blipFill>
                        <pic:spPr>
                          <a:xfrm>
                            <a:off x="0" y="0"/>
                            <a:ext cx="5217160" cy="2066925"/>
                          </a:xfrm>
                          <a:prstGeom prst="rect">
                            <a:avLst/>
                          </a:prstGeom>
                        </pic:spPr>
                      </pic:pic>
                    </a:graphicData>
                  </a:graphic>
                </wp:inline>
              </w:drawing>
            </w:r>
          </w:p>
          <w:p w14:paraId="53A63B22">
            <w:pPr>
              <w:keepNext w:val="0"/>
              <w:keepLines w:val="0"/>
              <w:suppressLineNumbers w:val="0"/>
              <w:spacing w:before="0" w:beforeAutospacing="0" w:after="0" w:afterAutospacing="0" w:line="360" w:lineRule="auto"/>
              <w:ind w:left="0" w:right="0" w:firstLine="482" w:firstLineChars="200"/>
              <w:jc w:val="center"/>
              <w:rPr>
                <w:rFonts w:hint="default"/>
              </w:rPr>
            </w:pPr>
            <w:r>
              <w:rPr>
                <w:rFonts w:hint="default" w:ascii="Times New Roman" w:hAnsi="Times New Roman" w:cs="Times New Roman"/>
                <w:b/>
                <w:bCs/>
                <w:color w:val="auto"/>
                <w:sz w:val="24"/>
              </w:rPr>
              <w:t xml:space="preserve">图2-1  </w:t>
            </w:r>
            <w:r>
              <w:rPr>
                <w:rFonts w:hint="eastAsia" w:ascii="Times New Roman" w:hAnsi="Times New Roman" w:cs="Times New Roman"/>
                <w:b/>
                <w:bCs/>
                <w:color w:val="auto"/>
                <w:sz w:val="24"/>
              </w:rPr>
              <w:t>本</w:t>
            </w:r>
            <w:r>
              <w:rPr>
                <w:rFonts w:hint="default" w:ascii="Times New Roman" w:hAnsi="Times New Roman" w:cs="Times New Roman"/>
                <w:b/>
                <w:bCs/>
                <w:color w:val="auto"/>
                <w:sz w:val="24"/>
              </w:rPr>
              <w:t>项目水平衡图  （单位：m</w:t>
            </w:r>
            <w:r>
              <w:rPr>
                <w:rFonts w:hint="default" w:ascii="Times New Roman" w:hAnsi="Times New Roman" w:cs="Times New Roman"/>
                <w:b/>
                <w:bCs/>
                <w:color w:val="auto"/>
                <w:sz w:val="24"/>
                <w:vertAlign w:val="superscript"/>
              </w:rPr>
              <w:t>3</w:t>
            </w:r>
            <w:r>
              <w:rPr>
                <w:rFonts w:hint="default" w:ascii="Times New Roman" w:hAnsi="Times New Roman" w:cs="Times New Roman"/>
                <w:b/>
                <w:bCs/>
                <w:color w:val="auto"/>
                <w:sz w:val="24"/>
              </w:rPr>
              <w:t>/</w:t>
            </w:r>
            <w:r>
              <w:rPr>
                <w:rFonts w:hint="eastAsia" w:cs="Times New Roman"/>
                <w:b/>
                <w:bCs/>
                <w:color w:val="auto"/>
                <w:sz w:val="24"/>
                <w:lang w:val="en-US" w:eastAsia="zh-CN"/>
              </w:rPr>
              <w:t>a</w:t>
            </w:r>
            <w:r>
              <w:rPr>
                <w:rFonts w:hint="default" w:ascii="Times New Roman" w:hAnsi="Times New Roman" w:cs="Times New Roman"/>
                <w:b/>
                <w:bCs/>
                <w:color w:val="auto"/>
                <w:sz w:val="24"/>
              </w:rPr>
              <w:t>）</w:t>
            </w:r>
          </w:p>
          <w:p w14:paraId="1EABF9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center"/>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本项目建成后，全厂用水主要是食堂用水、办公生活用水、水性油墨稀释用水和印刷机清洗用水。具体用、排水情况见下表，改扩建后全厂水平衡图见图2-2。</w:t>
            </w:r>
          </w:p>
          <w:p w14:paraId="4EA6BC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4"/>
                <w:lang w:eastAsia="zh-CN"/>
              </w:rPr>
            </w:pPr>
            <w:r>
              <w:rPr>
                <w:rFonts w:hint="eastAsia" w:ascii="Times New Roman" w:hAnsi="Times New Roman" w:cs="Times New Roman"/>
                <w:b/>
                <w:bCs/>
                <w:color w:val="auto"/>
                <w:sz w:val="24"/>
              </w:rPr>
              <w:t>表2-</w:t>
            </w:r>
            <w:r>
              <w:rPr>
                <w:rFonts w:hint="eastAsia" w:cs="Times New Roman"/>
                <w:b/>
                <w:bCs/>
                <w:color w:val="auto"/>
                <w:sz w:val="24"/>
                <w:lang w:val="en-US" w:eastAsia="zh-CN"/>
              </w:rPr>
              <w:t>5</w:t>
            </w:r>
            <w:r>
              <w:rPr>
                <w:rFonts w:hint="eastAsia" w:ascii="Times New Roman" w:hAnsi="Times New Roman" w:cs="Times New Roman"/>
                <w:b/>
                <w:bCs/>
                <w:color w:val="auto"/>
                <w:sz w:val="24"/>
              </w:rPr>
              <w:t xml:space="preserve">  </w:t>
            </w:r>
            <w:r>
              <w:rPr>
                <w:rFonts w:hint="eastAsia" w:ascii="Times New Roman" w:hAnsi="Times New Roman" w:cs="Times New Roman"/>
                <w:b/>
                <w:bCs/>
                <w:color w:val="auto"/>
                <w:sz w:val="24"/>
                <w:lang w:val="en-US" w:eastAsia="zh-CN"/>
              </w:rPr>
              <w:t>全厂</w:t>
            </w:r>
            <w:r>
              <w:rPr>
                <w:rFonts w:hint="eastAsia" w:ascii="Times New Roman" w:hAnsi="Times New Roman" w:cs="Times New Roman"/>
                <w:b/>
                <w:bCs/>
                <w:color w:val="auto"/>
                <w:sz w:val="24"/>
              </w:rPr>
              <w:t>水平衡一览表</w:t>
            </w:r>
            <w:r>
              <w:rPr>
                <w:rFonts w:hint="eastAsia" w:cs="Times New Roman"/>
                <w:b/>
                <w:bCs/>
                <w:color w:val="auto"/>
                <w:sz w:val="24"/>
                <w:lang w:eastAsia="zh-CN"/>
              </w:rPr>
              <w:t>（</w:t>
            </w:r>
            <w:r>
              <w:rPr>
                <w:rFonts w:hint="eastAsia" w:cs="Times New Roman"/>
                <w:b/>
                <w:bCs/>
                <w:color w:val="auto"/>
                <w:sz w:val="24"/>
                <w:lang w:val="en-US" w:eastAsia="zh-CN"/>
              </w:rPr>
              <w:t>单位：m</w:t>
            </w:r>
            <w:r>
              <w:rPr>
                <w:rFonts w:hint="eastAsia" w:cs="Times New Roman"/>
                <w:b/>
                <w:bCs/>
                <w:color w:val="auto"/>
                <w:sz w:val="24"/>
                <w:vertAlign w:val="superscript"/>
                <w:lang w:val="en-US" w:eastAsia="zh-CN"/>
              </w:rPr>
              <w:t>3</w:t>
            </w:r>
            <w:r>
              <w:rPr>
                <w:rFonts w:hint="eastAsia" w:cs="Times New Roman"/>
                <w:b/>
                <w:bCs/>
                <w:color w:val="auto"/>
                <w:sz w:val="24"/>
                <w:lang w:val="en-US" w:eastAsia="zh-CN"/>
              </w:rPr>
              <w:t>/a</w:t>
            </w:r>
            <w:r>
              <w:rPr>
                <w:rFonts w:hint="eastAsia" w:cs="Times New Roman"/>
                <w:b/>
                <w:bCs/>
                <w:color w:val="auto"/>
                <w:sz w:val="24"/>
                <w:lang w:eastAsia="zh-CN"/>
              </w:rPr>
              <w:t>）</w:t>
            </w:r>
          </w:p>
          <w:tbl>
            <w:tblPr>
              <w:tblStyle w:val="26"/>
              <w:tblW w:w="4995"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073"/>
              <w:gridCol w:w="1090"/>
              <w:gridCol w:w="1004"/>
              <w:gridCol w:w="852"/>
              <w:gridCol w:w="3381"/>
            </w:tblGrid>
            <w:tr w14:paraId="29C95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707" w:type="pct"/>
                  <w:tcBorders>
                    <w:tl2br w:val="nil"/>
                    <w:tr2bl w:val="nil"/>
                  </w:tcBorders>
                  <w:noWrap w:val="0"/>
                  <w:vAlign w:val="center"/>
                </w:tcPr>
                <w:p w14:paraId="6AF238C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名称</w:t>
                  </w:r>
                </w:p>
              </w:tc>
              <w:tc>
                <w:tcPr>
                  <w:tcW w:w="622" w:type="pct"/>
                  <w:tcBorders>
                    <w:tl2br w:val="nil"/>
                    <w:tr2bl w:val="nil"/>
                  </w:tcBorders>
                  <w:noWrap w:val="0"/>
                  <w:vAlign w:val="center"/>
                </w:tcPr>
                <w:p w14:paraId="798A277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新鲜水</w:t>
                  </w:r>
                </w:p>
              </w:tc>
              <w:tc>
                <w:tcPr>
                  <w:tcW w:w="632" w:type="pct"/>
                  <w:tcBorders>
                    <w:tl2br w:val="nil"/>
                    <w:tr2bl w:val="nil"/>
                  </w:tcBorders>
                  <w:noWrap w:val="0"/>
                  <w:vAlign w:val="center"/>
                </w:tcPr>
                <w:p w14:paraId="7789991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循环用水</w:t>
                  </w:r>
                </w:p>
              </w:tc>
              <w:tc>
                <w:tcPr>
                  <w:tcW w:w="582" w:type="pct"/>
                  <w:tcBorders>
                    <w:tl2br w:val="nil"/>
                    <w:tr2bl w:val="nil"/>
                  </w:tcBorders>
                  <w:noWrap w:val="0"/>
                  <w:vAlign w:val="center"/>
                </w:tcPr>
                <w:p w14:paraId="28A3AF7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损耗量</w:t>
                  </w:r>
                </w:p>
              </w:tc>
              <w:tc>
                <w:tcPr>
                  <w:tcW w:w="494" w:type="pct"/>
                  <w:tcBorders>
                    <w:tl2br w:val="nil"/>
                    <w:tr2bl w:val="nil"/>
                  </w:tcBorders>
                  <w:noWrap w:val="0"/>
                  <w:vAlign w:val="center"/>
                </w:tcPr>
                <w:p w14:paraId="5B6492B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废水量</w:t>
                  </w:r>
                </w:p>
              </w:tc>
              <w:tc>
                <w:tcPr>
                  <w:tcW w:w="1961" w:type="pct"/>
                  <w:tcBorders>
                    <w:tl2br w:val="nil"/>
                    <w:tr2bl w:val="nil"/>
                  </w:tcBorders>
                  <w:noWrap w:val="0"/>
                  <w:vAlign w:val="center"/>
                </w:tcPr>
                <w:p w14:paraId="053A509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排放去向</w:t>
                  </w:r>
                </w:p>
              </w:tc>
            </w:tr>
            <w:tr w14:paraId="747F6A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07" w:type="pct"/>
                  <w:tcBorders>
                    <w:tl2br w:val="nil"/>
                    <w:tr2bl w:val="nil"/>
                  </w:tcBorders>
                  <w:noWrap w:val="0"/>
                  <w:vAlign w:val="center"/>
                </w:tcPr>
                <w:p w14:paraId="21DEC95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snapToGrid w:val="0"/>
                      <w:color w:val="auto"/>
                      <w:kern w:val="0"/>
                      <w:szCs w:val="21"/>
                      <w:lang w:val="en-US" w:eastAsia="zh-CN"/>
                    </w:rPr>
                    <w:t>生活</w:t>
                  </w:r>
                  <w:r>
                    <w:rPr>
                      <w:rFonts w:hint="eastAsia" w:ascii="Times New Roman" w:hAnsi="Times New Roman" w:cs="Times New Roman"/>
                      <w:snapToGrid w:val="0"/>
                      <w:color w:val="auto"/>
                      <w:kern w:val="0"/>
                      <w:szCs w:val="21"/>
                    </w:rPr>
                    <w:t>用水</w:t>
                  </w:r>
                </w:p>
              </w:tc>
              <w:tc>
                <w:tcPr>
                  <w:tcW w:w="622" w:type="pct"/>
                  <w:tcBorders>
                    <w:tl2br w:val="nil"/>
                    <w:tr2bl w:val="nil"/>
                  </w:tcBorders>
                  <w:noWrap w:val="0"/>
                  <w:vAlign w:val="center"/>
                </w:tcPr>
                <w:p w14:paraId="7515A1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4200</w:t>
                  </w:r>
                </w:p>
              </w:tc>
              <w:tc>
                <w:tcPr>
                  <w:tcW w:w="632" w:type="pct"/>
                  <w:tcBorders>
                    <w:tl2br w:val="nil"/>
                    <w:tr2bl w:val="nil"/>
                  </w:tcBorders>
                  <w:noWrap w:val="0"/>
                  <w:vAlign w:val="center"/>
                </w:tcPr>
                <w:p w14:paraId="3D9D72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 xml:space="preserve">0 </w:t>
                  </w:r>
                </w:p>
              </w:tc>
              <w:tc>
                <w:tcPr>
                  <w:tcW w:w="582" w:type="pct"/>
                  <w:tcBorders>
                    <w:tl2br w:val="nil"/>
                    <w:tr2bl w:val="nil"/>
                  </w:tcBorders>
                  <w:noWrap w:val="0"/>
                  <w:vAlign w:val="center"/>
                </w:tcPr>
                <w:p w14:paraId="3A0B6F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840</w:t>
                  </w:r>
                </w:p>
              </w:tc>
              <w:tc>
                <w:tcPr>
                  <w:tcW w:w="494" w:type="pct"/>
                  <w:tcBorders>
                    <w:tl2br w:val="nil"/>
                    <w:tr2bl w:val="nil"/>
                  </w:tcBorders>
                  <w:noWrap w:val="0"/>
                  <w:vAlign w:val="center"/>
                </w:tcPr>
                <w:p w14:paraId="34B3BC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3360</w:t>
                  </w:r>
                </w:p>
              </w:tc>
              <w:tc>
                <w:tcPr>
                  <w:tcW w:w="1961" w:type="pct"/>
                  <w:tcBorders>
                    <w:tl2br w:val="nil"/>
                    <w:tr2bl w:val="nil"/>
                  </w:tcBorders>
                  <w:noWrap w:val="0"/>
                  <w:vAlign w:val="center"/>
                </w:tcPr>
                <w:p w14:paraId="41F9979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经化粪池处理，经市政污水管网排入西安市第六污水处理厂</w:t>
                  </w:r>
                </w:p>
              </w:tc>
            </w:tr>
            <w:tr w14:paraId="56A3B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07" w:type="pct"/>
                  <w:tcBorders>
                    <w:tl2br w:val="nil"/>
                    <w:tr2bl w:val="nil"/>
                  </w:tcBorders>
                  <w:noWrap w:val="0"/>
                  <w:vAlign w:val="center"/>
                </w:tcPr>
                <w:p w14:paraId="6129EF1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水性油墨稀释用水</w:t>
                  </w:r>
                </w:p>
              </w:tc>
              <w:tc>
                <w:tcPr>
                  <w:tcW w:w="622" w:type="pct"/>
                  <w:tcBorders>
                    <w:tl2br w:val="nil"/>
                    <w:tr2bl w:val="nil"/>
                  </w:tcBorders>
                  <w:noWrap w:val="0"/>
                  <w:vAlign w:val="center"/>
                </w:tcPr>
                <w:p w14:paraId="7C2717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4.5</w:t>
                  </w:r>
                </w:p>
              </w:tc>
              <w:tc>
                <w:tcPr>
                  <w:tcW w:w="632" w:type="pct"/>
                  <w:tcBorders>
                    <w:tl2br w:val="nil"/>
                    <w:tr2bl w:val="nil"/>
                  </w:tcBorders>
                  <w:noWrap w:val="0"/>
                  <w:vAlign w:val="center"/>
                </w:tcPr>
                <w:p w14:paraId="50E5BD2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color w:val="auto"/>
                      <w:szCs w:val="21"/>
                      <w:lang w:val="en-US" w:eastAsia="zh-CN"/>
                    </w:rPr>
                    <w:t>9.5</w:t>
                  </w:r>
                </w:p>
              </w:tc>
              <w:tc>
                <w:tcPr>
                  <w:tcW w:w="582" w:type="pct"/>
                  <w:tcBorders>
                    <w:tl2br w:val="nil"/>
                    <w:tr2bl w:val="nil"/>
                  </w:tcBorders>
                  <w:noWrap w:val="0"/>
                  <w:vAlign w:val="center"/>
                </w:tcPr>
                <w:p w14:paraId="6AA20A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14</w:t>
                  </w:r>
                </w:p>
              </w:tc>
              <w:tc>
                <w:tcPr>
                  <w:tcW w:w="494" w:type="pct"/>
                  <w:tcBorders>
                    <w:tl2br w:val="nil"/>
                    <w:tr2bl w:val="nil"/>
                  </w:tcBorders>
                  <w:noWrap w:val="0"/>
                  <w:vAlign w:val="center"/>
                </w:tcPr>
                <w:p w14:paraId="05A8E88C">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szCs w:val="21"/>
                    </w:rPr>
                  </w:pPr>
                  <w:r>
                    <w:rPr>
                      <w:rFonts w:hint="eastAsia" w:ascii="Times New Roman" w:hAnsi="Times New Roman" w:cs="Times New Roman"/>
                      <w:color w:val="auto"/>
                      <w:szCs w:val="21"/>
                    </w:rPr>
                    <w:t>0</w:t>
                  </w:r>
                </w:p>
              </w:tc>
              <w:tc>
                <w:tcPr>
                  <w:tcW w:w="1961" w:type="pct"/>
                  <w:tcBorders>
                    <w:tl2br w:val="nil"/>
                    <w:tr2bl w:val="nil"/>
                  </w:tcBorders>
                  <w:noWrap w:val="0"/>
                  <w:vAlign w:val="center"/>
                </w:tcPr>
                <w:p w14:paraId="3D502EF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稀释油墨后，印到纸上，不外排</w:t>
                  </w:r>
                </w:p>
              </w:tc>
            </w:tr>
            <w:tr w14:paraId="61CA88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07" w:type="pct"/>
                  <w:tcBorders>
                    <w:tl2br w:val="nil"/>
                    <w:tr2bl w:val="nil"/>
                  </w:tcBorders>
                  <w:noWrap w:val="0"/>
                  <w:vAlign w:val="center"/>
                </w:tcPr>
                <w:p w14:paraId="215B172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印刷机清洗用水</w:t>
                  </w:r>
                </w:p>
              </w:tc>
              <w:tc>
                <w:tcPr>
                  <w:tcW w:w="622" w:type="pct"/>
                  <w:tcBorders>
                    <w:tl2br w:val="nil"/>
                    <w:tr2bl w:val="nil"/>
                  </w:tcBorders>
                  <w:noWrap w:val="0"/>
                  <w:vAlign w:val="center"/>
                </w:tcPr>
                <w:p w14:paraId="3E8380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c>
                <w:tcPr>
                  <w:tcW w:w="632" w:type="pct"/>
                  <w:tcBorders>
                    <w:tl2br w:val="nil"/>
                    <w:tr2bl w:val="nil"/>
                  </w:tcBorders>
                  <w:noWrap w:val="0"/>
                  <w:vAlign w:val="center"/>
                </w:tcPr>
                <w:p w14:paraId="4836BC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582" w:type="pct"/>
                  <w:tcBorders>
                    <w:tl2br w:val="nil"/>
                    <w:tr2bl w:val="nil"/>
                  </w:tcBorders>
                  <w:noWrap w:val="0"/>
                  <w:vAlign w:val="center"/>
                </w:tcPr>
                <w:p w14:paraId="1C5639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0.5</w:t>
                  </w:r>
                </w:p>
              </w:tc>
              <w:tc>
                <w:tcPr>
                  <w:tcW w:w="494" w:type="pct"/>
                  <w:tcBorders>
                    <w:tl2br w:val="nil"/>
                    <w:tr2bl w:val="nil"/>
                  </w:tcBorders>
                  <w:noWrap w:val="0"/>
                  <w:vAlign w:val="center"/>
                </w:tcPr>
                <w:p w14:paraId="0F4B035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0</w:t>
                  </w:r>
                </w:p>
              </w:tc>
              <w:tc>
                <w:tcPr>
                  <w:tcW w:w="1961" w:type="pct"/>
                  <w:tcBorders>
                    <w:tl2br w:val="nil"/>
                    <w:tr2bl w:val="nil"/>
                  </w:tcBorders>
                  <w:noWrap w:val="0"/>
                  <w:vAlign w:val="center"/>
                </w:tcPr>
                <w:p w14:paraId="79F9C40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污水处理一体机处理后，清水作为油墨稀释用水回用，不外排</w:t>
                  </w:r>
                  <w:r>
                    <w:rPr>
                      <w:rFonts w:hint="eastAsia" w:cs="Times New Roman"/>
                      <w:color w:val="auto"/>
                      <w:szCs w:val="21"/>
                      <w:lang w:val="en-US" w:eastAsia="zh-CN"/>
                    </w:rPr>
                    <w:t>，</w:t>
                  </w:r>
                  <w:r>
                    <w:rPr>
                      <w:rFonts w:hint="eastAsia" w:cs="Times New Roman"/>
                      <w:color w:val="auto"/>
                      <w:sz w:val="21"/>
                      <w:szCs w:val="21"/>
                      <w:lang w:val="en-US" w:eastAsia="zh-CN"/>
                    </w:rPr>
                    <w:t>0.2</w:t>
                  </w:r>
                  <w:r>
                    <w:rPr>
                      <w:rFonts w:hint="eastAsia" w:ascii="Times New Roman" w:hAnsi="Times New Roman" w:cs="Times New Roman"/>
                      <w:color w:val="auto"/>
                      <w:sz w:val="21"/>
                      <w:szCs w:val="21"/>
                      <w:lang w:val="en-US" w:eastAsia="zh-CN"/>
                    </w:rPr>
                    <w:t>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/a污泥交由有相关资质的单位处理</w:t>
                  </w:r>
                </w:p>
              </w:tc>
            </w:tr>
            <w:tr w14:paraId="547BE7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707" w:type="pct"/>
                  <w:tcBorders>
                    <w:tl2br w:val="nil"/>
                    <w:tr2bl w:val="nil"/>
                  </w:tcBorders>
                  <w:noWrap w:val="0"/>
                  <w:vAlign w:val="center"/>
                </w:tcPr>
                <w:p w14:paraId="04D64DA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rPr>
                    <w:t>合计</w:t>
                  </w:r>
                </w:p>
              </w:tc>
              <w:tc>
                <w:tcPr>
                  <w:tcW w:w="622" w:type="pct"/>
                  <w:tcBorders>
                    <w:tl2br w:val="nil"/>
                    <w:tr2bl w:val="nil"/>
                  </w:tcBorders>
                  <w:noWrap w:val="0"/>
                  <w:vAlign w:val="center"/>
                </w:tcPr>
                <w:p w14:paraId="2D20C73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0"/>
                      <w:sz w:val="22"/>
                      <w:szCs w:val="22"/>
                      <w:lang w:val="en-US" w:eastAsia="zh-CN" w:bidi="ar"/>
                    </w:rPr>
                    <w:t>4214.5</w:t>
                  </w:r>
                </w:p>
              </w:tc>
              <w:tc>
                <w:tcPr>
                  <w:tcW w:w="632" w:type="pct"/>
                  <w:tcBorders>
                    <w:tl2br w:val="nil"/>
                    <w:tr2bl w:val="nil"/>
                  </w:tcBorders>
                  <w:noWrap w:val="0"/>
                  <w:vAlign w:val="center"/>
                </w:tcPr>
                <w:p w14:paraId="483608C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0"/>
                      <w:sz w:val="22"/>
                      <w:szCs w:val="22"/>
                      <w:lang w:val="en-US" w:eastAsia="zh-CN" w:bidi="ar"/>
                    </w:rPr>
                    <w:t>9.5</w:t>
                  </w:r>
                </w:p>
              </w:tc>
              <w:tc>
                <w:tcPr>
                  <w:tcW w:w="582" w:type="pct"/>
                  <w:tcBorders>
                    <w:tl2br w:val="nil"/>
                    <w:tr2bl w:val="nil"/>
                  </w:tcBorders>
                  <w:noWrap w:val="0"/>
                  <w:vAlign w:val="center"/>
                </w:tcPr>
                <w:p w14:paraId="0E60397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0"/>
                      <w:sz w:val="22"/>
                      <w:szCs w:val="22"/>
                      <w:lang w:val="en-US" w:eastAsia="zh-CN" w:bidi="ar"/>
                    </w:rPr>
                    <w:t>854.5</w:t>
                  </w:r>
                </w:p>
              </w:tc>
              <w:tc>
                <w:tcPr>
                  <w:tcW w:w="494" w:type="pct"/>
                  <w:tcBorders>
                    <w:tl2br w:val="nil"/>
                    <w:tr2bl w:val="nil"/>
                  </w:tcBorders>
                  <w:noWrap w:val="0"/>
                  <w:vAlign w:val="center"/>
                </w:tcPr>
                <w:p w14:paraId="617EC816">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0"/>
                      <w:sz w:val="22"/>
                      <w:szCs w:val="22"/>
                      <w:lang w:val="en-US" w:eastAsia="zh-CN" w:bidi="ar"/>
                    </w:rPr>
                    <w:t>3360</w:t>
                  </w:r>
                </w:p>
              </w:tc>
              <w:tc>
                <w:tcPr>
                  <w:tcW w:w="1961" w:type="pct"/>
                  <w:tcBorders>
                    <w:tl2br w:val="nil"/>
                    <w:tr2bl w:val="nil"/>
                  </w:tcBorders>
                  <w:noWrap w:val="0"/>
                  <w:vAlign w:val="center"/>
                </w:tcPr>
                <w:p w14:paraId="43C11510">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rPr>
                    <w:t>/</w:t>
                  </w:r>
                </w:p>
              </w:tc>
            </w:tr>
          </w:tbl>
          <w:p w14:paraId="2D39E820">
            <w:pPr>
              <w:keepNext w:val="0"/>
              <w:keepLines w:val="0"/>
              <w:suppressLineNumbers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lang w:val="en-US" w:eastAsia="zh-CN"/>
              </w:rPr>
            </w:pPr>
          </w:p>
          <w:p w14:paraId="2865303D">
            <w:pPr>
              <w:keepNext w:val="0"/>
              <w:keepLines w:val="0"/>
              <w:suppressLineNumbers w:val="0"/>
              <w:spacing w:before="0" w:beforeAutospacing="0" w:after="0" w:afterAutospacing="0" w:line="360" w:lineRule="auto"/>
              <w:ind w:left="0" w:right="0"/>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drawing>
                <wp:inline distT="0" distB="0" distL="114300" distR="114300">
                  <wp:extent cx="5280025" cy="2091690"/>
                  <wp:effectExtent l="0" t="0" r="15875" b="3810"/>
                  <wp:docPr id="13" name="F360BE8B-6686-4F3D-AEAF-501FE73E4058-2" descr="C:/Users/Lenovo/AppData/Local/Temp/绘图1(21).png绘图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360BE8B-6686-4F3D-AEAF-501FE73E4058-2" descr="C:/Users/Lenovo/AppData/Local/Temp/绘图1(21).png绘图1(21)"/>
                          <pic:cNvPicPr>
                            <a:picLocks noChangeAspect="1"/>
                          </pic:cNvPicPr>
                        </pic:nvPicPr>
                        <pic:blipFill>
                          <a:blip r:embed="rId10"/>
                          <a:stretch>
                            <a:fillRect/>
                          </a:stretch>
                        </pic:blipFill>
                        <pic:spPr>
                          <a:xfrm>
                            <a:off x="0" y="0"/>
                            <a:ext cx="5280025" cy="2091690"/>
                          </a:xfrm>
                          <a:prstGeom prst="rect">
                            <a:avLst/>
                          </a:prstGeom>
                        </pic:spPr>
                      </pic:pic>
                    </a:graphicData>
                  </a:graphic>
                </wp:inline>
              </w:drawing>
            </w:r>
          </w:p>
          <w:p w14:paraId="67F7C997">
            <w:pPr>
              <w:keepNext w:val="0"/>
              <w:keepLines w:val="0"/>
              <w:suppressLineNumbers w:val="0"/>
              <w:spacing w:before="0" w:beforeAutospacing="0" w:after="0" w:afterAutospacing="0" w:line="360" w:lineRule="auto"/>
              <w:ind w:left="0" w:right="0" w:firstLine="482" w:firstLineChars="200"/>
              <w:jc w:val="center"/>
              <w:rPr>
                <w:rFonts w:hint="default" w:ascii="Times New Roman" w:hAnsi="Times New Roman" w:eastAsia="宋体" w:cs="Times New Roman"/>
                <w:color w:val="auto"/>
                <w:lang w:val="en-US" w:eastAsia="zh-CN"/>
              </w:rPr>
            </w:pPr>
            <w:r>
              <w:rPr>
                <w:rFonts w:hint="default" w:ascii="Times New Roman" w:hAnsi="Times New Roman" w:cs="Times New Roman"/>
                <w:b/>
                <w:bCs/>
                <w:color w:val="auto"/>
                <w:sz w:val="24"/>
              </w:rPr>
              <w:t>图2-</w:t>
            </w:r>
            <w:r>
              <w:rPr>
                <w:rFonts w:hint="eastAsia" w:ascii="Times New Roman" w:hAnsi="Times New Roman" w:cs="Times New Roman"/>
                <w:b/>
                <w:bCs/>
                <w:color w:val="auto"/>
                <w:sz w:val="24"/>
                <w:lang w:val="en-US" w:eastAsia="zh-CN"/>
              </w:rPr>
              <w:t>2</w:t>
            </w:r>
            <w:r>
              <w:rPr>
                <w:rFonts w:hint="default" w:ascii="Times New Roman" w:hAnsi="Times New Roman" w:cs="Times New Roman"/>
                <w:b/>
                <w:bCs/>
                <w:color w:val="auto"/>
                <w:sz w:val="24"/>
              </w:rPr>
              <w:t xml:space="preserve">  </w:t>
            </w:r>
            <w:r>
              <w:rPr>
                <w:rFonts w:hint="eastAsia" w:ascii="Times New Roman" w:hAnsi="Times New Roman" w:cs="Times New Roman"/>
                <w:b/>
                <w:bCs/>
                <w:color w:val="auto"/>
                <w:sz w:val="24"/>
                <w:lang w:val="en-US" w:eastAsia="zh-CN"/>
              </w:rPr>
              <w:t>全厂</w:t>
            </w:r>
            <w:r>
              <w:rPr>
                <w:rFonts w:hint="default" w:ascii="Times New Roman" w:hAnsi="Times New Roman" w:cs="Times New Roman"/>
                <w:b/>
                <w:bCs/>
                <w:color w:val="auto"/>
                <w:sz w:val="24"/>
              </w:rPr>
              <w:t>水平衡图  （单位：m</w:t>
            </w:r>
            <w:r>
              <w:rPr>
                <w:rFonts w:hint="default" w:ascii="Times New Roman" w:hAnsi="Times New Roman" w:cs="Times New Roman"/>
                <w:b/>
                <w:bCs/>
                <w:color w:val="auto"/>
                <w:sz w:val="24"/>
                <w:vertAlign w:val="superscript"/>
              </w:rPr>
              <w:t>3</w:t>
            </w:r>
            <w:r>
              <w:rPr>
                <w:rFonts w:hint="default" w:ascii="Times New Roman" w:hAnsi="Times New Roman" w:cs="Times New Roman"/>
                <w:b/>
                <w:bCs/>
                <w:color w:val="auto"/>
                <w:sz w:val="24"/>
              </w:rPr>
              <w:t>/</w:t>
            </w:r>
            <w:r>
              <w:rPr>
                <w:rFonts w:hint="eastAsia" w:cs="Times New Roman"/>
                <w:b/>
                <w:bCs/>
                <w:color w:val="auto"/>
                <w:sz w:val="24"/>
                <w:lang w:val="en-US" w:eastAsia="zh-CN"/>
              </w:rPr>
              <w:t>a</w:t>
            </w:r>
            <w:r>
              <w:rPr>
                <w:rFonts w:hint="default" w:ascii="Times New Roman" w:hAnsi="Times New Roman" w:cs="Times New Roman"/>
                <w:b/>
                <w:bCs/>
                <w:color w:val="auto"/>
                <w:sz w:val="24"/>
              </w:rPr>
              <w:t>）</w:t>
            </w:r>
          </w:p>
        </w:tc>
      </w:tr>
      <w:tr w14:paraId="368D9C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12" w:hRule="atLeast"/>
          <w:jc w:val="center"/>
        </w:trPr>
        <w:tc>
          <w:tcPr>
            <w:tcW w:w="436" w:type="dxa"/>
            <w:noWrap w:val="0"/>
            <w:vAlign w:val="center"/>
          </w:tcPr>
          <w:p w14:paraId="035FABB3">
            <w:pPr>
              <w:pStyle w:val="23"/>
              <w:keepNext w:val="0"/>
              <w:keepLines w:val="0"/>
              <w:suppressLineNumbers w:val="0"/>
              <w:adjustRightInd w:val="0"/>
              <w:snapToGrid w:val="0"/>
              <w:spacing w:before="0" w:beforeAutospacing="0" w:after="0" w:afterAutospacing="0"/>
              <w:ind w:left="0" w:right="0"/>
              <w:jc w:val="center"/>
              <w:rPr>
                <w:rFonts w:hint="default" w:cs="宋体"/>
                <w:color w:val="auto"/>
                <w:sz w:val="21"/>
                <w:szCs w:val="21"/>
              </w:rPr>
            </w:pPr>
            <w:r>
              <w:rPr>
                <w:rFonts w:hint="eastAsia" w:cs="宋体"/>
                <w:color w:val="auto"/>
                <w:sz w:val="21"/>
                <w:szCs w:val="21"/>
              </w:rPr>
              <w:t>工艺流程和产排污环节</w:t>
            </w:r>
          </w:p>
        </w:tc>
        <w:tc>
          <w:tcPr>
            <w:tcW w:w="8843" w:type="dxa"/>
            <w:noWrap w:val="0"/>
            <w:vAlign w:val="top"/>
          </w:tcPr>
          <w:p w14:paraId="1A6C8864">
            <w:pPr>
              <w:keepNext w:val="0"/>
              <w:keepLines w:val="0"/>
              <w:numPr>
                <w:ilvl w:val="0"/>
                <w:numId w:val="10"/>
              </w:numPr>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施工期工艺流程</w:t>
            </w:r>
          </w:p>
          <w:p w14:paraId="354F91A8">
            <w:pPr>
              <w:keepNext w:val="0"/>
              <w:keepLines w:val="0"/>
              <w:numPr>
                <w:ilvl w:val="0"/>
                <w:numId w:val="0"/>
              </w:numPr>
              <w:suppressLineNumbers w:val="0"/>
              <w:spacing w:before="0" w:beforeAutospacing="0" w:after="0" w:afterAutospacing="0" w:line="360" w:lineRule="auto"/>
              <w:ind w:left="0" w:right="0" w:rightChars="0"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 xml:space="preserve"> </w:t>
            </w:r>
            <w:r>
              <w:rPr>
                <w:rFonts w:hint="default" w:ascii="Times New Roman" w:hAnsi="Times New Roman" w:cs="Times New Roman"/>
                <w:b w:val="0"/>
                <w:bCs w:val="0"/>
                <w:color w:val="auto"/>
                <w:sz w:val="24"/>
              </w:rPr>
              <w:t>本项目生产车间</w:t>
            </w:r>
            <w:r>
              <w:rPr>
                <w:rFonts w:hint="eastAsia" w:cs="Times New Roman"/>
                <w:b w:val="0"/>
                <w:bCs w:val="0"/>
                <w:color w:val="auto"/>
                <w:sz w:val="24"/>
                <w:lang w:eastAsia="zh-CN"/>
              </w:rPr>
              <w:t>、</w:t>
            </w:r>
            <w:r>
              <w:rPr>
                <w:rFonts w:hint="default" w:ascii="Times New Roman" w:hAnsi="Times New Roman" w:cs="Times New Roman"/>
                <w:b w:val="0"/>
                <w:bCs w:val="0"/>
                <w:color w:val="auto"/>
                <w:sz w:val="24"/>
              </w:rPr>
              <w:t>储存库</w:t>
            </w:r>
            <w:r>
              <w:rPr>
                <w:rFonts w:hint="eastAsia" w:cs="Times New Roman"/>
                <w:b w:val="0"/>
                <w:bCs w:val="0"/>
                <w:color w:val="auto"/>
                <w:sz w:val="24"/>
                <w:lang w:eastAsia="zh-CN"/>
              </w:rPr>
              <w:t>、</w:t>
            </w:r>
            <w:r>
              <w:rPr>
                <w:rFonts w:hint="eastAsia" w:cs="Times New Roman"/>
                <w:b w:val="0"/>
                <w:bCs w:val="0"/>
                <w:color w:val="auto"/>
                <w:sz w:val="24"/>
                <w:lang w:val="en-US" w:eastAsia="zh-CN"/>
              </w:rPr>
              <w:t>办公楼和宿舍</w:t>
            </w:r>
            <w:r>
              <w:rPr>
                <w:rFonts w:hint="default" w:ascii="Times New Roman" w:hAnsi="Times New Roman" w:cs="Times New Roman"/>
                <w:b w:val="0"/>
                <w:bCs w:val="0"/>
                <w:color w:val="auto"/>
                <w:sz w:val="24"/>
              </w:rPr>
              <w:t>依托原有工程，施工期不进行土建施工，主要为设备的安装与调试。 施工期污染主要为设备安装人员生活污水、设备安装过程产生的噪声、废包装材料、生活垃圾等，且所有安装施工在室内进行，施工期人员生活污水依托厂区现有的卫生间排入化粪池。废包装物统一收集后外售废品收购站。</w:t>
            </w:r>
          </w:p>
          <w:p w14:paraId="58E68DF8">
            <w:pPr>
              <w:keepNext w:val="0"/>
              <w:keepLines w:val="0"/>
              <w:numPr>
                <w:ilvl w:val="0"/>
                <w:numId w:val="0"/>
              </w:numPr>
              <w:suppressLineNumbers w:val="0"/>
              <w:spacing w:before="0" w:beforeAutospacing="0" w:after="0" w:afterAutospacing="0" w:line="360" w:lineRule="auto"/>
              <w:ind w:left="420" w:leftChars="200" w:right="0" w:rightChars="0"/>
              <w:rPr>
                <w:rFonts w:hint="default" w:ascii="Times New Roman" w:hAnsi="Times New Roman" w:cs="Times New Roman"/>
                <w:b/>
                <w:bCs/>
                <w:color w:val="auto"/>
                <w:sz w:val="24"/>
              </w:rPr>
            </w:pPr>
            <w:r>
              <w:rPr>
                <w:rFonts w:hint="default" w:ascii="Times New Roman" w:hAnsi="Times New Roman" w:cs="Times New Roman"/>
                <w:b/>
                <w:bCs/>
                <w:color w:val="auto"/>
                <w:sz w:val="24"/>
              </w:rPr>
              <w:t>二、运营期工艺流程</w:t>
            </w:r>
          </w:p>
          <w:p w14:paraId="7AAF0B2C">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生产工艺流程及主要产污环节见图2-</w:t>
            </w:r>
            <w:r>
              <w:rPr>
                <w:rFonts w:hint="eastAsia" w:ascii="Times New Roman" w:hAnsi="Times New Roman" w:cs="Times New Roman"/>
                <w:color w:val="auto"/>
                <w:sz w:val="24"/>
              </w:rPr>
              <w:t>3</w:t>
            </w:r>
            <w:r>
              <w:rPr>
                <w:rFonts w:hint="default" w:ascii="Times New Roman" w:hAnsi="Times New Roman" w:cs="Times New Roman"/>
                <w:color w:val="auto"/>
                <w:sz w:val="24"/>
              </w:rPr>
              <w:t>。</w:t>
            </w:r>
          </w:p>
          <w:p w14:paraId="751B6E6E">
            <w:pPr>
              <w:keepNext/>
              <w:keepLines/>
              <w:suppressLineNumbers w:val="0"/>
              <w:spacing w:before="0" w:beforeAutospacing="0" w:after="0" w:afterAutospacing="0" w:line="416" w:lineRule="auto"/>
              <w:ind w:left="0" w:right="0"/>
              <w:jc w:val="center"/>
              <w:rPr>
                <w:rFonts w:hint="default"/>
              </w:rPr>
            </w:pPr>
            <w:r>
              <w:rPr>
                <w:rFonts w:hint="eastAsia" w:eastAsia="宋体"/>
                <w:lang w:val="en-US" w:eastAsia="zh-CN"/>
              </w:rPr>
              <w:drawing>
                <wp:inline distT="0" distB="0" distL="114300" distR="114300">
                  <wp:extent cx="4882515" cy="4909185"/>
                  <wp:effectExtent l="0" t="0" r="13335" b="5715"/>
                  <wp:docPr id="14" name="F360BE8B-6686-4F3D-AEAF-501FE73E4058-3" descr="C:/Users/Lenovo/AppData/Local/Temp/绘图1(15).png绘图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360BE8B-6686-4F3D-AEAF-501FE73E4058-3" descr="C:/Users/Lenovo/AppData/Local/Temp/绘图1(15).png绘图1(15)"/>
                          <pic:cNvPicPr>
                            <a:picLocks noChangeAspect="1"/>
                          </pic:cNvPicPr>
                        </pic:nvPicPr>
                        <pic:blipFill>
                          <a:blip r:embed="rId11"/>
                          <a:stretch>
                            <a:fillRect/>
                          </a:stretch>
                        </pic:blipFill>
                        <pic:spPr>
                          <a:xfrm>
                            <a:off x="0" y="0"/>
                            <a:ext cx="4882515" cy="4909185"/>
                          </a:xfrm>
                          <a:prstGeom prst="rect">
                            <a:avLst/>
                          </a:prstGeom>
                        </pic:spPr>
                      </pic:pic>
                    </a:graphicData>
                  </a:graphic>
                </wp:inline>
              </w:drawing>
            </w:r>
          </w:p>
          <w:p w14:paraId="0D28AB2D">
            <w:pPr>
              <w:keepNext/>
              <w:keepLines/>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eastAsia="宋体"/>
                <w:lang w:val="en-US" w:eastAsia="zh-CN"/>
              </w:rPr>
            </w:pPr>
            <w:r>
              <w:rPr>
                <w:rFonts w:hint="default" w:ascii="Times New Roman" w:hAnsi="Times New Roman" w:eastAsia="宋体" w:cs="Times New Roman"/>
                <w:b w:val="0"/>
                <w:bCs w:val="0"/>
                <w:color w:val="auto"/>
                <w:sz w:val="21"/>
                <w:szCs w:val="24"/>
              </w:rPr>
              <w:t>图例：G：废气；S：固废；W：废水</w:t>
            </w:r>
          </w:p>
          <w:p w14:paraId="459C37A5">
            <w:pPr>
              <w:keepNext/>
              <w:keepLines/>
              <w:suppressLineNumbers w:val="0"/>
              <w:spacing w:before="0" w:beforeAutospacing="0" w:after="0" w:afterAutospacing="0" w:line="416" w:lineRule="auto"/>
              <w:ind w:left="0" w:right="0"/>
              <w:jc w:val="center"/>
              <w:rPr>
                <w:rFonts w:hint="default" w:ascii="Times New Roman" w:hAnsi="Times New Roman" w:cs="Times New Roman"/>
                <w:b/>
                <w:bCs/>
                <w:color w:val="auto"/>
                <w:kern w:val="0"/>
                <w:sz w:val="24"/>
                <w:lang w:bidi="ar"/>
              </w:rPr>
            </w:pPr>
            <w:r>
              <w:rPr>
                <w:rFonts w:hint="default" w:ascii="Times New Roman" w:hAnsi="Times New Roman" w:cs="Times New Roman"/>
                <w:b/>
                <w:bCs/>
                <w:color w:val="auto"/>
                <w:kern w:val="0"/>
                <w:sz w:val="24"/>
                <w:lang w:bidi="ar"/>
              </w:rPr>
              <w:t>图</w:t>
            </w:r>
            <w:r>
              <w:rPr>
                <w:rFonts w:hint="eastAsia" w:ascii="Times New Roman" w:hAnsi="Times New Roman" w:cs="Times New Roman"/>
                <w:b/>
                <w:bCs/>
                <w:color w:val="auto"/>
                <w:kern w:val="0"/>
                <w:sz w:val="24"/>
                <w:lang w:bidi="ar"/>
              </w:rPr>
              <w:t>2-3</w:t>
            </w:r>
            <w:r>
              <w:rPr>
                <w:rFonts w:hint="default" w:ascii="Times New Roman" w:hAnsi="Times New Roman" w:cs="Times New Roman"/>
                <w:b/>
                <w:bCs/>
                <w:color w:val="auto"/>
                <w:kern w:val="0"/>
                <w:sz w:val="24"/>
                <w:lang w:bidi="ar"/>
              </w:rPr>
              <w:t xml:space="preserve">  工艺</w:t>
            </w:r>
            <w:r>
              <w:rPr>
                <w:rFonts w:hint="eastAsia" w:cs="Times New Roman"/>
                <w:b/>
                <w:bCs/>
                <w:color w:val="auto"/>
                <w:kern w:val="0"/>
                <w:sz w:val="24"/>
                <w:lang w:val="en-US" w:eastAsia="zh-CN" w:bidi="ar"/>
              </w:rPr>
              <w:t>流程</w:t>
            </w:r>
            <w:r>
              <w:rPr>
                <w:rFonts w:hint="default" w:ascii="Times New Roman" w:hAnsi="Times New Roman" w:cs="Times New Roman"/>
                <w:b/>
                <w:bCs/>
                <w:color w:val="auto"/>
                <w:kern w:val="0"/>
                <w:sz w:val="24"/>
                <w:lang w:bidi="ar"/>
              </w:rPr>
              <w:t>及产污环节图</w:t>
            </w:r>
          </w:p>
          <w:p w14:paraId="70FF6C3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工艺说明：</w:t>
            </w:r>
          </w:p>
          <w:p w14:paraId="0F6CC54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 xml:space="preserve">本册印制工艺简述： </w:t>
            </w:r>
          </w:p>
          <w:p w14:paraId="33A439A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 xml:space="preserve">（1）胶印制版（CTP 制版）：通过计算机控制的激光扫描成像，然后通过显影、定影等工序印版。 </w:t>
            </w:r>
            <w:r>
              <w:rPr>
                <w:rFonts w:hint="eastAsia"/>
                <w:sz w:val="24"/>
                <w:szCs w:val="32"/>
                <w:lang w:val="en-US" w:eastAsia="zh-CN"/>
              </w:rPr>
              <w:t>此过程会产生废显影液、废定影液和废版。</w:t>
            </w:r>
          </w:p>
          <w:p w14:paraId="046C32F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（2）</w:t>
            </w:r>
            <w:r>
              <w:rPr>
                <w:rFonts w:hint="eastAsia" w:cs="Times New Roman"/>
                <w:color w:val="auto"/>
                <w:sz w:val="24"/>
                <w:lang w:val="en-US" w:eastAsia="zh-CN"/>
              </w:rPr>
              <w:t>胶印</w:t>
            </w:r>
            <w:r>
              <w:rPr>
                <w:rFonts w:hint="default" w:ascii="Times New Roman" w:hAnsi="Times New Roman" w:cs="Times New Roman"/>
                <w:color w:val="auto"/>
                <w:sz w:val="24"/>
                <w:lang w:val="en-US" w:eastAsia="zh-CN"/>
              </w:rPr>
              <w:t>印刷：将CTP版安装在印刷机上，利用输墨系统将油墨涂敷在印版表面，由压力机械加压，油墨便从印版转移到橡皮布上，最后由橡皮布转移到承印物上。印刷过程中</w:t>
            </w:r>
            <w:r>
              <w:rPr>
                <w:rFonts w:hint="eastAsia" w:cs="Times New Roman"/>
                <w:color w:val="auto"/>
                <w:sz w:val="24"/>
                <w:lang w:val="en-US" w:eastAsia="zh-CN"/>
              </w:rPr>
              <w:t>会产生有机废气、空油墨桶、废清洗剂及清洗废水</w:t>
            </w:r>
            <w:r>
              <w:rPr>
                <w:rFonts w:hint="default" w:ascii="Times New Roman" w:hAnsi="Times New Roman" w:cs="Times New Roman"/>
                <w:color w:val="auto"/>
                <w:sz w:val="24"/>
                <w:lang w:val="en-US" w:eastAsia="zh-CN"/>
              </w:rPr>
              <w:t xml:space="preserve">。 </w:t>
            </w:r>
          </w:p>
          <w:p w14:paraId="08BB00A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lang w:val="en-US"/>
              </w:rPr>
            </w:pPr>
            <w:r>
              <w:rPr>
                <w:rFonts w:hint="default" w:ascii="Times New Roman" w:hAnsi="Times New Roman" w:cs="Times New Roman"/>
                <w:color w:val="auto"/>
                <w:sz w:val="24"/>
                <w:lang w:val="en-US" w:eastAsia="zh-CN"/>
              </w:rPr>
              <w:t>（3）覆膜：将预涂膜与印刷后的封面经加热</w:t>
            </w:r>
            <w:r>
              <w:rPr>
                <w:rFonts w:hint="eastAsia" w:cs="Times New Roman"/>
                <w:color w:val="auto"/>
                <w:sz w:val="24"/>
                <w:lang w:val="en-US" w:eastAsia="zh-CN"/>
              </w:rPr>
              <w:t>至80</w:t>
            </w:r>
            <w:r>
              <w:rPr>
                <w:rFonts w:hint="default" w:ascii="Times New Roman" w:hAnsi="Times New Roman" w:cs="Times New Roman"/>
                <w:color w:val="auto"/>
                <w:sz w:val="24"/>
                <w:lang w:val="en-US" w:eastAsia="zh-CN"/>
              </w:rPr>
              <w:t xml:space="preserve">℃、加压后黏合在一起形成纸塑合一的封面。 </w:t>
            </w:r>
            <w:r>
              <w:rPr>
                <w:rFonts w:hint="eastAsia" w:cs="Times New Roman"/>
                <w:color w:val="auto"/>
                <w:sz w:val="24"/>
                <w:lang w:val="en-US" w:eastAsia="zh-CN"/>
              </w:rPr>
              <w:t>此过程会产生极少量的有机废气。</w:t>
            </w:r>
          </w:p>
          <w:p w14:paraId="5ECD960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lang w:val="en-US"/>
              </w:rPr>
            </w:pPr>
            <w:r>
              <w:rPr>
                <w:rFonts w:hint="eastAsia" w:cs="Times New Roman"/>
                <w:color w:val="auto"/>
                <w:sz w:val="24"/>
                <w:lang w:val="en-US" w:eastAsia="zh-CN"/>
              </w:rPr>
              <w:t>亮油</w:t>
            </w:r>
            <w:r>
              <w:rPr>
                <w:rFonts w:hint="default" w:ascii="Times New Roman" w:hAnsi="Times New Roman" w:cs="Times New Roman"/>
                <w:color w:val="auto"/>
                <w:sz w:val="24"/>
                <w:lang w:val="en-US" w:eastAsia="zh-CN"/>
              </w:rPr>
              <w:t>：</w:t>
            </w:r>
            <w:r>
              <w:rPr>
                <w:rFonts w:hint="eastAsia" w:cs="Times New Roman"/>
                <w:color w:val="auto"/>
                <w:sz w:val="24"/>
                <w:lang w:val="en-US" w:eastAsia="zh-CN"/>
              </w:rPr>
              <w:t>也称上光，</w:t>
            </w:r>
            <w:r>
              <w:rPr>
                <w:rFonts w:hint="default" w:ascii="Times New Roman" w:hAnsi="Times New Roman" w:cs="Times New Roman"/>
                <w:color w:val="auto"/>
                <w:sz w:val="24"/>
                <w:lang w:val="en-US" w:eastAsia="zh-CN"/>
              </w:rPr>
              <w:t xml:space="preserve">此过程用于封面厚纸的过油上光，经上光机过油处理的各种纸张印品不但表面光泽度大大提高而且印品表面起防潮和耐磨等作用。 </w:t>
            </w:r>
            <w:r>
              <w:rPr>
                <w:rFonts w:hint="eastAsia" w:cs="Times New Roman"/>
                <w:color w:val="auto"/>
                <w:sz w:val="24"/>
                <w:lang w:val="en-US" w:eastAsia="zh-CN"/>
              </w:rPr>
              <w:t>此过程会产生有机废气。</w:t>
            </w:r>
          </w:p>
          <w:p w14:paraId="47FA9E88">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（4）柔印制版</w:t>
            </w:r>
            <w:r>
              <w:rPr>
                <w:rFonts w:hint="eastAsia" w:cs="Times New Roman"/>
                <w:color w:val="auto"/>
                <w:sz w:val="24"/>
                <w:lang w:val="en-US" w:eastAsia="zh-CN"/>
              </w:rPr>
              <w:t>、水性</w:t>
            </w:r>
            <w:r>
              <w:rPr>
                <w:rFonts w:hint="default" w:ascii="Times New Roman" w:hAnsi="Times New Roman" w:cs="Times New Roman"/>
                <w:color w:val="auto"/>
                <w:sz w:val="24"/>
                <w:lang w:val="en-US" w:eastAsia="zh-CN"/>
              </w:rPr>
              <w:t>印刷：本项目将外购的柔版放置于印刷机上，进行内芯的印刷。</w:t>
            </w:r>
            <w:r>
              <w:rPr>
                <w:rFonts w:hint="eastAsia"/>
                <w:sz w:val="24"/>
                <w:szCs w:val="32"/>
                <w:lang w:val="en-US" w:eastAsia="zh-CN"/>
              </w:rPr>
              <w:t>该过程会产生有机废气、印刷不合格产品、清洗废水。</w:t>
            </w:r>
          </w:p>
          <w:p w14:paraId="68FAAA3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 xml:space="preserve">（5）折页锁线：是将印刷好的大幅面印张，按照其上所标页码的顺序和规定的幅面大小折叠成书册，然后用线缝合起来。 </w:t>
            </w:r>
          </w:p>
          <w:p w14:paraId="35B58CB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（6）装订：折页后的内芯利用骑马钉通过</w:t>
            </w:r>
            <w:r>
              <w:rPr>
                <w:rFonts w:hint="eastAsia" w:cs="Times New Roman"/>
                <w:color w:val="auto"/>
                <w:sz w:val="24"/>
                <w:lang w:val="en-US" w:eastAsia="zh-CN"/>
              </w:rPr>
              <w:t>装订丝</w:t>
            </w:r>
            <w:r>
              <w:rPr>
                <w:rFonts w:hint="default" w:ascii="Times New Roman" w:hAnsi="Times New Roman" w:cs="Times New Roman"/>
                <w:color w:val="auto"/>
                <w:sz w:val="24"/>
                <w:lang w:val="en-US" w:eastAsia="zh-CN"/>
              </w:rPr>
              <w:t>或利用热熔胶等装订成册，装订过程中会产生废包装材料，热熔胶装订因加热，会产生一部分胶装有机废气；冷胶包背、铁丝钉装订、</w:t>
            </w:r>
            <w:r>
              <w:rPr>
                <w:rFonts w:hint="eastAsia" w:cs="Times New Roman"/>
                <w:color w:val="auto"/>
                <w:sz w:val="24"/>
                <w:lang w:val="en-US" w:eastAsia="zh-CN"/>
              </w:rPr>
              <w:t>车线</w:t>
            </w:r>
            <w:r>
              <w:rPr>
                <w:rFonts w:hint="default" w:ascii="Times New Roman" w:hAnsi="Times New Roman" w:cs="Times New Roman"/>
                <w:color w:val="auto"/>
                <w:sz w:val="24"/>
                <w:lang w:val="en-US" w:eastAsia="zh-CN"/>
              </w:rPr>
              <w:t xml:space="preserve">装订过程中使用的水性胶，不需要加热，因此不产生有机废气。 </w:t>
            </w:r>
          </w:p>
          <w:p w14:paraId="65D838B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（7）分切修边：将装订好的册子运用高速切纸机进行进行裁切后得到成品作业本，笔记本等。此过程会产生废</w:t>
            </w:r>
            <w:r>
              <w:rPr>
                <w:rFonts w:hint="eastAsia" w:cs="Times New Roman"/>
                <w:color w:val="auto"/>
                <w:sz w:val="24"/>
                <w:lang w:val="en-US" w:eastAsia="zh-CN"/>
              </w:rPr>
              <w:t>纸张边角料</w:t>
            </w:r>
            <w:r>
              <w:rPr>
                <w:rFonts w:hint="default" w:ascii="Times New Roman" w:hAnsi="Times New Roman" w:cs="Times New Roman"/>
                <w:color w:val="auto"/>
                <w:sz w:val="24"/>
                <w:lang w:val="en-US" w:eastAsia="zh-CN"/>
              </w:rPr>
              <w:t xml:space="preserve">。 </w:t>
            </w:r>
          </w:p>
          <w:p w14:paraId="68CA653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（8）检验：对成品作业本、笔记本等进行检验，不合格产品进行收集暂存。此过程会产生不合格产品、废</w:t>
            </w:r>
            <w:r>
              <w:rPr>
                <w:rFonts w:hint="eastAsia" w:cs="Times New Roman"/>
                <w:color w:val="auto"/>
                <w:sz w:val="24"/>
                <w:lang w:val="en-US" w:eastAsia="zh-CN"/>
              </w:rPr>
              <w:t>纸张边角料</w:t>
            </w:r>
            <w:r>
              <w:rPr>
                <w:rFonts w:hint="default" w:ascii="Times New Roman" w:hAnsi="Times New Roman" w:cs="Times New Roman"/>
                <w:color w:val="auto"/>
                <w:sz w:val="24"/>
                <w:lang w:val="en-US" w:eastAsia="zh-CN"/>
              </w:rPr>
              <w:t>和废包装</w:t>
            </w:r>
            <w:r>
              <w:rPr>
                <w:rFonts w:hint="eastAsia" w:cs="Times New Roman"/>
                <w:color w:val="auto"/>
                <w:sz w:val="24"/>
                <w:lang w:val="en-US" w:eastAsia="zh-CN"/>
              </w:rPr>
              <w:t>材料</w:t>
            </w:r>
            <w:r>
              <w:rPr>
                <w:rFonts w:hint="default" w:ascii="Times New Roman" w:hAnsi="Times New Roman" w:cs="Times New Roman"/>
                <w:color w:val="auto"/>
                <w:sz w:val="24"/>
                <w:lang w:val="en-US" w:eastAsia="zh-CN"/>
              </w:rPr>
              <w:t xml:space="preserve">。 </w:t>
            </w:r>
          </w:p>
          <w:p w14:paraId="6CD8ACF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 xml:space="preserve">（9）套袋收缩/装箱：将合格的产品套上塑料袋，分类装箱。 </w:t>
            </w:r>
          </w:p>
          <w:p w14:paraId="5E6F66B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w:t>
            </w:r>
            <w:r>
              <w:rPr>
                <w:rFonts w:hint="eastAsia" w:cs="Times New Roman"/>
                <w:color w:val="auto"/>
                <w:sz w:val="24"/>
                <w:lang w:val="en-US" w:eastAsia="zh-CN"/>
              </w:rPr>
              <w:t>10</w:t>
            </w:r>
            <w:r>
              <w:rPr>
                <w:rFonts w:hint="default" w:ascii="Times New Roman" w:hAnsi="Times New Roman" w:cs="Times New Roman"/>
                <w:color w:val="auto"/>
                <w:sz w:val="24"/>
                <w:lang w:val="en-US" w:eastAsia="zh-CN"/>
              </w:rPr>
              <w:t>）入库：成品装箱后，由叉车运送至成品库。</w:t>
            </w:r>
          </w:p>
          <w:p w14:paraId="736FE5D8">
            <w:pPr>
              <w:pStyle w:val="9"/>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szCs w:val="24"/>
                <w:lang w:bidi="ar"/>
              </w:rPr>
            </w:pPr>
            <w:r>
              <w:rPr>
                <w:rFonts w:hint="default" w:ascii="Times New Roman" w:hAnsi="Times New Roman" w:cs="Times New Roman"/>
                <w:color w:val="auto"/>
                <w:sz w:val="24"/>
                <w:szCs w:val="24"/>
                <w:lang w:bidi="ar"/>
              </w:rPr>
              <w:t>本项目运营期具体产生污染情况见下表</w:t>
            </w:r>
            <w:r>
              <w:rPr>
                <w:rFonts w:hint="eastAsia" w:ascii="Times New Roman" w:hAnsi="Times New Roman" w:cs="Times New Roman"/>
                <w:color w:val="auto"/>
                <w:sz w:val="24"/>
                <w:szCs w:val="24"/>
                <w:lang w:bidi="ar"/>
              </w:rPr>
              <w:t>。</w:t>
            </w:r>
          </w:p>
          <w:p w14:paraId="0AE798EE">
            <w:pPr>
              <w:keepNext w:val="0"/>
              <w:keepLines w:val="0"/>
              <w:suppressLineNumbers w:val="0"/>
              <w:adjustRightInd w:val="0"/>
              <w:snapToGrid w:val="0"/>
              <w:spacing w:before="120" w:beforeLines="50" w:beforeAutospacing="0" w:after="0" w:afterAutospacing="0"/>
              <w:ind w:left="0" w:right="0"/>
              <w:jc w:val="center"/>
              <w:rPr>
                <w:rFonts w:hint="eastAsia" w:ascii="Times New Roman" w:hAnsi="Times New Roman" w:cs="Times New Roman"/>
                <w:b/>
                <w:color w:val="auto"/>
                <w:sz w:val="24"/>
              </w:rPr>
            </w:pPr>
            <w:r>
              <w:rPr>
                <w:rFonts w:hint="eastAsia" w:ascii="Times New Roman" w:hAnsi="Times New Roman" w:cs="Times New Roman"/>
                <w:b/>
                <w:color w:val="auto"/>
                <w:sz w:val="24"/>
              </w:rPr>
              <w:t>表2-</w:t>
            </w:r>
            <w:r>
              <w:rPr>
                <w:rFonts w:hint="eastAsia" w:cs="Times New Roman"/>
                <w:b/>
                <w:color w:val="auto"/>
                <w:sz w:val="24"/>
                <w:lang w:val="en-US" w:eastAsia="zh-CN"/>
              </w:rPr>
              <w:t>6</w:t>
            </w:r>
            <w:r>
              <w:rPr>
                <w:rFonts w:hint="eastAsia" w:ascii="Times New Roman" w:hAnsi="Times New Roman" w:cs="Times New Roman"/>
                <w:b/>
                <w:color w:val="auto"/>
                <w:sz w:val="24"/>
              </w:rPr>
              <w:t xml:space="preserve"> 项目运营期污染产生情况一览表</w:t>
            </w:r>
          </w:p>
          <w:tbl>
            <w:tblPr>
              <w:tblStyle w:val="26"/>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2051"/>
              <w:gridCol w:w="2379"/>
              <w:gridCol w:w="2970"/>
            </w:tblGrid>
            <w:tr w14:paraId="1B88E7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noWrap w:val="0"/>
                  <w:vAlign w:val="center"/>
                </w:tcPr>
                <w:p w14:paraId="0C331AE6">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污染类型</w:t>
                  </w:r>
                </w:p>
              </w:tc>
              <w:tc>
                <w:tcPr>
                  <w:tcW w:w="1190" w:type="pct"/>
                  <w:noWrap w:val="0"/>
                  <w:vAlign w:val="center"/>
                </w:tcPr>
                <w:p w14:paraId="75A70297">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污染源</w:t>
                  </w:r>
                </w:p>
              </w:tc>
              <w:tc>
                <w:tcPr>
                  <w:tcW w:w="1380" w:type="pct"/>
                  <w:noWrap w:val="0"/>
                  <w:vAlign w:val="center"/>
                </w:tcPr>
                <w:p w14:paraId="3CFF1CB3">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产生工序</w:t>
                  </w:r>
                </w:p>
              </w:tc>
              <w:tc>
                <w:tcPr>
                  <w:tcW w:w="1723" w:type="pct"/>
                  <w:noWrap w:val="0"/>
                  <w:vAlign w:val="center"/>
                </w:tcPr>
                <w:p w14:paraId="1A836E33">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主要污染物</w:t>
                  </w:r>
                </w:p>
              </w:tc>
            </w:tr>
            <w:tr w14:paraId="73E94B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restart"/>
                  <w:noWrap w:val="0"/>
                  <w:vAlign w:val="center"/>
                </w:tcPr>
                <w:p w14:paraId="3CDC12F5">
                  <w:pPr>
                    <w:pStyle w:val="9"/>
                    <w:keepNext w:val="0"/>
                    <w:keepLines w:val="0"/>
                    <w:pageBreakBefore w:val="0"/>
                    <w:widowControl/>
                    <w:suppressLineNumbers w:val="0"/>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1190" w:type="pct"/>
                  <w:noWrap w:val="0"/>
                  <w:vAlign w:val="center"/>
                </w:tcPr>
                <w:p w14:paraId="01DFADF5">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胶印印刷</w:t>
                  </w:r>
                </w:p>
              </w:tc>
              <w:tc>
                <w:tcPr>
                  <w:tcW w:w="1380" w:type="pct"/>
                  <w:noWrap w:val="0"/>
                  <w:vAlign w:val="center"/>
                </w:tcPr>
                <w:p w14:paraId="5228582F">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印刷工序</w:t>
                  </w:r>
                </w:p>
              </w:tc>
              <w:tc>
                <w:tcPr>
                  <w:tcW w:w="1723" w:type="pct"/>
                  <w:noWrap w:val="0"/>
                  <w:vAlign w:val="center"/>
                </w:tcPr>
                <w:p w14:paraId="2939DC7E">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非甲烷总烃</w:t>
                  </w:r>
                </w:p>
              </w:tc>
            </w:tr>
            <w:tr w14:paraId="44D2C5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06D41DC4">
                  <w:pPr>
                    <w:pStyle w:val="9"/>
                    <w:keepNext w:val="0"/>
                    <w:keepLines w:val="0"/>
                    <w:pageBreakBefore w:val="0"/>
                    <w:widowControl/>
                    <w:suppressLineNumbers w:val="0"/>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color w:val="auto"/>
                      <w:sz w:val="21"/>
                      <w:szCs w:val="21"/>
                    </w:rPr>
                  </w:pPr>
                </w:p>
              </w:tc>
              <w:tc>
                <w:tcPr>
                  <w:tcW w:w="1190" w:type="pct"/>
                  <w:noWrap w:val="0"/>
                  <w:vAlign w:val="center"/>
                </w:tcPr>
                <w:p w14:paraId="3D75FEE3">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热熔胶胶装</w:t>
                  </w:r>
                </w:p>
              </w:tc>
              <w:tc>
                <w:tcPr>
                  <w:tcW w:w="1380" w:type="pct"/>
                  <w:noWrap w:val="0"/>
                  <w:vAlign w:val="center"/>
                </w:tcPr>
                <w:p w14:paraId="67EF11C2">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装订工序</w:t>
                  </w:r>
                </w:p>
              </w:tc>
              <w:tc>
                <w:tcPr>
                  <w:tcW w:w="1723" w:type="pct"/>
                  <w:noWrap w:val="0"/>
                  <w:vAlign w:val="center"/>
                </w:tcPr>
                <w:p w14:paraId="65857A43">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eastAsia" w:cs="Times New Roman"/>
                      <w:color w:val="auto"/>
                      <w:sz w:val="21"/>
                      <w:szCs w:val="21"/>
                      <w:lang w:val="en-US" w:eastAsia="zh-CN"/>
                    </w:rPr>
                    <w:t>非甲烷总烃</w:t>
                  </w:r>
                </w:p>
              </w:tc>
            </w:tr>
            <w:tr w14:paraId="53DBA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52522929">
                  <w:pPr>
                    <w:pStyle w:val="9"/>
                    <w:keepNext w:val="0"/>
                    <w:keepLines w:val="0"/>
                    <w:pageBreakBefore w:val="0"/>
                    <w:widowControl/>
                    <w:suppressLineNumbers w:val="0"/>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color w:val="auto"/>
                      <w:sz w:val="21"/>
                      <w:szCs w:val="21"/>
                    </w:rPr>
                  </w:pPr>
                </w:p>
              </w:tc>
              <w:tc>
                <w:tcPr>
                  <w:tcW w:w="1190" w:type="pct"/>
                  <w:noWrap w:val="0"/>
                  <w:vAlign w:val="center"/>
                </w:tcPr>
                <w:p w14:paraId="781C368B">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覆膜亮油</w:t>
                  </w:r>
                </w:p>
              </w:tc>
              <w:tc>
                <w:tcPr>
                  <w:tcW w:w="1380" w:type="pct"/>
                  <w:noWrap w:val="0"/>
                  <w:vAlign w:val="center"/>
                </w:tcPr>
                <w:p w14:paraId="45270BCE">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覆膜亮油工序</w:t>
                  </w:r>
                </w:p>
              </w:tc>
              <w:tc>
                <w:tcPr>
                  <w:tcW w:w="1723" w:type="pct"/>
                  <w:noWrap w:val="0"/>
                  <w:vAlign w:val="center"/>
                </w:tcPr>
                <w:p w14:paraId="7F8E7B34">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eastAsia" w:cs="Times New Roman"/>
                      <w:color w:val="auto"/>
                      <w:sz w:val="21"/>
                      <w:szCs w:val="21"/>
                      <w:lang w:val="en-US" w:eastAsia="zh-CN"/>
                    </w:rPr>
                    <w:t>非甲烷总烃</w:t>
                  </w:r>
                </w:p>
              </w:tc>
            </w:tr>
            <w:tr w14:paraId="277B46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0592B7E3">
                  <w:pPr>
                    <w:pStyle w:val="9"/>
                    <w:keepNext w:val="0"/>
                    <w:keepLines w:val="0"/>
                    <w:pageBreakBefore w:val="0"/>
                    <w:widowControl/>
                    <w:suppressLineNumbers w:val="0"/>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color w:val="auto"/>
                      <w:sz w:val="21"/>
                      <w:szCs w:val="21"/>
                    </w:rPr>
                  </w:pPr>
                </w:p>
              </w:tc>
              <w:tc>
                <w:tcPr>
                  <w:tcW w:w="1190" w:type="pct"/>
                  <w:noWrap w:val="0"/>
                  <w:vAlign w:val="center"/>
                </w:tcPr>
                <w:p w14:paraId="5863D689">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水性印刷</w:t>
                  </w:r>
                </w:p>
              </w:tc>
              <w:tc>
                <w:tcPr>
                  <w:tcW w:w="1380" w:type="pct"/>
                  <w:noWrap w:val="0"/>
                  <w:vAlign w:val="center"/>
                </w:tcPr>
                <w:p w14:paraId="703FD84F">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印刷工序</w:t>
                  </w:r>
                </w:p>
              </w:tc>
              <w:tc>
                <w:tcPr>
                  <w:tcW w:w="1723" w:type="pct"/>
                  <w:noWrap w:val="0"/>
                  <w:vAlign w:val="center"/>
                </w:tcPr>
                <w:p w14:paraId="5B92BC7B">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eastAsia" w:cs="Times New Roman"/>
                      <w:color w:val="auto"/>
                      <w:sz w:val="21"/>
                      <w:szCs w:val="21"/>
                      <w:lang w:val="en-US" w:eastAsia="zh-CN"/>
                    </w:rPr>
                    <w:t>非甲烷总烃</w:t>
                  </w:r>
                </w:p>
              </w:tc>
            </w:tr>
            <w:tr w14:paraId="720039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4FB13476">
                  <w:pPr>
                    <w:pStyle w:val="9"/>
                    <w:keepNext w:val="0"/>
                    <w:keepLines w:val="0"/>
                    <w:pageBreakBefore w:val="0"/>
                    <w:widowControl/>
                    <w:suppressLineNumbers w:val="0"/>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color w:val="auto"/>
                      <w:sz w:val="21"/>
                      <w:szCs w:val="21"/>
                    </w:rPr>
                  </w:pPr>
                </w:p>
              </w:tc>
              <w:tc>
                <w:tcPr>
                  <w:tcW w:w="1190" w:type="pct"/>
                  <w:noWrap w:val="0"/>
                  <w:vAlign w:val="center"/>
                </w:tcPr>
                <w:p w14:paraId="68571852">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食堂</w:t>
                  </w:r>
                </w:p>
              </w:tc>
              <w:tc>
                <w:tcPr>
                  <w:tcW w:w="1380" w:type="pct"/>
                  <w:noWrap w:val="0"/>
                  <w:vAlign w:val="center"/>
                </w:tcPr>
                <w:p w14:paraId="2CF47A3D">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食堂</w:t>
                  </w:r>
                </w:p>
              </w:tc>
              <w:tc>
                <w:tcPr>
                  <w:tcW w:w="1723" w:type="pct"/>
                  <w:noWrap w:val="0"/>
                  <w:vAlign w:val="center"/>
                </w:tcPr>
                <w:p w14:paraId="04BEFC90">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油烟</w:t>
                  </w:r>
                </w:p>
              </w:tc>
            </w:tr>
            <w:tr w14:paraId="2C5AF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restart"/>
                  <w:noWrap w:val="0"/>
                  <w:vAlign w:val="center"/>
                </w:tcPr>
                <w:p w14:paraId="1AB42424">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cs="Times New Roman"/>
                      <w:color w:val="auto"/>
                      <w:sz w:val="21"/>
                      <w:szCs w:val="21"/>
                    </w:rPr>
                  </w:pPr>
                  <w:r>
                    <w:rPr>
                      <w:rFonts w:hint="eastAsia" w:ascii="Times New Roman" w:hAnsi="Times New Roman" w:cs="Times New Roman"/>
                      <w:color w:val="auto"/>
                      <w:sz w:val="21"/>
                      <w:szCs w:val="21"/>
                    </w:rPr>
                    <w:t>废水</w:t>
                  </w:r>
                </w:p>
              </w:tc>
              <w:tc>
                <w:tcPr>
                  <w:tcW w:w="1190" w:type="pct"/>
                  <w:noWrap w:val="0"/>
                  <w:vAlign w:val="center"/>
                </w:tcPr>
                <w:p w14:paraId="6DB437CD">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食堂废水、办公生活废水</w:t>
                  </w:r>
                </w:p>
              </w:tc>
              <w:tc>
                <w:tcPr>
                  <w:tcW w:w="1380" w:type="pct"/>
                  <w:noWrap w:val="0"/>
                  <w:vAlign w:val="center"/>
                </w:tcPr>
                <w:p w14:paraId="40020482">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办公生活</w:t>
                  </w:r>
                </w:p>
              </w:tc>
              <w:tc>
                <w:tcPr>
                  <w:tcW w:w="1723" w:type="pct"/>
                  <w:noWrap w:val="0"/>
                  <w:vAlign w:val="center"/>
                </w:tcPr>
                <w:p w14:paraId="2920AEE5">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COD、BOD</w:t>
                  </w:r>
                  <w:r>
                    <w:rPr>
                      <w:rFonts w:hint="eastAsia" w:cs="Times New Roman"/>
                      <w:color w:val="auto"/>
                      <w:sz w:val="21"/>
                      <w:szCs w:val="21"/>
                      <w:vertAlign w:val="subscript"/>
                      <w:lang w:val="en-US" w:eastAsia="zh-CN"/>
                    </w:rPr>
                    <w:t>5</w:t>
                  </w:r>
                  <w:r>
                    <w:rPr>
                      <w:rFonts w:hint="eastAsia" w:cs="Times New Roman"/>
                      <w:color w:val="auto"/>
                      <w:sz w:val="21"/>
                      <w:szCs w:val="21"/>
                      <w:lang w:val="en-US" w:eastAsia="zh-CN"/>
                    </w:rPr>
                    <w:t>、NH</w:t>
                  </w:r>
                  <w:r>
                    <w:rPr>
                      <w:rFonts w:hint="eastAsia" w:cs="Times New Roman"/>
                      <w:color w:val="auto"/>
                      <w:sz w:val="21"/>
                      <w:szCs w:val="21"/>
                      <w:vertAlign w:val="subscript"/>
                      <w:lang w:val="en-US" w:eastAsia="zh-CN"/>
                    </w:rPr>
                    <w:t>3</w:t>
                  </w:r>
                  <w:r>
                    <w:rPr>
                      <w:rFonts w:hint="eastAsia" w:cs="Times New Roman"/>
                      <w:color w:val="auto"/>
                      <w:sz w:val="21"/>
                      <w:szCs w:val="21"/>
                      <w:lang w:val="en-US" w:eastAsia="zh-CN"/>
                    </w:rPr>
                    <w:t>-N、SS、动植物油</w:t>
                  </w:r>
                </w:p>
              </w:tc>
            </w:tr>
            <w:tr w14:paraId="7E4219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6F7D0BDF">
                  <w:pPr>
                    <w:pStyle w:val="9"/>
                    <w:keepNext w:val="0"/>
                    <w:keepLines w:val="0"/>
                    <w:pageBreakBefore w:val="0"/>
                    <w:widowControl/>
                    <w:suppressLineNumbers w:val="0"/>
                    <w:kinsoku/>
                    <w:wordWrap/>
                    <w:overflowPunct/>
                    <w:topLinePunct w:val="0"/>
                    <w:autoSpaceDE/>
                    <w:autoSpaceDN/>
                    <w:bidi w:val="0"/>
                    <w:adjustRightInd/>
                    <w:snapToGrid w:val="0"/>
                    <w:spacing w:beforeAutospacing="0" w:afterAutospacing="0" w:line="240" w:lineRule="auto"/>
                    <w:ind w:left="0" w:right="0"/>
                    <w:jc w:val="center"/>
                    <w:textAlignment w:val="auto"/>
                    <w:rPr>
                      <w:rFonts w:hint="default" w:ascii="Times New Roman" w:hAnsi="Times New Roman" w:cs="Times New Roman"/>
                      <w:color w:val="auto"/>
                      <w:sz w:val="21"/>
                      <w:szCs w:val="21"/>
                    </w:rPr>
                  </w:pPr>
                </w:p>
              </w:tc>
              <w:tc>
                <w:tcPr>
                  <w:tcW w:w="1190" w:type="pct"/>
                  <w:noWrap w:val="0"/>
                  <w:vAlign w:val="center"/>
                </w:tcPr>
                <w:p w14:paraId="613F0844">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生产废水</w:t>
                  </w:r>
                </w:p>
              </w:tc>
              <w:tc>
                <w:tcPr>
                  <w:tcW w:w="1380" w:type="pct"/>
                  <w:noWrap w:val="0"/>
                  <w:vAlign w:val="center"/>
                </w:tcPr>
                <w:p w14:paraId="0D5AF563">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清洗工序</w:t>
                  </w:r>
                </w:p>
              </w:tc>
              <w:tc>
                <w:tcPr>
                  <w:tcW w:w="1723" w:type="pct"/>
                  <w:noWrap w:val="0"/>
                  <w:vAlign w:val="center"/>
                </w:tcPr>
                <w:p w14:paraId="4D127C86">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COD、BOD</w:t>
                  </w:r>
                  <w:r>
                    <w:rPr>
                      <w:rFonts w:hint="eastAsia" w:cs="Times New Roman"/>
                      <w:color w:val="auto"/>
                      <w:sz w:val="21"/>
                      <w:szCs w:val="21"/>
                      <w:vertAlign w:val="subscript"/>
                      <w:lang w:val="en-US" w:eastAsia="zh-CN"/>
                    </w:rPr>
                    <w:t>5</w:t>
                  </w:r>
                  <w:r>
                    <w:rPr>
                      <w:rFonts w:hint="eastAsia" w:cs="Times New Roman"/>
                      <w:color w:val="auto"/>
                      <w:sz w:val="21"/>
                      <w:szCs w:val="21"/>
                      <w:lang w:val="en-US" w:eastAsia="zh-CN"/>
                    </w:rPr>
                    <w:t>、SS</w:t>
                  </w:r>
                </w:p>
              </w:tc>
            </w:tr>
            <w:tr w14:paraId="41497C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noWrap w:val="0"/>
                  <w:vAlign w:val="center"/>
                </w:tcPr>
                <w:p w14:paraId="759CADFC">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190" w:type="pct"/>
                  <w:noWrap w:val="0"/>
                  <w:vAlign w:val="center"/>
                </w:tcPr>
                <w:p w14:paraId="4DDE4BBC">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车间设备、环保设备噪声</w:t>
                  </w:r>
                </w:p>
              </w:tc>
              <w:tc>
                <w:tcPr>
                  <w:tcW w:w="1380" w:type="pct"/>
                  <w:noWrap w:val="0"/>
                  <w:vAlign w:val="center"/>
                </w:tcPr>
                <w:p w14:paraId="4FD7B02D">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设备运行</w:t>
                  </w:r>
                </w:p>
              </w:tc>
              <w:tc>
                <w:tcPr>
                  <w:tcW w:w="1723" w:type="pct"/>
                  <w:noWrap w:val="0"/>
                  <w:vAlign w:val="center"/>
                </w:tcPr>
                <w:p w14:paraId="58CF5BE4">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设备噪声</w:t>
                  </w:r>
                </w:p>
              </w:tc>
            </w:tr>
            <w:tr w14:paraId="2EF1D0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restart"/>
                  <w:noWrap w:val="0"/>
                  <w:vAlign w:val="center"/>
                </w:tcPr>
                <w:p w14:paraId="3133FF7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固体废物</w:t>
                  </w:r>
                </w:p>
              </w:tc>
              <w:tc>
                <w:tcPr>
                  <w:tcW w:w="1190" w:type="pct"/>
                  <w:noWrap w:val="0"/>
                  <w:vAlign w:val="center"/>
                </w:tcPr>
                <w:p w14:paraId="5382253D">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废纸张边角料</w:t>
                  </w:r>
                </w:p>
              </w:tc>
              <w:tc>
                <w:tcPr>
                  <w:tcW w:w="1380" w:type="pct"/>
                  <w:noWrap w:val="0"/>
                  <w:vAlign w:val="center"/>
                </w:tcPr>
                <w:p w14:paraId="67254A0B">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印刷工序</w:t>
                  </w:r>
                </w:p>
              </w:tc>
              <w:tc>
                <w:tcPr>
                  <w:tcW w:w="1723" w:type="pct"/>
                  <w:noWrap w:val="0"/>
                  <w:vAlign w:val="center"/>
                </w:tcPr>
                <w:p w14:paraId="2490865B">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废纸张</w:t>
                  </w:r>
                </w:p>
              </w:tc>
            </w:tr>
            <w:tr w14:paraId="356583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5C1CB7D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default" w:ascii="Times New Roman" w:hAnsi="Times New Roman" w:cs="Times New Roman"/>
                      <w:color w:val="auto"/>
                      <w:szCs w:val="21"/>
                    </w:rPr>
                  </w:pPr>
                </w:p>
              </w:tc>
              <w:tc>
                <w:tcPr>
                  <w:tcW w:w="1190" w:type="pct"/>
                  <w:noWrap w:val="0"/>
                  <w:vAlign w:val="center"/>
                </w:tcPr>
                <w:p w14:paraId="34933E20">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印刷不合格产品</w:t>
                  </w:r>
                </w:p>
              </w:tc>
              <w:tc>
                <w:tcPr>
                  <w:tcW w:w="1380" w:type="pct"/>
                  <w:noWrap w:val="0"/>
                  <w:vAlign w:val="center"/>
                </w:tcPr>
                <w:p w14:paraId="1AF8E0FE">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cs="Times New Roman"/>
                      <w:color w:val="auto"/>
                      <w:sz w:val="21"/>
                      <w:szCs w:val="21"/>
                    </w:rPr>
                  </w:pPr>
                  <w:r>
                    <w:rPr>
                      <w:rFonts w:hint="eastAsia" w:cs="Times New Roman"/>
                      <w:color w:val="auto"/>
                      <w:sz w:val="21"/>
                      <w:szCs w:val="21"/>
                      <w:lang w:val="en-US" w:eastAsia="zh-CN"/>
                    </w:rPr>
                    <w:t>印刷工序</w:t>
                  </w:r>
                </w:p>
              </w:tc>
              <w:tc>
                <w:tcPr>
                  <w:tcW w:w="1723" w:type="pct"/>
                  <w:noWrap w:val="0"/>
                  <w:vAlign w:val="center"/>
                </w:tcPr>
                <w:p w14:paraId="294E8B6E">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废纸张</w:t>
                  </w:r>
                </w:p>
              </w:tc>
            </w:tr>
            <w:tr w14:paraId="674CF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3A6E752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default" w:ascii="Times New Roman" w:hAnsi="Times New Roman" w:cs="Times New Roman"/>
                      <w:color w:val="auto"/>
                      <w:szCs w:val="21"/>
                    </w:rPr>
                  </w:pPr>
                </w:p>
              </w:tc>
              <w:tc>
                <w:tcPr>
                  <w:tcW w:w="1190" w:type="pct"/>
                  <w:noWrap w:val="0"/>
                  <w:vAlign w:val="center"/>
                </w:tcPr>
                <w:p w14:paraId="69F5406A">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废包装材料</w:t>
                  </w:r>
                </w:p>
              </w:tc>
              <w:tc>
                <w:tcPr>
                  <w:tcW w:w="1380" w:type="pct"/>
                  <w:noWrap w:val="0"/>
                  <w:vAlign w:val="center"/>
                </w:tcPr>
                <w:p w14:paraId="1AF0E6F8">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包装工序</w:t>
                  </w:r>
                </w:p>
              </w:tc>
              <w:tc>
                <w:tcPr>
                  <w:tcW w:w="1723" w:type="pct"/>
                  <w:noWrap w:val="0"/>
                  <w:vAlign w:val="center"/>
                </w:tcPr>
                <w:p w14:paraId="2079D29B">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废包装材料</w:t>
                  </w:r>
                </w:p>
              </w:tc>
            </w:tr>
            <w:tr w14:paraId="25B72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74AE4A4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default" w:ascii="Times New Roman" w:hAnsi="Times New Roman" w:cs="Times New Roman"/>
                      <w:color w:val="auto"/>
                      <w:szCs w:val="21"/>
                    </w:rPr>
                  </w:pPr>
                </w:p>
              </w:tc>
              <w:tc>
                <w:tcPr>
                  <w:tcW w:w="1190" w:type="pct"/>
                  <w:noWrap w:val="0"/>
                  <w:vAlign w:val="center"/>
                </w:tcPr>
                <w:p w14:paraId="77388690">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生活垃圾</w:t>
                  </w:r>
                </w:p>
              </w:tc>
              <w:tc>
                <w:tcPr>
                  <w:tcW w:w="1380" w:type="pct"/>
                  <w:noWrap w:val="0"/>
                  <w:vAlign w:val="center"/>
                </w:tcPr>
                <w:p w14:paraId="76B72B9D">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办公生活</w:t>
                  </w:r>
                </w:p>
              </w:tc>
              <w:tc>
                <w:tcPr>
                  <w:tcW w:w="1723" w:type="pct"/>
                  <w:noWrap w:val="0"/>
                  <w:vAlign w:val="center"/>
                </w:tcPr>
                <w:p w14:paraId="60317FE2">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生活垃圾</w:t>
                  </w:r>
                </w:p>
              </w:tc>
            </w:tr>
            <w:tr w14:paraId="4166C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1FE0641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1EA0403A">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空油墨桶</w:t>
                  </w:r>
                </w:p>
              </w:tc>
              <w:tc>
                <w:tcPr>
                  <w:tcW w:w="1380" w:type="pct"/>
                  <w:noWrap w:val="0"/>
                  <w:vAlign w:val="center"/>
                </w:tcPr>
                <w:p w14:paraId="1E280081">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cs="Times New Roman"/>
                      <w:color w:val="auto"/>
                      <w:sz w:val="21"/>
                      <w:szCs w:val="21"/>
                    </w:rPr>
                  </w:pPr>
                  <w:r>
                    <w:rPr>
                      <w:rFonts w:hint="eastAsia" w:cs="Times New Roman"/>
                      <w:color w:val="auto"/>
                      <w:sz w:val="21"/>
                      <w:szCs w:val="21"/>
                      <w:lang w:val="en-US" w:eastAsia="zh-CN"/>
                    </w:rPr>
                    <w:t>印刷工序</w:t>
                  </w:r>
                </w:p>
              </w:tc>
              <w:tc>
                <w:tcPr>
                  <w:tcW w:w="1723" w:type="pct"/>
                  <w:noWrap w:val="0"/>
                  <w:vAlign w:val="center"/>
                </w:tcPr>
                <w:p w14:paraId="4958BA6D">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塑料桶、油墨</w:t>
                  </w:r>
                </w:p>
              </w:tc>
            </w:tr>
            <w:tr w14:paraId="0752EB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7CF4A2D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62221C96">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废含油抹布</w:t>
                  </w:r>
                </w:p>
              </w:tc>
              <w:tc>
                <w:tcPr>
                  <w:tcW w:w="1380" w:type="pct"/>
                  <w:noWrap w:val="0"/>
                  <w:vAlign w:val="center"/>
                </w:tcPr>
                <w:p w14:paraId="5C5537B5">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维修工序</w:t>
                  </w:r>
                </w:p>
              </w:tc>
              <w:tc>
                <w:tcPr>
                  <w:tcW w:w="1723" w:type="pct"/>
                  <w:noWrap w:val="0"/>
                  <w:vAlign w:val="center"/>
                </w:tcPr>
                <w:p w14:paraId="0E8EA346">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矿物油、棉布</w:t>
                  </w:r>
                </w:p>
              </w:tc>
            </w:tr>
            <w:tr w14:paraId="3B3F7A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3F551C7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4B583AB6">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废污泥</w:t>
                  </w:r>
                </w:p>
              </w:tc>
              <w:tc>
                <w:tcPr>
                  <w:tcW w:w="1380" w:type="pct"/>
                  <w:noWrap w:val="0"/>
                  <w:vAlign w:val="center"/>
                </w:tcPr>
                <w:p w14:paraId="42C24A10">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废水处理工序</w:t>
                  </w:r>
                </w:p>
              </w:tc>
              <w:tc>
                <w:tcPr>
                  <w:tcW w:w="1723" w:type="pct"/>
                  <w:noWrap w:val="0"/>
                  <w:vAlign w:val="center"/>
                </w:tcPr>
                <w:p w14:paraId="18FFE230">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污泥</w:t>
                  </w:r>
                </w:p>
              </w:tc>
            </w:tr>
            <w:tr w14:paraId="3A91A8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3864280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1630AAEE">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废空胶桶</w:t>
                  </w:r>
                </w:p>
              </w:tc>
              <w:tc>
                <w:tcPr>
                  <w:tcW w:w="1380" w:type="pct"/>
                  <w:noWrap w:val="0"/>
                  <w:vAlign w:val="center"/>
                </w:tcPr>
                <w:p w14:paraId="4C235ED4">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胶装工序</w:t>
                  </w:r>
                </w:p>
              </w:tc>
              <w:tc>
                <w:tcPr>
                  <w:tcW w:w="1723" w:type="pct"/>
                  <w:noWrap w:val="0"/>
                  <w:vAlign w:val="center"/>
                </w:tcPr>
                <w:p w14:paraId="10DB9813">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塑料桶、胶</w:t>
                  </w:r>
                </w:p>
              </w:tc>
            </w:tr>
            <w:tr w14:paraId="769328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47B10D0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5DDE0EF0">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废机油</w:t>
                  </w:r>
                </w:p>
              </w:tc>
              <w:tc>
                <w:tcPr>
                  <w:tcW w:w="1380" w:type="pct"/>
                  <w:noWrap w:val="0"/>
                  <w:vAlign w:val="center"/>
                </w:tcPr>
                <w:p w14:paraId="4C076373">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维修工序</w:t>
                  </w:r>
                </w:p>
              </w:tc>
              <w:tc>
                <w:tcPr>
                  <w:tcW w:w="1723" w:type="pct"/>
                  <w:noWrap w:val="0"/>
                  <w:vAlign w:val="center"/>
                </w:tcPr>
                <w:p w14:paraId="56296C9F">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机油</w:t>
                  </w:r>
                </w:p>
              </w:tc>
            </w:tr>
            <w:tr w14:paraId="7E7263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568A915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3123A44B">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废显影液</w:t>
                  </w:r>
                </w:p>
              </w:tc>
              <w:tc>
                <w:tcPr>
                  <w:tcW w:w="1380" w:type="pct"/>
                  <w:noWrap w:val="0"/>
                  <w:vAlign w:val="center"/>
                </w:tcPr>
                <w:p w14:paraId="4096F587">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cs="Times New Roman"/>
                      <w:color w:val="auto"/>
                      <w:sz w:val="21"/>
                      <w:szCs w:val="21"/>
                    </w:rPr>
                  </w:pPr>
                  <w:r>
                    <w:rPr>
                      <w:rFonts w:hint="eastAsia" w:cs="Times New Roman"/>
                      <w:color w:val="auto"/>
                      <w:sz w:val="21"/>
                      <w:szCs w:val="21"/>
                      <w:lang w:val="en-US" w:eastAsia="zh-CN"/>
                    </w:rPr>
                    <w:t>印刷工序</w:t>
                  </w:r>
                </w:p>
              </w:tc>
              <w:tc>
                <w:tcPr>
                  <w:tcW w:w="1723" w:type="pct"/>
                  <w:noWrap w:val="0"/>
                  <w:vAlign w:val="center"/>
                </w:tcPr>
                <w:p w14:paraId="7CFD012D">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显影液</w:t>
                  </w:r>
                </w:p>
              </w:tc>
            </w:tr>
            <w:tr w14:paraId="246EB8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42910E2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756CFE1F">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废定影液</w:t>
                  </w:r>
                </w:p>
              </w:tc>
              <w:tc>
                <w:tcPr>
                  <w:tcW w:w="1380" w:type="pct"/>
                  <w:noWrap w:val="0"/>
                  <w:vAlign w:val="center"/>
                </w:tcPr>
                <w:p w14:paraId="067F5EB5">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印刷工序</w:t>
                  </w:r>
                </w:p>
              </w:tc>
              <w:tc>
                <w:tcPr>
                  <w:tcW w:w="1723" w:type="pct"/>
                  <w:noWrap w:val="0"/>
                  <w:vAlign w:val="center"/>
                </w:tcPr>
                <w:p w14:paraId="0EF72CD3">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auto"/>
                      <w:kern w:val="0"/>
                      <w:sz w:val="21"/>
                      <w:szCs w:val="21"/>
                      <w:lang w:val="en-US" w:eastAsia="zh-CN" w:bidi="ar-SA"/>
                    </w:rPr>
                  </w:pPr>
                  <w:r>
                    <w:rPr>
                      <w:rFonts w:hint="eastAsia" w:cs="Times New Roman"/>
                      <w:color w:val="auto"/>
                      <w:sz w:val="21"/>
                      <w:szCs w:val="21"/>
                      <w:lang w:val="en-US" w:eastAsia="zh-CN"/>
                    </w:rPr>
                    <w:t>定影液</w:t>
                  </w:r>
                </w:p>
              </w:tc>
            </w:tr>
            <w:tr w14:paraId="425F06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5F48A49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3AA8C7FE">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废活性炭</w:t>
                  </w:r>
                </w:p>
              </w:tc>
              <w:tc>
                <w:tcPr>
                  <w:tcW w:w="1380" w:type="pct"/>
                  <w:noWrap w:val="0"/>
                  <w:vAlign w:val="center"/>
                </w:tcPr>
                <w:p w14:paraId="166C5D5B">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废气处理工序</w:t>
                  </w:r>
                </w:p>
              </w:tc>
              <w:tc>
                <w:tcPr>
                  <w:tcW w:w="1723" w:type="pct"/>
                  <w:noWrap w:val="0"/>
                  <w:vAlign w:val="center"/>
                </w:tcPr>
                <w:p w14:paraId="41D18CF3">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活性炭</w:t>
                  </w:r>
                </w:p>
              </w:tc>
            </w:tr>
            <w:tr w14:paraId="3ABAB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667883C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395C2E8A">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废擦机布</w:t>
                  </w:r>
                </w:p>
              </w:tc>
              <w:tc>
                <w:tcPr>
                  <w:tcW w:w="1380" w:type="pct"/>
                  <w:noWrap w:val="0"/>
                  <w:vAlign w:val="center"/>
                </w:tcPr>
                <w:p w14:paraId="39D7D746">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擦洗工序</w:t>
                  </w:r>
                </w:p>
              </w:tc>
              <w:tc>
                <w:tcPr>
                  <w:tcW w:w="1723" w:type="pct"/>
                  <w:noWrap w:val="0"/>
                  <w:vAlign w:val="center"/>
                </w:tcPr>
                <w:p w14:paraId="1B215C51">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油墨、清洗剂</w:t>
                  </w:r>
                </w:p>
              </w:tc>
            </w:tr>
            <w:tr w14:paraId="0BF87A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240F2FA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718593C2">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废清洗剂</w:t>
                  </w:r>
                </w:p>
              </w:tc>
              <w:tc>
                <w:tcPr>
                  <w:tcW w:w="1380" w:type="pct"/>
                  <w:noWrap w:val="0"/>
                  <w:vAlign w:val="center"/>
                </w:tcPr>
                <w:p w14:paraId="2DDB440B">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擦洗工序</w:t>
                  </w:r>
                </w:p>
              </w:tc>
              <w:tc>
                <w:tcPr>
                  <w:tcW w:w="1723" w:type="pct"/>
                  <w:noWrap w:val="0"/>
                  <w:vAlign w:val="center"/>
                </w:tcPr>
                <w:p w14:paraId="03066A15">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清洗剂</w:t>
                  </w:r>
                </w:p>
              </w:tc>
            </w:tr>
            <w:tr w14:paraId="4AA0BC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6" w:type="pct"/>
                  <w:vMerge w:val="continue"/>
                  <w:noWrap w:val="0"/>
                  <w:vAlign w:val="center"/>
                </w:tcPr>
                <w:p w14:paraId="331088E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ind w:left="0" w:right="0"/>
                    <w:jc w:val="center"/>
                    <w:textAlignment w:val="auto"/>
                    <w:rPr>
                      <w:rFonts w:hint="eastAsia" w:ascii="Times New Roman" w:hAnsi="Times New Roman" w:cs="Times New Roman"/>
                      <w:color w:val="auto"/>
                      <w:szCs w:val="21"/>
                    </w:rPr>
                  </w:pPr>
                </w:p>
              </w:tc>
              <w:tc>
                <w:tcPr>
                  <w:tcW w:w="1190" w:type="pct"/>
                  <w:noWrap w:val="0"/>
                  <w:vAlign w:val="center"/>
                </w:tcPr>
                <w:p w14:paraId="4C4FBC88">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废版</w:t>
                  </w:r>
                </w:p>
              </w:tc>
              <w:tc>
                <w:tcPr>
                  <w:tcW w:w="1380" w:type="pct"/>
                  <w:noWrap w:val="0"/>
                  <w:vAlign w:val="center"/>
                </w:tcPr>
                <w:p w14:paraId="5DE1F7B1">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制版工序</w:t>
                  </w:r>
                </w:p>
              </w:tc>
              <w:tc>
                <w:tcPr>
                  <w:tcW w:w="1723" w:type="pct"/>
                  <w:noWrap w:val="0"/>
                  <w:vAlign w:val="center"/>
                </w:tcPr>
                <w:p w14:paraId="291BABEF">
                  <w:pPr>
                    <w:pStyle w:val="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CTP版</w:t>
                  </w:r>
                </w:p>
              </w:tc>
            </w:tr>
          </w:tbl>
          <w:p w14:paraId="494E7C5B">
            <w:pPr>
              <w:pStyle w:val="9"/>
              <w:keepNext w:val="0"/>
              <w:keepLines w:val="0"/>
              <w:suppressLineNumbers w:val="0"/>
              <w:spacing w:beforeAutospacing="0" w:afterAutospacing="0"/>
              <w:ind w:left="0"/>
              <w:rPr>
                <w:rFonts w:hint="eastAsia" w:ascii="Times New Roman" w:hAnsi="Times New Roman" w:cs="Times New Roman"/>
                <w:color w:val="auto"/>
              </w:rPr>
            </w:pPr>
          </w:p>
        </w:tc>
      </w:tr>
      <w:tr w14:paraId="11744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0" w:hRule="atLeast"/>
          <w:jc w:val="center"/>
        </w:trPr>
        <w:tc>
          <w:tcPr>
            <w:tcW w:w="436" w:type="dxa"/>
            <w:noWrap w:val="0"/>
            <w:vAlign w:val="center"/>
          </w:tcPr>
          <w:p w14:paraId="3E2BABD7">
            <w:pPr>
              <w:pStyle w:val="23"/>
              <w:keepNext w:val="0"/>
              <w:keepLines w:val="0"/>
              <w:suppressLineNumbers w:val="0"/>
              <w:adjustRightInd w:val="0"/>
              <w:snapToGrid w:val="0"/>
              <w:spacing w:before="0" w:beforeAutospacing="0" w:after="0" w:afterAutospacing="0"/>
              <w:ind w:left="0" w:right="0"/>
              <w:jc w:val="center"/>
              <w:rPr>
                <w:rFonts w:hint="eastAsia" w:cs="宋体"/>
                <w:bCs/>
                <w:color w:val="auto"/>
                <w:kern w:val="2"/>
                <w:sz w:val="21"/>
                <w:szCs w:val="21"/>
              </w:rPr>
            </w:pPr>
          </w:p>
          <w:p w14:paraId="30A9DE82">
            <w:pPr>
              <w:pStyle w:val="23"/>
              <w:keepNext w:val="0"/>
              <w:keepLines w:val="0"/>
              <w:suppressLineNumbers w:val="0"/>
              <w:adjustRightInd w:val="0"/>
              <w:snapToGrid w:val="0"/>
              <w:spacing w:before="0" w:beforeAutospacing="0" w:after="0" w:afterAutospacing="0"/>
              <w:ind w:left="0" w:right="0"/>
              <w:jc w:val="center"/>
              <w:rPr>
                <w:rFonts w:hint="default" w:cs="宋体"/>
                <w:color w:val="auto"/>
                <w:sz w:val="21"/>
                <w:szCs w:val="21"/>
              </w:rPr>
            </w:pPr>
            <w:r>
              <w:rPr>
                <w:rFonts w:hint="eastAsia" w:cs="宋体"/>
                <w:bCs/>
                <w:color w:val="auto"/>
                <w:kern w:val="2"/>
                <w:sz w:val="21"/>
                <w:szCs w:val="21"/>
              </w:rPr>
              <w:t>与项目有关的原有环境污染问题</w:t>
            </w:r>
          </w:p>
        </w:tc>
        <w:tc>
          <w:tcPr>
            <w:tcW w:w="8843" w:type="dxa"/>
            <w:noWrap w:val="0"/>
            <w:vAlign w:val="top"/>
          </w:tcPr>
          <w:p w14:paraId="67428F26">
            <w:pPr>
              <w:keepNext w:val="0"/>
              <w:keepLines w:val="0"/>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b/>
                <w:bCs/>
                <w:color w:val="auto"/>
                <w:sz w:val="24"/>
              </w:rPr>
            </w:pPr>
            <w:r>
              <w:rPr>
                <w:rFonts w:hint="default" w:ascii="Times New Roman" w:hAnsi="Times New Roman" w:cs="Times New Roman"/>
                <w:b/>
                <w:bCs/>
                <w:color w:val="auto"/>
                <w:sz w:val="24"/>
              </w:rPr>
              <w:t>一、现有项目概况</w:t>
            </w:r>
          </w:p>
          <w:p w14:paraId="7EB9F40F">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ascii="Times New Roman" w:hAnsi="Times New Roman" w:cs="Times New Roman"/>
                <w:color w:val="auto"/>
                <w:kern w:val="0"/>
                <w:sz w:val="24"/>
                <w:szCs w:val="36"/>
              </w:rPr>
            </w:pPr>
            <w:r>
              <w:rPr>
                <w:rFonts w:hint="default" w:ascii="Times New Roman" w:hAnsi="Times New Roman" w:cs="Times New Roman"/>
                <w:color w:val="auto"/>
                <w:sz w:val="24"/>
              </w:rPr>
              <w:t>本项目现址位于</w:t>
            </w:r>
            <w:r>
              <w:rPr>
                <w:rFonts w:hint="default" w:ascii="Times New Roman" w:hAnsi="Times New Roman" w:cs="Times New Roman"/>
                <w:color w:val="auto"/>
                <w:kern w:val="0"/>
                <w:sz w:val="24"/>
                <w:szCs w:val="36"/>
              </w:rPr>
              <w:t>西咸新区</w:t>
            </w:r>
            <w:r>
              <w:rPr>
                <w:rFonts w:hint="eastAsia" w:cs="Times New Roman"/>
                <w:color w:val="auto"/>
                <w:kern w:val="0"/>
                <w:sz w:val="24"/>
                <w:szCs w:val="36"/>
                <w:lang w:val="en-US" w:eastAsia="zh-CN"/>
              </w:rPr>
              <w:t>沣东新城建章路168号</w:t>
            </w:r>
            <w:r>
              <w:rPr>
                <w:rFonts w:hint="eastAsia" w:ascii="Times New Roman" w:hAnsi="Times New Roman" w:cs="Times New Roman"/>
                <w:color w:val="auto"/>
                <w:kern w:val="0"/>
                <w:sz w:val="24"/>
                <w:szCs w:val="36"/>
                <w:lang w:val="en-US" w:eastAsia="zh-CN"/>
              </w:rPr>
              <w:t>，总占地面积为</w:t>
            </w:r>
            <w:r>
              <w:rPr>
                <w:rFonts w:hint="eastAsia" w:cs="Times New Roman"/>
                <w:color w:val="auto"/>
                <w:kern w:val="0"/>
                <w:sz w:val="24"/>
                <w:szCs w:val="36"/>
                <w:lang w:val="en-US" w:eastAsia="zh-CN"/>
              </w:rPr>
              <w:t>29076.67</w:t>
            </w:r>
            <w:r>
              <w:rPr>
                <w:rFonts w:hint="eastAsia" w:ascii="Times New Roman" w:hAnsi="Times New Roman" w:cs="Times New Roman"/>
                <w:color w:val="auto"/>
                <w:kern w:val="0"/>
                <w:sz w:val="24"/>
                <w:szCs w:val="36"/>
                <w:lang w:val="en-US" w:eastAsia="zh-CN"/>
              </w:rPr>
              <w:t>平方米，原有</w:t>
            </w:r>
            <w:r>
              <w:rPr>
                <w:rFonts w:hint="eastAsia" w:cs="Times New Roman"/>
                <w:color w:val="auto"/>
                <w:kern w:val="0"/>
                <w:sz w:val="24"/>
                <w:szCs w:val="36"/>
                <w:lang w:val="en-US" w:eastAsia="zh-CN"/>
              </w:rPr>
              <w:t>2条铁钉本联动线、6条专业作业本生产线、6条胶装本生产线、2条精装生产线、2条裹背条生产线和</w:t>
            </w:r>
            <w:r>
              <w:rPr>
                <w:rFonts w:hint="eastAsia" w:ascii="Times New Roman" w:hAnsi="Times New Roman" w:cs="Times New Roman"/>
                <w:color w:val="auto"/>
                <w:kern w:val="0"/>
                <w:sz w:val="24"/>
                <w:szCs w:val="36"/>
                <w:lang w:val="en-US" w:eastAsia="zh-CN"/>
              </w:rPr>
              <w:t xml:space="preserve">2条可平摊笔记本生产线，原料库、成品库及办公楼等，并配备有职工宿舍和食堂。 </w:t>
            </w:r>
          </w:p>
          <w:p w14:paraId="39982C19">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szCs w:val="28"/>
                <w:lang w:val="en-US" w:eastAsia="zh-CN"/>
              </w:rPr>
              <w:t>西安唐都纸品有限责任公司于2014年12月取得了西安市环保局沣渭新区分局关于《可平摊笔记本生产线技改产业化项目环境影响报告表》的批复文件（市环沣渭批复[2014]72号）</w:t>
            </w:r>
            <w:r>
              <w:rPr>
                <w:rFonts w:hint="eastAsia" w:cs="Times New Roman"/>
                <w:color w:val="auto"/>
                <w:sz w:val="24"/>
                <w:szCs w:val="28"/>
                <w:lang w:val="en-US" w:eastAsia="zh-CN"/>
              </w:rPr>
              <w:t>，见附件4。2018年9月14日，西安唐都纸品有限责任公司在西安组织召开了“西安唐都纸品有限责任公司可平摊笔记本生产线技改产业化项目”（废水、废气部分）竣工环境保护验收会和“西安唐都纸品有限责任公司可平摊笔记本生产线技改产业化项目”（噪声、固废部分）竣工环境保护验收会，</w:t>
            </w:r>
            <w:r>
              <w:rPr>
                <w:rFonts w:hint="default" w:ascii="Times New Roman" w:hAnsi="Times New Roman" w:cs="Times New Roman"/>
                <w:color w:val="auto"/>
                <w:sz w:val="24"/>
                <w:szCs w:val="28"/>
                <w:lang w:val="en-US" w:eastAsia="zh-CN"/>
              </w:rPr>
              <w:t>于2018年11月取得陕西省西咸新区沣东新城环境保护局关于《西安唐都纸品有限责任公司可平摊笔记本生产线技改产业化项目（噪声、固体废物污染防治设施）竣工环保验收》的批复（沣东环验批复[2018]12号）</w:t>
            </w:r>
            <w:r>
              <w:rPr>
                <w:rFonts w:hint="eastAsia" w:cs="Times New Roman"/>
                <w:color w:val="auto"/>
                <w:sz w:val="24"/>
                <w:szCs w:val="28"/>
                <w:lang w:val="en-US" w:eastAsia="zh-CN"/>
              </w:rPr>
              <w:t>，见附件5</w:t>
            </w:r>
            <w:r>
              <w:rPr>
                <w:rFonts w:hint="default" w:ascii="Times New Roman" w:hAnsi="Times New Roman" w:cs="Times New Roman"/>
                <w:color w:val="auto"/>
                <w:sz w:val="24"/>
                <w:szCs w:val="28"/>
              </w:rPr>
              <w:t>。</w:t>
            </w:r>
            <w:r>
              <w:rPr>
                <w:rFonts w:hint="default" w:ascii="Times New Roman" w:hAnsi="Times New Roman" w:cs="Times New Roman"/>
                <w:color w:val="auto"/>
                <w:sz w:val="24"/>
                <w:highlight w:val="none"/>
              </w:rPr>
              <w:t>20</w:t>
            </w:r>
            <w:r>
              <w:rPr>
                <w:rFonts w:hint="eastAsia" w:cs="Times New Roman"/>
                <w:color w:val="auto"/>
                <w:sz w:val="24"/>
                <w:highlight w:val="none"/>
                <w:lang w:val="en-US" w:eastAsia="zh-CN"/>
              </w:rPr>
              <w:t>20</w:t>
            </w:r>
            <w:r>
              <w:rPr>
                <w:rFonts w:hint="default" w:ascii="Times New Roman" w:hAnsi="Times New Roman" w:cs="Times New Roman"/>
                <w:color w:val="auto"/>
                <w:sz w:val="24"/>
                <w:highlight w:val="none"/>
              </w:rPr>
              <w:t>年</w:t>
            </w:r>
            <w:r>
              <w:rPr>
                <w:rFonts w:hint="eastAsia" w:cs="Times New Roman"/>
                <w:color w:val="auto"/>
                <w:sz w:val="24"/>
                <w:highlight w:val="none"/>
                <w:lang w:val="en-US" w:eastAsia="zh-CN"/>
              </w:rPr>
              <w:t>11</w:t>
            </w:r>
            <w:r>
              <w:rPr>
                <w:rFonts w:hint="default" w:ascii="Times New Roman" w:hAnsi="Times New Roman" w:cs="Times New Roman"/>
                <w:color w:val="auto"/>
                <w:sz w:val="24"/>
                <w:highlight w:val="none"/>
              </w:rPr>
              <w:t>月</w:t>
            </w:r>
            <w:r>
              <w:rPr>
                <w:rFonts w:hint="eastAsia" w:cs="Times New Roman"/>
                <w:color w:val="auto"/>
                <w:sz w:val="24"/>
                <w:highlight w:val="none"/>
                <w:lang w:val="en-US" w:eastAsia="zh-CN"/>
              </w:rPr>
              <w:t>12</w:t>
            </w:r>
            <w:r>
              <w:rPr>
                <w:rFonts w:hint="default" w:ascii="Times New Roman" w:hAnsi="Times New Roman" w:cs="Times New Roman"/>
                <w:color w:val="auto"/>
                <w:sz w:val="24"/>
                <w:highlight w:val="none"/>
              </w:rPr>
              <w:t>日取得</w:t>
            </w:r>
            <w:r>
              <w:rPr>
                <w:rFonts w:hint="eastAsia" w:cs="Times New Roman"/>
                <w:color w:val="auto"/>
                <w:sz w:val="24"/>
                <w:highlight w:val="none"/>
                <w:lang w:val="en-US" w:eastAsia="zh-CN"/>
              </w:rPr>
              <w:t>了固定污染源</w:t>
            </w:r>
            <w:r>
              <w:rPr>
                <w:rFonts w:hint="default" w:ascii="Times New Roman" w:hAnsi="Times New Roman" w:cs="Times New Roman"/>
                <w:color w:val="auto"/>
                <w:sz w:val="24"/>
                <w:highlight w:val="none"/>
              </w:rPr>
              <w:t>排污许可</w:t>
            </w:r>
            <w:r>
              <w:rPr>
                <w:rFonts w:hint="eastAsia" w:cs="Times New Roman"/>
                <w:color w:val="auto"/>
                <w:sz w:val="24"/>
                <w:highlight w:val="none"/>
                <w:lang w:val="en-US" w:eastAsia="zh-CN"/>
              </w:rPr>
              <w:t>登记回执</w:t>
            </w:r>
            <w:r>
              <w:rPr>
                <w:rFonts w:hint="default" w:ascii="Times New Roman" w:hAnsi="Times New Roman" w:cs="Times New Roman"/>
                <w:color w:val="auto"/>
                <w:sz w:val="24"/>
                <w:highlight w:val="none"/>
              </w:rPr>
              <w:t>，</w:t>
            </w:r>
            <w:r>
              <w:rPr>
                <w:rFonts w:hint="eastAsia" w:cs="Times New Roman"/>
                <w:color w:val="auto"/>
                <w:sz w:val="24"/>
                <w:highlight w:val="none"/>
                <w:lang w:val="en-US" w:eastAsia="zh-CN"/>
              </w:rPr>
              <w:t>登记</w:t>
            </w:r>
            <w:r>
              <w:rPr>
                <w:rFonts w:hint="default" w:ascii="Times New Roman" w:hAnsi="Times New Roman" w:cs="Times New Roman"/>
                <w:color w:val="auto"/>
                <w:sz w:val="24"/>
                <w:highlight w:val="none"/>
              </w:rPr>
              <w:t>编号9161</w:t>
            </w:r>
            <w:r>
              <w:rPr>
                <w:rFonts w:hint="eastAsia" w:cs="Times New Roman"/>
                <w:color w:val="auto"/>
                <w:sz w:val="24"/>
                <w:highlight w:val="none"/>
                <w:lang w:val="en-US" w:eastAsia="zh-CN"/>
              </w:rPr>
              <w:t>1105634002147T001Y</w:t>
            </w:r>
            <w:r>
              <w:rPr>
                <w:rFonts w:hint="default" w:ascii="Times New Roman" w:hAnsi="Times New Roman" w:cs="Times New Roman"/>
                <w:color w:val="auto"/>
                <w:sz w:val="24"/>
                <w:highlight w:val="none"/>
              </w:rPr>
              <w:t>，见附件</w:t>
            </w:r>
            <w:r>
              <w:rPr>
                <w:rFonts w:hint="eastAsia" w:cs="Times New Roman"/>
                <w:color w:val="auto"/>
                <w:sz w:val="24"/>
                <w:highlight w:val="none"/>
                <w:lang w:val="en-US" w:eastAsia="zh-CN"/>
              </w:rPr>
              <w:t>6</w:t>
            </w:r>
            <w:r>
              <w:rPr>
                <w:rFonts w:hint="default" w:ascii="Times New Roman" w:hAnsi="Times New Roman" w:cs="Times New Roman"/>
                <w:color w:val="auto"/>
                <w:sz w:val="24"/>
                <w:highlight w:val="none"/>
              </w:rPr>
              <w:t>。</w:t>
            </w:r>
            <w:r>
              <w:rPr>
                <w:rFonts w:hint="default" w:ascii="Times New Roman" w:hAnsi="Times New Roman" w:cs="Times New Roman"/>
                <w:color w:val="auto"/>
                <w:sz w:val="24"/>
                <w:szCs w:val="28"/>
                <w:lang w:val="en-US" w:eastAsia="zh-CN"/>
              </w:rPr>
              <w:t>西安唐都纸品有限责任公</w:t>
            </w:r>
            <w:r>
              <w:rPr>
                <w:rFonts w:hint="default" w:ascii="Times New Roman" w:hAnsi="Times New Roman" w:cs="Times New Roman"/>
                <w:color w:val="auto"/>
                <w:sz w:val="24"/>
                <w:szCs w:val="28"/>
                <w:highlight w:val="none"/>
                <w:lang w:val="en-US" w:eastAsia="zh-CN"/>
              </w:rPr>
              <w:t>司</w:t>
            </w:r>
            <w:r>
              <w:rPr>
                <w:rFonts w:hint="default" w:ascii="Times New Roman" w:hAnsi="Times New Roman" w:cs="Times New Roman"/>
                <w:color w:val="auto"/>
                <w:sz w:val="24"/>
                <w:highlight w:val="none"/>
              </w:rPr>
              <w:t>编制了《</w:t>
            </w:r>
            <w:r>
              <w:rPr>
                <w:rFonts w:hint="eastAsia" w:ascii="Times New Roman" w:hAnsi="Times New Roman" w:cs="Times New Roman"/>
                <w:color w:val="auto"/>
                <w:sz w:val="24"/>
                <w:highlight w:val="none"/>
                <w:lang w:eastAsia="zh-CN"/>
              </w:rPr>
              <w:t>西安唐都纸品有限责任公司</w:t>
            </w:r>
            <w:r>
              <w:rPr>
                <w:rFonts w:hint="default" w:ascii="Times New Roman" w:hAnsi="Times New Roman" w:cs="Times New Roman"/>
                <w:color w:val="auto"/>
                <w:sz w:val="24"/>
                <w:highlight w:val="none"/>
              </w:rPr>
              <w:t>突发环境事件应急预案》</w:t>
            </w:r>
            <w:r>
              <w:rPr>
                <w:rFonts w:hint="eastAsia" w:cs="Times New Roman"/>
                <w:color w:val="auto"/>
                <w:sz w:val="24"/>
                <w:highlight w:val="none"/>
                <w:lang w:eastAsia="zh-CN"/>
              </w:rPr>
              <w:t>，</w:t>
            </w:r>
            <w:r>
              <w:rPr>
                <w:rFonts w:hint="eastAsia" w:cs="Times New Roman"/>
                <w:color w:val="auto"/>
                <w:sz w:val="24"/>
                <w:highlight w:val="none"/>
                <w:lang w:val="en-US" w:eastAsia="zh-CN"/>
              </w:rPr>
              <w:t>但由于准备进行改扩建，故未进行报送，在本次改扩建完成后，将进行重新编制应急预案，并报送</w:t>
            </w:r>
            <w:r>
              <w:rPr>
                <w:rFonts w:hint="default" w:ascii="Times New Roman" w:hAnsi="Times New Roman" w:cs="Times New Roman"/>
                <w:color w:val="auto"/>
                <w:sz w:val="24"/>
                <w:highlight w:val="none"/>
              </w:rPr>
              <w:t>。</w:t>
            </w:r>
          </w:p>
          <w:p w14:paraId="0EB30255">
            <w:pPr>
              <w:keepNext w:val="0"/>
              <w:keepLines w:val="0"/>
              <w:widowControl/>
              <w:suppressLineNumbers w:val="0"/>
              <w:adjustRightInd w:val="0"/>
              <w:snapToGrid w:val="0"/>
              <w:spacing w:before="0" w:beforeAutospacing="0" w:after="0" w:afterAutospacing="0" w:line="360" w:lineRule="auto"/>
              <w:ind w:left="0" w:right="0" w:firstLine="482" w:firstLineChars="200"/>
              <w:jc w:val="left"/>
              <w:rPr>
                <w:rFonts w:hint="default" w:ascii="Times New Roman" w:hAnsi="Times New Roman" w:cs="Times New Roman"/>
                <w:color w:val="auto"/>
                <w:sz w:val="24"/>
              </w:rPr>
            </w:pPr>
            <w:r>
              <w:rPr>
                <w:rFonts w:hint="default" w:ascii="Times New Roman" w:hAnsi="Times New Roman" w:cs="Times New Roman"/>
                <w:b/>
                <w:bCs/>
                <w:color w:val="auto"/>
                <w:sz w:val="24"/>
              </w:rPr>
              <w:t>二、</w:t>
            </w:r>
            <w:r>
              <w:rPr>
                <w:rFonts w:hint="eastAsia" w:ascii="Times New Roman" w:hAnsi="Times New Roman" w:cs="Times New Roman"/>
                <w:b/>
                <w:bCs/>
                <w:color w:val="auto"/>
                <w:sz w:val="24"/>
              </w:rPr>
              <w:t>现有</w:t>
            </w:r>
            <w:r>
              <w:rPr>
                <w:rFonts w:hint="eastAsia" w:ascii="宋体" w:hAnsi="宋体" w:cs="宋体"/>
                <w:b/>
                <w:bCs/>
                <w:color w:val="auto"/>
                <w:kern w:val="0"/>
                <w:sz w:val="24"/>
                <w:lang w:bidi="ar"/>
              </w:rPr>
              <w:t>项目污染治理措施及污染物排放情况</w:t>
            </w:r>
          </w:p>
          <w:p w14:paraId="32AEA069">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ascii="Times New Roman" w:hAnsi="Times New Roman" w:cs="Times New Roman"/>
                <w:b/>
                <w:bCs/>
                <w:color w:val="auto"/>
                <w:sz w:val="24"/>
              </w:rPr>
              <w:t>1、废气</w:t>
            </w:r>
          </w:p>
          <w:p w14:paraId="07E09F09">
            <w:pPr>
              <w:pStyle w:val="2"/>
              <w:keepNext w:val="0"/>
              <w:keepLines w:val="0"/>
              <w:suppressLineNumbers w:val="0"/>
              <w:spacing w:before="0" w:beforeAutospacing="0" w:after="0" w:afterAutospacing="0" w:line="360" w:lineRule="auto"/>
              <w:ind w:left="0" w:leftChars="0" w:right="0" w:firstLine="480"/>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rPr>
              <w:t>原有</w:t>
            </w:r>
            <w:r>
              <w:rPr>
                <w:rFonts w:hint="default" w:ascii="Times New Roman" w:hAnsi="Times New Roman" w:cs="Times New Roman"/>
                <w:color w:val="auto"/>
                <w:sz w:val="24"/>
                <w:szCs w:val="24"/>
              </w:rPr>
              <w:t>项目运营期废气主要包括</w:t>
            </w:r>
            <w:r>
              <w:rPr>
                <w:rFonts w:hint="eastAsia" w:cs="Times New Roman"/>
                <w:color w:val="auto"/>
                <w:sz w:val="24"/>
                <w:szCs w:val="24"/>
                <w:lang w:val="en-US" w:eastAsia="zh-CN"/>
              </w:rPr>
              <w:t>印刷废气、油墨废气、叉车尾气和食堂油烟。印刷废气经排气扇排出车间，无组织排放</w:t>
            </w:r>
            <w:r>
              <w:rPr>
                <w:rFonts w:hint="eastAsia" w:cs="Times New Roman"/>
                <w:color w:val="auto"/>
                <w:sz w:val="24"/>
                <w:szCs w:val="24"/>
                <w:lang w:eastAsia="zh-CN"/>
              </w:rPr>
              <w:t>；</w:t>
            </w:r>
            <w:r>
              <w:rPr>
                <w:rFonts w:hint="eastAsia" w:cs="Times New Roman"/>
                <w:color w:val="auto"/>
                <w:sz w:val="24"/>
                <w:szCs w:val="24"/>
                <w:lang w:val="en-US" w:eastAsia="zh-CN"/>
              </w:rPr>
              <w:t>油墨废气由于产生源强较小，经排风扇排出车间，无组织排放；项目叉车数量较少，尾气产生量少，叉车尾气无组织排放；食堂油烟经油烟净化器处理后排放，对环境影响较小。</w:t>
            </w:r>
          </w:p>
          <w:p w14:paraId="6265C006">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ascii="Times New Roman" w:hAnsi="Times New Roman" w:cs="Times New Roman"/>
                <w:b/>
                <w:bCs/>
                <w:color w:val="auto"/>
                <w:sz w:val="24"/>
              </w:rPr>
              <w:t>2、废水</w:t>
            </w:r>
          </w:p>
          <w:p w14:paraId="168397D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cs="Times New Roman"/>
                <w:bCs/>
                <w:color w:val="auto"/>
                <w:sz w:val="24"/>
                <w:lang w:val="en-US" w:eastAsia="zh-CN"/>
              </w:rPr>
              <w:t>原有项目</w:t>
            </w:r>
            <w:r>
              <w:rPr>
                <w:rFonts w:hint="eastAsia" w:ascii="Times New Roman" w:hAnsi="Times New Roman" w:cs="Times New Roman"/>
                <w:bCs/>
                <w:color w:val="auto"/>
                <w:sz w:val="24"/>
              </w:rPr>
              <w:t>废水主要为生活污水</w:t>
            </w:r>
            <w:r>
              <w:rPr>
                <w:rFonts w:hint="eastAsia" w:cs="Times New Roman"/>
                <w:bCs/>
                <w:color w:val="auto"/>
                <w:sz w:val="24"/>
                <w:lang w:eastAsia="zh-CN"/>
              </w:rPr>
              <w:t>、</w:t>
            </w:r>
            <w:r>
              <w:rPr>
                <w:rFonts w:hint="eastAsia" w:cs="Times New Roman"/>
                <w:bCs/>
                <w:color w:val="auto"/>
                <w:sz w:val="24"/>
                <w:lang w:val="en-US" w:eastAsia="zh-CN"/>
              </w:rPr>
              <w:t>食堂废水、生产废水</w:t>
            </w:r>
            <w:r>
              <w:rPr>
                <w:rFonts w:hint="eastAsia" w:ascii="Times New Roman" w:hAnsi="Times New Roman" w:cs="Times New Roman"/>
                <w:bCs/>
                <w:color w:val="auto"/>
                <w:sz w:val="24"/>
              </w:rPr>
              <w:t>，</w:t>
            </w:r>
            <w:r>
              <w:rPr>
                <w:rFonts w:hint="eastAsia" w:cs="Times New Roman"/>
                <w:bCs/>
                <w:color w:val="auto"/>
                <w:sz w:val="24"/>
                <w:lang w:val="en-US" w:eastAsia="zh-CN"/>
              </w:rPr>
              <w:t>食堂废水经隔油池处理后与生活污水一并排入化粪池，经化粪池处理后排入市政污水管网；</w:t>
            </w:r>
            <w:r>
              <w:rPr>
                <w:rFonts w:hint="eastAsia" w:ascii="Times New Roman" w:hAnsi="Times New Roman" w:cs="Times New Roman"/>
                <w:bCs/>
                <w:color w:val="auto"/>
                <w:sz w:val="24"/>
              </w:rPr>
              <w:t>生活污水排入化粪池，</w:t>
            </w:r>
            <w:r>
              <w:rPr>
                <w:rFonts w:hint="eastAsia" w:cs="Times New Roman"/>
                <w:bCs/>
                <w:color w:val="auto"/>
                <w:sz w:val="24"/>
                <w:lang w:val="en-US" w:eastAsia="zh-CN"/>
              </w:rPr>
              <w:t>生产废水主要为清洗废水和油墨废水，经污水处理设施处理后回用于油墨稀释，不外排</w:t>
            </w:r>
            <w:r>
              <w:rPr>
                <w:rFonts w:hint="eastAsia" w:ascii="Times New Roman" w:hAnsi="Times New Roman" w:cs="Times New Roman"/>
                <w:bCs/>
                <w:color w:val="auto"/>
                <w:sz w:val="24"/>
              </w:rPr>
              <w:t>。</w:t>
            </w:r>
          </w:p>
          <w:p w14:paraId="2083E6CB">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ascii="Times New Roman" w:hAnsi="Times New Roman" w:cs="Times New Roman"/>
                <w:b/>
                <w:bCs/>
                <w:color w:val="auto"/>
                <w:sz w:val="24"/>
              </w:rPr>
              <w:t>3、噪声</w:t>
            </w:r>
          </w:p>
          <w:p w14:paraId="03EB1F29">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bCs/>
                <w:color w:val="auto"/>
                <w:sz w:val="24"/>
              </w:rPr>
            </w:pPr>
            <w:bookmarkStart w:id="8" w:name="_Hlk84585289"/>
            <w:r>
              <w:rPr>
                <w:rFonts w:hint="eastAsia" w:cs="Times New Roman"/>
                <w:bCs/>
                <w:color w:val="auto"/>
                <w:sz w:val="24"/>
                <w:lang w:val="en-US" w:eastAsia="zh-CN"/>
              </w:rPr>
              <w:t>原有</w:t>
            </w:r>
            <w:r>
              <w:rPr>
                <w:rFonts w:hint="eastAsia" w:ascii="Times New Roman" w:hAnsi="Times New Roman" w:cs="Times New Roman"/>
                <w:bCs/>
                <w:color w:val="auto"/>
                <w:sz w:val="24"/>
              </w:rPr>
              <w:t>项目噪声主要为车间内生产设备运行噪声，在采取优选低噪设备，对设备进行隔声、减振的情况下，对周边环境影响较小。根据项目验收监测报告，在验收监测期间，该项目昼间、夜间噪声值均符合《工业企业厂界环境噪声排放标准》（GB12348-2008）2类</w:t>
            </w:r>
            <w:r>
              <w:rPr>
                <w:rFonts w:hint="eastAsia" w:cs="Times New Roman"/>
                <w:bCs/>
                <w:color w:val="auto"/>
                <w:sz w:val="24"/>
                <w:lang w:val="en-US" w:eastAsia="zh-CN"/>
              </w:rPr>
              <w:t>和4类</w:t>
            </w:r>
            <w:r>
              <w:rPr>
                <w:rFonts w:hint="eastAsia" w:ascii="Times New Roman" w:hAnsi="Times New Roman" w:cs="Times New Roman"/>
                <w:bCs/>
                <w:color w:val="auto"/>
                <w:sz w:val="24"/>
              </w:rPr>
              <w:t>标准限值的要求。</w:t>
            </w:r>
          </w:p>
          <w:bookmarkEnd w:id="8"/>
          <w:p w14:paraId="3078B2A4">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ascii="Times New Roman" w:hAnsi="Times New Roman" w:cs="Times New Roman"/>
                <w:b/>
                <w:bCs/>
                <w:color w:val="auto"/>
                <w:sz w:val="24"/>
              </w:rPr>
              <w:t>4、固废</w:t>
            </w:r>
          </w:p>
          <w:p w14:paraId="476E8CD3">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auto"/>
                <w:sz w:val="24"/>
                <w:lang w:val="en-US" w:eastAsia="zh-CN"/>
              </w:rPr>
            </w:pPr>
            <w:r>
              <w:rPr>
                <w:rFonts w:hint="eastAsia" w:cs="Times New Roman"/>
                <w:bCs/>
                <w:color w:val="auto"/>
                <w:sz w:val="24"/>
                <w:lang w:val="en-US" w:eastAsia="zh-CN"/>
              </w:rPr>
              <w:t>生活垃圾用垃圾桶收集后交环卫部门统一清运处理；废边角料和废纸芯交由供应商回收利用；废油墨储存罐和废水溶性胶储罐定期交由有资质单位处置。</w:t>
            </w:r>
          </w:p>
          <w:p w14:paraId="3CF3C527">
            <w:pPr>
              <w:keepNext w:val="0"/>
              <w:keepLines w:val="0"/>
              <w:suppressLineNumbers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ascii="Times New Roman" w:hAnsi="Times New Roman" w:cs="Times New Roman"/>
                <w:b/>
                <w:bCs/>
                <w:color w:val="auto"/>
                <w:sz w:val="24"/>
              </w:rPr>
              <w:t>5、污染物排放统计</w:t>
            </w:r>
          </w:p>
          <w:p w14:paraId="2503EFC1">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 w:val="24"/>
                <w:szCs w:val="32"/>
              </w:rPr>
            </w:pPr>
            <w:r>
              <w:rPr>
                <w:rFonts w:hint="eastAsia" w:ascii="宋体" w:hAnsi="宋体" w:cs="宋体"/>
                <w:b/>
                <w:bCs/>
                <w:color w:val="auto"/>
                <w:sz w:val="24"/>
                <w:szCs w:val="32"/>
              </w:rPr>
              <w:t>表</w:t>
            </w:r>
            <w:r>
              <w:rPr>
                <w:rFonts w:hint="default" w:ascii="Times New Roman" w:hAnsi="Times New Roman" w:cs="Times New Roman"/>
                <w:b/>
                <w:bCs/>
                <w:color w:val="auto"/>
                <w:sz w:val="24"/>
                <w:szCs w:val="32"/>
              </w:rPr>
              <w:t>2-</w:t>
            </w:r>
            <w:r>
              <w:rPr>
                <w:rFonts w:hint="eastAsia" w:cs="Times New Roman"/>
                <w:b/>
                <w:bCs/>
                <w:color w:val="auto"/>
                <w:sz w:val="24"/>
                <w:szCs w:val="32"/>
                <w:lang w:val="en-US" w:eastAsia="zh-CN"/>
              </w:rPr>
              <w:t>7</w:t>
            </w:r>
            <w:r>
              <w:rPr>
                <w:rFonts w:hint="default" w:ascii="Times New Roman" w:hAnsi="Times New Roman" w:cs="Times New Roman"/>
                <w:b/>
                <w:bCs/>
                <w:color w:val="auto"/>
                <w:sz w:val="24"/>
                <w:szCs w:val="32"/>
              </w:rPr>
              <w:t xml:space="preserve"> </w:t>
            </w:r>
            <w:r>
              <w:rPr>
                <w:rFonts w:hint="eastAsia" w:ascii="宋体" w:hAnsi="宋体" w:cs="宋体"/>
                <w:b/>
                <w:bCs/>
                <w:color w:val="auto"/>
                <w:sz w:val="24"/>
                <w:szCs w:val="32"/>
              </w:rPr>
              <w:t xml:space="preserve"> 现有工程污染物汇总一览表</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302"/>
              <w:gridCol w:w="1387"/>
              <w:gridCol w:w="2543"/>
              <w:gridCol w:w="1459"/>
              <w:gridCol w:w="1141"/>
            </w:tblGrid>
            <w:tr w14:paraId="4006DE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noWrap w:val="0"/>
                  <w:vAlign w:val="center"/>
                </w:tcPr>
                <w:p w14:paraId="0C8F043E">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污染物种类</w:t>
                  </w:r>
                </w:p>
              </w:tc>
              <w:tc>
                <w:tcPr>
                  <w:tcW w:w="1559" w:type="pct"/>
                  <w:gridSpan w:val="2"/>
                  <w:noWrap w:val="0"/>
                  <w:vAlign w:val="center"/>
                </w:tcPr>
                <w:p w14:paraId="047713CB">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排放污染物项目</w:t>
                  </w:r>
                </w:p>
              </w:tc>
              <w:tc>
                <w:tcPr>
                  <w:tcW w:w="1474" w:type="pct"/>
                  <w:noWrap w:val="0"/>
                  <w:vAlign w:val="center"/>
                </w:tcPr>
                <w:p w14:paraId="5448E376">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治理措施</w:t>
                  </w:r>
                </w:p>
              </w:tc>
              <w:tc>
                <w:tcPr>
                  <w:tcW w:w="846" w:type="pct"/>
                  <w:noWrap w:val="0"/>
                  <w:vAlign w:val="center"/>
                </w:tcPr>
                <w:p w14:paraId="19DA882D">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排放方式</w:t>
                  </w:r>
                </w:p>
              </w:tc>
              <w:tc>
                <w:tcPr>
                  <w:tcW w:w="661" w:type="pct"/>
                  <w:noWrap w:val="0"/>
                  <w:vAlign w:val="center"/>
                </w:tcPr>
                <w:p w14:paraId="5C4BA715">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排放量(t/a)</w:t>
                  </w:r>
                </w:p>
              </w:tc>
            </w:tr>
            <w:tr w14:paraId="30A2E1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restart"/>
                  <w:noWrap w:val="0"/>
                  <w:vAlign w:val="center"/>
                </w:tcPr>
                <w:p w14:paraId="3174FA24">
                  <w:pPr>
                    <w:pStyle w:val="70"/>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zCs w:val="21"/>
                      <w:lang w:val="en-US" w:eastAsia="zh-CN"/>
                    </w:rPr>
                  </w:pPr>
                  <w:r>
                    <w:rPr>
                      <w:rFonts w:hint="eastAsia" w:cs="Times New Roman"/>
                      <w:bCs/>
                      <w:color w:val="auto"/>
                      <w:szCs w:val="21"/>
                      <w:lang w:val="en-US" w:eastAsia="zh-CN"/>
                    </w:rPr>
                    <w:t>废气</w:t>
                  </w:r>
                </w:p>
              </w:tc>
              <w:tc>
                <w:tcPr>
                  <w:tcW w:w="755" w:type="pct"/>
                  <w:noWrap w:val="0"/>
                  <w:vAlign w:val="center"/>
                </w:tcPr>
                <w:p w14:paraId="239FA6C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油墨废气</w:t>
                  </w:r>
                </w:p>
              </w:tc>
              <w:tc>
                <w:tcPr>
                  <w:tcW w:w="804" w:type="pct"/>
                  <w:noWrap w:val="0"/>
                  <w:vAlign w:val="center"/>
                </w:tcPr>
                <w:p w14:paraId="2F522E2A">
                  <w:pPr>
                    <w:keepNext w:val="0"/>
                    <w:keepLines w:val="0"/>
                    <w:suppressLineNumbers w:val="0"/>
                    <w:spacing w:before="0" w:beforeAutospacing="0" w:after="0" w:afterAutospacing="0"/>
                    <w:ind w:left="0" w:right="0"/>
                    <w:jc w:val="center"/>
                    <w:rPr>
                      <w:rFonts w:hint="eastAsia" w:ascii="Times New Roman" w:hAnsi="Times New Roman" w:eastAsia="宋体" w:cs="Times New Roman"/>
                      <w:bCs/>
                      <w:color w:val="auto"/>
                      <w:szCs w:val="21"/>
                      <w:lang w:eastAsia="zh-CN"/>
                    </w:rPr>
                  </w:pPr>
                  <w:r>
                    <w:rPr>
                      <w:rFonts w:hint="eastAsia" w:cs="Times New Roman"/>
                      <w:color w:val="auto"/>
                      <w:szCs w:val="21"/>
                      <w:lang w:val="en-US" w:eastAsia="zh-CN"/>
                    </w:rPr>
                    <w:t>非甲烷总烃</w:t>
                  </w:r>
                </w:p>
              </w:tc>
              <w:tc>
                <w:tcPr>
                  <w:tcW w:w="1474" w:type="pct"/>
                  <w:noWrap w:val="0"/>
                  <w:vAlign w:val="center"/>
                </w:tcPr>
                <w:p w14:paraId="634DA1D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color w:val="auto"/>
                      <w:szCs w:val="21"/>
                      <w:lang w:val="en-US" w:eastAsia="zh-CN"/>
                    </w:rPr>
                    <w:t>经排气扇排出车间</w:t>
                  </w:r>
                </w:p>
              </w:tc>
              <w:tc>
                <w:tcPr>
                  <w:tcW w:w="846" w:type="pct"/>
                  <w:noWrap w:val="0"/>
                  <w:vAlign w:val="center"/>
                </w:tcPr>
                <w:p w14:paraId="6EB0092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color w:val="auto"/>
                      <w:szCs w:val="21"/>
                      <w:lang w:eastAsia="zh-CN"/>
                    </w:rPr>
                    <w:t>无</w:t>
                  </w:r>
                  <w:r>
                    <w:rPr>
                      <w:rFonts w:hint="default" w:ascii="Times New Roman" w:hAnsi="Times New Roman" w:cs="Times New Roman"/>
                      <w:color w:val="auto"/>
                      <w:szCs w:val="21"/>
                    </w:rPr>
                    <w:t>组织排放</w:t>
                  </w:r>
                </w:p>
              </w:tc>
              <w:tc>
                <w:tcPr>
                  <w:tcW w:w="661" w:type="pct"/>
                  <w:noWrap w:val="0"/>
                  <w:vAlign w:val="center"/>
                </w:tcPr>
                <w:p w14:paraId="7C997D0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bidi="ar"/>
                    </w:rPr>
                    <w:t>1.5</w:t>
                  </w:r>
                </w:p>
              </w:tc>
            </w:tr>
            <w:tr w14:paraId="345CB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continue"/>
                  <w:noWrap w:val="0"/>
                  <w:vAlign w:val="center"/>
                </w:tcPr>
                <w:p w14:paraId="76D2F1E1">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755" w:type="pct"/>
                  <w:noWrap w:val="0"/>
                  <w:vAlign w:val="center"/>
                </w:tcPr>
                <w:p w14:paraId="66B73AB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叉车尾气</w:t>
                  </w:r>
                </w:p>
              </w:tc>
              <w:tc>
                <w:tcPr>
                  <w:tcW w:w="804" w:type="pct"/>
                  <w:noWrap w:val="0"/>
                  <w:vAlign w:val="center"/>
                </w:tcPr>
                <w:p w14:paraId="75DA8ACE">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color w:val="auto"/>
                      <w:kern w:val="0"/>
                      <w:sz w:val="21"/>
                      <w:szCs w:val="21"/>
                      <w:lang w:bidi="ar"/>
                    </w:rPr>
                    <w:t>CO、NO</w:t>
                  </w:r>
                  <w:r>
                    <w:rPr>
                      <w:rFonts w:hint="default" w:ascii="Times New Roman" w:hAnsi="Times New Roman" w:cs="Times New Roman"/>
                      <w:color w:val="auto"/>
                      <w:kern w:val="0"/>
                      <w:sz w:val="21"/>
                      <w:szCs w:val="21"/>
                      <w:vertAlign w:val="subscript"/>
                      <w:lang w:bidi="ar"/>
                    </w:rPr>
                    <w:t>2</w:t>
                  </w:r>
                  <w:r>
                    <w:rPr>
                      <w:rFonts w:hint="eastAsia" w:cs="Times New Roman"/>
                      <w:color w:val="auto"/>
                      <w:kern w:val="0"/>
                      <w:sz w:val="21"/>
                      <w:szCs w:val="21"/>
                      <w:lang w:eastAsia="zh-CN" w:bidi="ar"/>
                    </w:rPr>
                    <w:t>、</w:t>
                  </w:r>
                  <w:r>
                    <w:rPr>
                      <w:rFonts w:hint="default" w:ascii="Times New Roman" w:hAnsi="Times New Roman" w:cs="Times New Roman"/>
                      <w:color w:val="auto"/>
                      <w:kern w:val="0"/>
                      <w:sz w:val="21"/>
                      <w:szCs w:val="21"/>
                      <w:lang w:bidi="ar"/>
                    </w:rPr>
                    <w:t>HC</w:t>
                  </w:r>
                </w:p>
              </w:tc>
              <w:tc>
                <w:tcPr>
                  <w:tcW w:w="1474" w:type="pct"/>
                  <w:noWrap w:val="0"/>
                  <w:vAlign w:val="center"/>
                </w:tcPr>
                <w:p w14:paraId="58788A7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宋体" w:hAnsi="宋体" w:cs="宋体"/>
                      <w:color w:val="auto"/>
                      <w:kern w:val="0"/>
                      <w:szCs w:val="21"/>
                      <w:lang w:bidi="ar"/>
                    </w:rPr>
                    <w:t>选用符合国家标准的</w:t>
                  </w:r>
                  <w:r>
                    <w:rPr>
                      <w:rFonts w:hint="eastAsia" w:ascii="宋体" w:hAnsi="宋体" w:cs="宋体"/>
                      <w:color w:val="auto"/>
                      <w:kern w:val="0"/>
                      <w:szCs w:val="21"/>
                      <w:lang w:val="en-US" w:eastAsia="zh-CN" w:bidi="ar"/>
                    </w:rPr>
                    <w:t>叉车</w:t>
                  </w:r>
                  <w:r>
                    <w:rPr>
                      <w:rFonts w:hint="eastAsia" w:ascii="宋体" w:hAnsi="宋体" w:cs="宋体"/>
                      <w:color w:val="auto"/>
                      <w:kern w:val="0"/>
                      <w:szCs w:val="21"/>
                      <w:lang w:bidi="ar"/>
                    </w:rPr>
                    <w:t>，尾气达标排放</w:t>
                  </w:r>
                </w:p>
              </w:tc>
              <w:tc>
                <w:tcPr>
                  <w:tcW w:w="846" w:type="pct"/>
                  <w:noWrap w:val="0"/>
                  <w:vAlign w:val="center"/>
                </w:tcPr>
                <w:p w14:paraId="0A45EDE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color w:val="auto"/>
                      <w:szCs w:val="21"/>
                      <w:lang w:eastAsia="zh-CN"/>
                    </w:rPr>
                    <w:t>无</w:t>
                  </w:r>
                  <w:r>
                    <w:rPr>
                      <w:rFonts w:hint="default" w:ascii="Times New Roman" w:hAnsi="Times New Roman" w:cs="Times New Roman"/>
                      <w:color w:val="auto"/>
                      <w:szCs w:val="21"/>
                    </w:rPr>
                    <w:t>组织排放</w:t>
                  </w:r>
                </w:p>
              </w:tc>
              <w:tc>
                <w:tcPr>
                  <w:tcW w:w="661" w:type="pct"/>
                  <w:noWrap w:val="0"/>
                  <w:vAlign w:val="center"/>
                </w:tcPr>
                <w:p w14:paraId="707949F1">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w:t>
                  </w:r>
                </w:p>
              </w:tc>
            </w:tr>
            <w:tr w14:paraId="3ED52C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continue"/>
                  <w:noWrap w:val="0"/>
                  <w:vAlign w:val="center"/>
                </w:tcPr>
                <w:p w14:paraId="30B4E6F9">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755" w:type="pct"/>
                  <w:noWrap w:val="0"/>
                  <w:vAlign w:val="center"/>
                </w:tcPr>
                <w:p w14:paraId="6D3976D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食堂油烟</w:t>
                  </w:r>
                </w:p>
              </w:tc>
              <w:tc>
                <w:tcPr>
                  <w:tcW w:w="804" w:type="pct"/>
                  <w:noWrap w:val="0"/>
                  <w:vAlign w:val="center"/>
                </w:tcPr>
                <w:p w14:paraId="38F6374A">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color w:val="auto"/>
                      <w:szCs w:val="21"/>
                    </w:rPr>
                    <w:t>食堂油烟</w:t>
                  </w:r>
                </w:p>
              </w:tc>
              <w:tc>
                <w:tcPr>
                  <w:tcW w:w="1474" w:type="pct"/>
                  <w:noWrap w:val="0"/>
                  <w:vAlign w:val="center"/>
                </w:tcPr>
                <w:p w14:paraId="38C470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由油烟净化器</w:t>
                  </w:r>
                  <w:r>
                    <w:rPr>
                      <w:rFonts w:hint="eastAsia" w:cs="Times New Roman"/>
                      <w:color w:val="auto"/>
                      <w:szCs w:val="21"/>
                      <w:lang w:val="en-US" w:eastAsia="zh-CN"/>
                    </w:rPr>
                    <w:t>处理后排放</w:t>
                  </w:r>
                </w:p>
              </w:tc>
              <w:tc>
                <w:tcPr>
                  <w:tcW w:w="846" w:type="pct"/>
                  <w:noWrap w:val="0"/>
                  <w:vAlign w:val="center"/>
                </w:tcPr>
                <w:p w14:paraId="5E02216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color w:val="auto"/>
                      <w:szCs w:val="21"/>
                      <w:lang w:eastAsia="zh-CN"/>
                    </w:rPr>
                    <w:t>无</w:t>
                  </w:r>
                  <w:r>
                    <w:rPr>
                      <w:rFonts w:hint="default" w:ascii="Times New Roman" w:hAnsi="Times New Roman" w:cs="Times New Roman"/>
                      <w:color w:val="auto"/>
                      <w:szCs w:val="21"/>
                    </w:rPr>
                    <w:t>组织排放</w:t>
                  </w:r>
                </w:p>
              </w:tc>
              <w:tc>
                <w:tcPr>
                  <w:tcW w:w="661" w:type="pct"/>
                  <w:noWrap w:val="0"/>
                  <w:vAlign w:val="center"/>
                </w:tcPr>
                <w:p w14:paraId="448F94D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0.0054</w:t>
                  </w:r>
                </w:p>
              </w:tc>
            </w:tr>
            <w:tr w14:paraId="6BE091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58" w:type="pct"/>
                  <w:vMerge w:val="restart"/>
                  <w:noWrap w:val="0"/>
                  <w:vAlign w:val="center"/>
                </w:tcPr>
                <w:p w14:paraId="1ED9318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废水</w:t>
                  </w:r>
                </w:p>
              </w:tc>
              <w:tc>
                <w:tcPr>
                  <w:tcW w:w="755" w:type="pct"/>
                  <w:noWrap w:val="0"/>
                  <w:vAlign w:val="center"/>
                </w:tcPr>
                <w:p w14:paraId="41BB58F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生活废水</w:t>
                  </w:r>
                </w:p>
              </w:tc>
              <w:tc>
                <w:tcPr>
                  <w:tcW w:w="804" w:type="pct"/>
                  <w:vMerge w:val="restart"/>
                  <w:noWrap w:val="0"/>
                  <w:vAlign w:val="center"/>
                </w:tcPr>
                <w:p w14:paraId="468D28BF">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废水</w:t>
                  </w:r>
                </w:p>
              </w:tc>
              <w:tc>
                <w:tcPr>
                  <w:tcW w:w="1474" w:type="pct"/>
                  <w:noWrap w:val="0"/>
                  <w:vAlign w:val="center"/>
                </w:tcPr>
                <w:p w14:paraId="288ECE4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生活污水及餐饮废水</w:t>
                  </w:r>
                  <w:r>
                    <w:rPr>
                      <w:rFonts w:hint="eastAsia" w:cs="Times New Roman"/>
                      <w:color w:val="auto"/>
                      <w:szCs w:val="21"/>
                      <w:lang w:val="en-US" w:eastAsia="zh-CN"/>
                    </w:rPr>
                    <w:t>经</w:t>
                  </w:r>
                  <w:r>
                    <w:rPr>
                      <w:rFonts w:hint="default" w:ascii="Times New Roman" w:hAnsi="Times New Roman" w:cs="Times New Roman"/>
                      <w:color w:val="auto"/>
                      <w:szCs w:val="21"/>
                    </w:rPr>
                    <w:t>化粪池处理</w:t>
                  </w:r>
                  <w:r>
                    <w:rPr>
                      <w:rFonts w:hint="eastAsia" w:cs="Times New Roman"/>
                      <w:color w:val="auto"/>
                      <w:szCs w:val="21"/>
                      <w:lang w:val="en-US" w:eastAsia="zh-CN"/>
                    </w:rPr>
                    <w:t>后排入市政污水 管网</w:t>
                  </w:r>
                </w:p>
              </w:tc>
              <w:tc>
                <w:tcPr>
                  <w:tcW w:w="846" w:type="pct"/>
                  <w:noWrap w:val="0"/>
                  <w:vAlign w:val="center"/>
                </w:tcPr>
                <w:p w14:paraId="7633E61E">
                  <w:pPr>
                    <w:pStyle w:val="70"/>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rPr>
                    <w:t>化粪池处理</w:t>
                  </w:r>
                  <w:r>
                    <w:rPr>
                      <w:rFonts w:hint="eastAsia" w:cs="Times New Roman"/>
                      <w:bCs/>
                      <w:color w:val="auto"/>
                      <w:szCs w:val="21"/>
                      <w:lang w:val="en-US" w:eastAsia="zh-CN"/>
                    </w:rPr>
                    <w:t>后排入市政污水管网</w:t>
                  </w:r>
                </w:p>
              </w:tc>
              <w:tc>
                <w:tcPr>
                  <w:tcW w:w="661" w:type="pct"/>
                  <w:noWrap w:val="0"/>
                  <w:vAlign w:val="center"/>
                </w:tcPr>
                <w:p w14:paraId="5C762B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bCs/>
                      <w:color w:val="auto"/>
                      <w:szCs w:val="21"/>
                      <w:lang w:val="en-US" w:eastAsia="zh-CN"/>
                    </w:rPr>
                    <w:t>2400</w:t>
                  </w:r>
                </w:p>
              </w:tc>
            </w:tr>
            <w:tr w14:paraId="4174CE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458" w:type="pct"/>
                  <w:vMerge w:val="continue"/>
                  <w:noWrap w:val="0"/>
                  <w:vAlign w:val="center"/>
                </w:tcPr>
                <w:p w14:paraId="7493993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755" w:type="pct"/>
                  <w:noWrap w:val="0"/>
                  <w:vAlign w:val="center"/>
                </w:tcPr>
                <w:p w14:paraId="34C92AFA">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color w:val="auto"/>
                      <w:szCs w:val="21"/>
                    </w:rPr>
                    <w:t>生产废水</w:t>
                  </w:r>
                </w:p>
              </w:tc>
              <w:tc>
                <w:tcPr>
                  <w:tcW w:w="804" w:type="pct"/>
                  <w:vMerge w:val="continue"/>
                  <w:noWrap w:val="0"/>
                  <w:vAlign w:val="center"/>
                </w:tcPr>
                <w:p w14:paraId="2DF8E855">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p>
              </w:tc>
              <w:tc>
                <w:tcPr>
                  <w:tcW w:w="1474" w:type="pct"/>
                  <w:noWrap w:val="0"/>
                  <w:vAlign w:val="center"/>
                </w:tcPr>
                <w:p w14:paraId="39A99547">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bCs/>
                      <w:color w:val="auto"/>
                      <w:szCs w:val="21"/>
                      <w:lang w:val="en-US" w:eastAsia="zh-CN"/>
                    </w:rPr>
                    <w:t>污水处理设施处理后回用于油墨稀释</w:t>
                  </w:r>
                </w:p>
              </w:tc>
              <w:tc>
                <w:tcPr>
                  <w:tcW w:w="846" w:type="pct"/>
                  <w:noWrap w:val="0"/>
                  <w:vAlign w:val="center"/>
                </w:tcPr>
                <w:p w14:paraId="0A91757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eastAsia" w:cs="Times New Roman"/>
                      <w:color w:val="auto"/>
                      <w:szCs w:val="21"/>
                      <w:lang w:val="en-US" w:eastAsia="zh-CN"/>
                    </w:rPr>
                    <w:t>污水处理设施处理后</w:t>
                  </w:r>
                  <w:r>
                    <w:rPr>
                      <w:rFonts w:hint="default" w:ascii="Times New Roman" w:hAnsi="Times New Roman" w:cs="Times New Roman"/>
                      <w:color w:val="auto"/>
                      <w:szCs w:val="21"/>
                    </w:rPr>
                    <w:t>，循环使用不外排</w:t>
                  </w:r>
                </w:p>
              </w:tc>
              <w:tc>
                <w:tcPr>
                  <w:tcW w:w="661" w:type="pct"/>
                  <w:noWrap w:val="0"/>
                  <w:vAlign w:val="center"/>
                </w:tcPr>
                <w:p w14:paraId="2EFB41A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r>
            <w:tr w14:paraId="3EEF54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noWrap w:val="0"/>
                  <w:vAlign w:val="center"/>
                </w:tcPr>
                <w:p w14:paraId="60B7B352">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噪声</w:t>
                  </w:r>
                </w:p>
              </w:tc>
              <w:tc>
                <w:tcPr>
                  <w:tcW w:w="1559" w:type="pct"/>
                  <w:gridSpan w:val="2"/>
                  <w:noWrap w:val="0"/>
                  <w:vAlign w:val="center"/>
                </w:tcPr>
                <w:p w14:paraId="70AC8ECC">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等效连续A声级</w:t>
                  </w:r>
                </w:p>
              </w:tc>
              <w:tc>
                <w:tcPr>
                  <w:tcW w:w="1474" w:type="pct"/>
                  <w:noWrap w:val="0"/>
                  <w:vAlign w:val="center"/>
                </w:tcPr>
                <w:p w14:paraId="32085167">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厂房隔声、合理布局</w:t>
                  </w:r>
                </w:p>
              </w:tc>
              <w:tc>
                <w:tcPr>
                  <w:tcW w:w="846" w:type="pct"/>
                  <w:noWrap w:val="0"/>
                  <w:vAlign w:val="center"/>
                </w:tcPr>
                <w:p w14:paraId="1CE65195">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c>
                <w:tcPr>
                  <w:tcW w:w="661" w:type="pct"/>
                  <w:noWrap w:val="0"/>
                  <w:vAlign w:val="center"/>
                </w:tcPr>
                <w:p w14:paraId="45376AFB">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r>
            <w:tr w14:paraId="050A1B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restart"/>
                  <w:noWrap w:val="0"/>
                  <w:vAlign w:val="center"/>
                </w:tcPr>
                <w:p w14:paraId="45D676A6">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固废</w:t>
                  </w:r>
                </w:p>
              </w:tc>
              <w:tc>
                <w:tcPr>
                  <w:tcW w:w="1559" w:type="pct"/>
                  <w:gridSpan w:val="2"/>
                  <w:noWrap w:val="0"/>
                  <w:vAlign w:val="center"/>
                </w:tcPr>
                <w:p w14:paraId="45E3090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c>
                <w:tcPr>
                  <w:tcW w:w="1474" w:type="pct"/>
                  <w:noWrap w:val="0"/>
                  <w:vAlign w:val="center"/>
                </w:tcPr>
                <w:p w14:paraId="3BE69C4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pacing w:val="-6"/>
                      <w:szCs w:val="21"/>
                    </w:rPr>
                    <w:t>定点收集定期由环卫部门清运</w:t>
                  </w:r>
                </w:p>
              </w:tc>
              <w:tc>
                <w:tcPr>
                  <w:tcW w:w="846" w:type="pct"/>
                  <w:noWrap w:val="0"/>
                  <w:vAlign w:val="center"/>
                </w:tcPr>
                <w:p w14:paraId="496C099D">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c>
                <w:tcPr>
                  <w:tcW w:w="661" w:type="pct"/>
                  <w:noWrap w:val="0"/>
                  <w:vAlign w:val="center"/>
                </w:tcPr>
                <w:p w14:paraId="491176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5.76</w:t>
                  </w:r>
                </w:p>
              </w:tc>
            </w:tr>
            <w:tr w14:paraId="4F660C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458" w:type="pct"/>
                  <w:vMerge w:val="continue"/>
                  <w:noWrap w:val="0"/>
                  <w:vAlign w:val="center"/>
                </w:tcPr>
                <w:p w14:paraId="72183AB9">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1559" w:type="pct"/>
                  <w:gridSpan w:val="2"/>
                  <w:noWrap w:val="0"/>
                  <w:vAlign w:val="center"/>
                </w:tcPr>
                <w:p w14:paraId="08D9692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lang w:val="en-US" w:eastAsia="zh-CN"/>
                    </w:rPr>
                    <w:t>废包装材料、纸张边角料、印刷不合格产品</w:t>
                  </w:r>
                </w:p>
              </w:tc>
              <w:tc>
                <w:tcPr>
                  <w:tcW w:w="1474" w:type="pct"/>
                  <w:vMerge w:val="restart"/>
                  <w:noWrap w:val="0"/>
                  <w:vAlign w:val="center"/>
                </w:tcPr>
                <w:p w14:paraId="7B211DB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pacing w:val="-6"/>
                      <w:szCs w:val="21"/>
                      <w:lang w:val="en-US" w:eastAsia="zh-CN"/>
                    </w:rPr>
                    <w:t>交由收购站收购处置</w:t>
                  </w:r>
                </w:p>
              </w:tc>
              <w:tc>
                <w:tcPr>
                  <w:tcW w:w="846" w:type="pct"/>
                  <w:noWrap w:val="0"/>
                  <w:vAlign w:val="center"/>
                </w:tcPr>
                <w:p w14:paraId="620E0345">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c>
                <w:tcPr>
                  <w:tcW w:w="661" w:type="pct"/>
                  <w:noWrap w:val="0"/>
                  <w:vAlign w:val="center"/>
                </w:tcPr>
                <w:p w14:paraId="3DFFF2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3.192</w:t>
                  </w:r>
                </w:p>
              </w:tc>
            </w:tr>
            <w:tr w14:paraId="3DA70D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continue"/>
                  <w:noWrap w:val="0"/>
                  <w:vAlign w:val="center"/>
                </w:tcPr>
                <w:p w14:paraId="522BB43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1559" w:type="pct"/>
                  <w:gridSpan w:val="2"/>
                  <w:noWrap w:val="0"/>
                  <w:vAlign w:val="center"/>
                </w:tcPr>
                <w:p w14:paraId="346B77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r>
                    <w:rPr>
                      <w:rFonts w:hint="eastAsia" w:cs="Times New Roman"/>
                      <w:color w:val="auto"/>
                      <w:szCs w:val="21"/>
                      <w:lang w:val="en-US" w:eastAsia="zh-CN"/>
                    </w:rPr>
                    <w:t>废油墨储存罐</w:t>
                  </w:r>
                </w:p>
              </w:tc>
              <w:tc>
                <w:tcPr>
                  <w:tcW w:w="1474" w:type="pct"/>
                  <w:vMerge w:val="restart"/>
                  <w:noWrap w:val="0"/>
                  <w:vAlign w:val="center"/>
                </w:tcPr>
                <w:p w14:paraId="66A031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交由有资质单位处置</w:t>
                  </w:r>
                </w:p>
              </w:tc>
              <w:tc>
                <w:tcPr>
                  <w:tcW w:w="846" w:type="pct"/>
                  <w:noWrap w:val="0"/>
                  <w:vAlign w:val="center"/>
                </w:tcPr>
                <w:p w14:paraId="4AB0C3B5">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bCs/>
                      <w:color w:val="auto"/>
                      <w:szCs w:val="21"/>
                    </w:rPr>
                    <w:t>/</w:t>
                  </w:r>
                </w:p>
              </w:tc>
              <w:tc>
                <w:tcPr>
                  <w:tcW w:w="661" w:type="pct"/>
                  <w:noWrap w:val="0"/>
                  <w:vAlign w:val="center"/>
                </w:tcPr>
                <w:p w14:paraId="5113DA5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0.4</w:t>
                  </w:r>
                </w:p>
              </w:tc>
            </w:tr>
            <w:tr w14:paraId="3610C8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continue"/>
                  <w:noWrap w:val="0"/>
                  <w:vAlign w:val="center"/>
                </w:tcPr>
                <w:p w14:paraId="6EA008B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1559" w:type="pct"/>
                  <w:gridSpan w:val="2"/>
                  <w:noWrap w:val="0"/>
                  <w:vAlign w:val="center"/>
                </w:tcPr>
                <w:p w14:paraId="7637D84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0"/>
                      <w:szCs w:val="21"/>
                      <w:lang w:eastAsia="zh-CN"/>
                    </w:rPr>
                  </w:pPr>
                  <w:r>
                    <w:rPr>
                      <w:rFonts w:hint="eastAsia" w:ascii="Times New Roman" w:hAnsi="Times New Roman" w:cs="Times New Roman"/>
                      <w:color w:val="auto"/>
                      <w:szCs w:val="21"/>
                    </w:rPr>
                    <w:t>废</w:t>
                  </w:r>
                  <w:r>
                    <w:rPr>
                      <w:rFonts w:hint="eastAsia" w:cs="Times New Roman"/>
                      <w:color w:val="auto"/>
                      <w:szCs w:val="21"/>
                      <w:lang w:val="en-US" w:eastAsia="zh-CN"/>
                    </w:rPr>
                    <w:t>水溶性储罐</w:t>
                  </w:r>
                </w:p>
              </w:tc>
              <w:tc>
                <w:tcPr>
                  <w:tcW w:w="1474" w:type="pct"/>
                  <w:vMerge w:val="continue"/>
                  <w:noWrap w:val="0"/>
                  <w:vAlign w:val="center"/>
                </w:tcPr>
                <w:p w14:paraId="3392A30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846" w:type="pct"/>
                  <w:noWrap w:val="0"/>
                  <w:vAlign w:val="center"/>
                </w:tcPr>
                <w:p w14:paraId="3EFD1F6F">
                  <w:pPr>
                    <w:pStyle w:val="70"/>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w:t>
                  </w:r>
                </w:p>
              </w:tc>
              <w:tc>
                <w:tcPr>
                  <w:tcW w:w="661" w:type="pct"/>
                  <w:noWrap w:val="0"/>
                  <w:vAlign w:val="center"/>
                </w:tcPr>
                <w:p w14:paraId="3301871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0.24</w:t>
                  </w:r>
                </w:p>
              </w:tc>
            </w:tr>
            <w:tr w14:paraId="644CE8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continue"/>
                  <w:noWrap w:val="0"/>
                  <w:vAlign w:val="center"/>
                </w:tcPr>
                <w:p w14:paraId="749079D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1559" w:type="pct"/>
                  <w:gridSpan w:val="2"/>
                  <w:noWrap w:val="0"/>
                  <w:vAlign w:val="center"/>
                </w:tcPr>
                <w:p w14:paraId="2EA9FA2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废污泥</w:t>
                  </w:r>
                </w:p>
              </w:tc>
              <w:tc>
                <w:tcPr>
                  <w:tcW w:w="1474" w:type="pct"/>
                  <w:vMerge w:val="continue"/>
                  <w:noWrap w:val="0"/>
                  <w:vAlign w:val="center"/>
                </w:tcPr>
                <w:p w14:paraId="0BA85B5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846" w:type="pct"/>
                  <w:noWrap w:val="0"/>
                  <w:vAlign w:val="center"/>
                </w:tcPr>
                <w:p w14:paraId="370057BB">
                  <w:pPr>
                    <w:pStyle w:val="70"/>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Cs w:val="21"/>
                    </w:rPr>
                    <w:t>/</w:t>
                  </w:r>
                </w:p>
              </w:tc>
              <w:tc>
                <w:tcPr>
                  <w:tcW w:w="661" w:type="pct"/>
                  <w:noWrap w:val="0"/>
                  <w:vAlign w:val="center"/>
                </w:tcPr>
                <w:p w14:paraId="64D3E4EF">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0.1</w:t>
                  </w:r>
                </w:p>
              </w:tc>
            </w:tr>
            <w:tr w14:paraId="216E7F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continue"/>
                  <w:noWrap w:val="0"/>
                  <w:vAlign w:val="center"/>
                </w:tcPr>
                <w:p w14:paraId="5D8E1A9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1559" w:type="pct"/>
                  <w:gridSpan w:val="2"/>
                  <w:noWrap w:val="0"/>
                  <w:vAlign w:val="center"/>
                </w:tcPr>
                <w:p w14:paraId="3EE1B815">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废含油抹布</w:t>
                  </w:r>
                </w:p>
              </w:tc>
              <w:tc>
                <w:tcPr>
                  <w:tcW w:w="1474" w:type="pct"/>
                  <w:vMerge w:val="continue"/>
                  <w:noWrap w:val="0"/>
                  <w:vAlign w:val="center"/>
                </w:tcPr>
                <w:p w14:paraId="2847293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846" w:type="pct"/>
                  <w:noWrap w:val="0"/>
                  <w:vAlign w:val="center"/>
                </w:tcPr>
                <w:p w14:paraId="2E4F74B0">
                  <w:pPr>
                    <w:pStyle w:val="70"/>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bCs/>
                      <w:color w:val="auto"/>
                      <w:szCs w:val="21"/>
                    </w:rPr>
                    <w:t>/</w:t>
                  </w:r>
                </w:p>
              </w:tc>
              <w:tc>
                <w:tcPr>
                  <w:tcW w:w="661" w:type="pct"/>
                  <w:noWrap w:val="0"/>
                  <w:vAlign w:val="center"/>
                </w:tcPr>
                <w:p w14:paraId="63E4874B">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0.001</w:t>
                  </w:r>
                </w:p>
              </w:tc>
            </w:tr>
            <w:tr w14:paraId="1C44CE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continue"/>
                  <w:noWrap w:val="0"/>
                  <w:vAlign w:val="center"/>
                </w:tcPr>
                <w:p w14:paraId="183B854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1559" w:type="pct"/>
                  <w:gridSpan w:val="2"/>
                  <w:noWrap w:val="0"/>
                  <w:vAlign w:val="center"/>
                </w:tcPr>
                <w:p w14:paraId="38818AC2">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废机油</w:t>
                  </w:r>
                </w:p>
              </w:tc>
              <w:tc>
                <w:tcPr>
                  <w:tcW w:w="1474" w:type="pct"/>
                  <w:vMerge w:val="continue"/>
                  <w:noWrap w:val="0"/>
                  <w:vAlign w:val="center"/>
                </w:tcPr>
                <w:p w14:paraId="46ED33F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846" w:type="pct"/>
                  <w:noWrap w:val="0"/>
                  <w:vAlign w:val="center"/>
                </w:tcPr>
                <w:p w14:paraId="01907085">
                  <w:pPr>
                    <w:pStyle w:val="70"/>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Cs w:val="21"/>
                    </w:rPr>
                    <w:t>/</w:t>
                  </w:r>
                </w:p>
              </w:tc>
              <w:tc>
                <w:tcPr>
                  <w:tcW w:w="661" w:type="pct"/>
                  <w:noWrap w:val="0"/>
                  <w:vAlign w:val="center"/>
                </w:tcPr>
                <w:p w14:paraId="32A5847B">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0.1</w:t>
                  </w:r>
                </w:p>
              </w:tc>
            </w:tr>
            <w:tr w14:paraId="7160E5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58" w:type="pct"/>
                  <w:vMerge w:val="continue"/>
                  <w:noWrap w:val="0"/>
                  <w:vAlign w:val="center"/>
                </w:tcPr>
                <w:p w14:paraId="1DA972A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p>
              </w:tc>
              <w:tc>
                <w:tcPr>
                  <w:tcW w:w="1559" w:type="pct"/>
                  <w:gridSpan w:val="2"/>
                  <w:noWrap w:val="0"/>
                  <w:vAlign w:val="center"/>
                </w:tcPr>
                <w:p w14:paraId="17986C84">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废擦机布</w:t>
                  </w:r>
                </w:p>
              </w:tc>
              <w:tc>
                <w:tcPr>
                  <w:tcW w:w="1474" w:type="pct"/>
                  <w:vMerge w:val="continue"/>
                  <w:noWrap w:val="0"/>
                  <w:vAlign w:val="center"/>
                </w:tcPr>
                <w:p w14:paraId="0D17F27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846" w:type="pct"/>
                  <w:noWrap w:val="0"/>
                  <w:vAlign w:val="center"/>
                </w:tcPr>
                <w:p w14:paraId="48746769">
                  <w:pPr>
                    <w:pStyle w:val="70"/>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auto"/>
                      <w:szCs w:val="21"/>
                      <w:lang w:val="en-US" w:eastAsia="zh-CN"/>
                    </w:rPr>
                  </w:pPr>
                  <w:r>
                    <w:rPr>
                      <w:rFonts w:hint="eastAsia" w:cs="Times New Roman"/>
                      <w:bCs/>
                      <w:color w:val="auto"/>
                      <w:szCs w:val="21"/>
                      <w:lang w:val="en-US" w:eastAsia="zh-CN"/>
                    </w:rPr>
                    <w:t>/</w:t>
                  </w:r>
                </w:p>
              </w:tc>
              <w:tc>
                <w:tcPr>
                  <w:tcW w:w="661" w:type="pct"/>
                  <w:noWrap w:val="0"/>
                  <w:vAlign w:val="center"/>
                </w:tcPr>
                <w:p w14:paraId="7A18345D">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0.2</w:t>
                  </w:r>
                </w:p>
              </w:tc>
            </w:tr>
          </w:tbl>
          <w:p w14:paraId="7A2F3C93">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color w:val="auto"/>
                <w:sz w:val="24"/>
              </w:rPr>
            </w:pPr>
            <w:r>
              <w:rPr>
                <w:rFonts w:hint="eastAsia" w:cs="Times New Roman"/>
                <w:b/>
                <w:bCs/>
                <w:color w:val="auto"/>
                <w:kern w:val="0"/>
                <w:sz w:val="24"/>
                <w:lang w:val="en-US" w:eastAsia="zh-CN" w:bidi="ar"/>
              </w:rPr>
              <w:t>6、现</w:t>
            </w:r>
            <w:r>
              <w:rPr>
                <w:rFonts w:hint="default" w:ascii="Times New Roman" w:hAnsi="Times New Roman" w:cs="Times New Roman"/>
                <w:b/>
                <w:bCs/>
                <w:color w:val="auto"/>
                <w:kern w:val="0"/>
                <w:sz w:val="24"/>
                <w:lang w:bidi="ar"/>
              </w:rPr>
              <w:t>有环境问题</w:t>
            </w:r>
          </w:p>
          <w:p w14:paraId="655B8816">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现有项目于2018年09月</w:t>
            </w:r>
            <w:r>
              <w:rPr>
                <w:rFonts w:hint="eastAsia" w:cs="Times New Roman"/>
                <w:color w:val="auto"/>
                <w:kern w:val="0"/>
                <w:sz w:val="24"/>
                <w:lang w:val="en-US" w:eastAsia="zh-CN" w:bidi="ar"/>
              </w:rPr>
              <w:t>14</w:t>
            </w:r>
            <w:r>
              <w:rPr>
                <w:rFonts w:hint="default" w:ascii="Times New Roman" w:hAnsi="Times New Roman" w:cs="Times New Roman"/>
                <w:color w:val="auto"/>
                <w:kern w:val="0"/>
                <w:sz w:val="24"/>
                <w:lang w:bidi="ar"/>
              </w:rPr>
              <w:t>日通过</w:t>
            </w:r>
            <w:r>
              <w:rPr>
                <w:rFonts w:hint="eastAsia" w:cs="Times New Roman"/>
                <w:color w:val="auto"/>
                <w:kern w:val="0"/>
                <w:sz w:val="24"/>
                <w:lang w:val="en-US" w:eastAsia="zh-CN" w:bidi="ar"/>
              </w:rPr>
              <w:t>西咸新区沣东新城环境保护</w:t>
            </w:r>
            <w:r>
              <w:rPr>
                <w:rFonts w:hint="default" w:ascii="Times New Roman" w:hAnsi="Times New Roman" w:cs="Times New Roman"/>
                <w:color w:val="auto"/>
                <w:kern w:val="0"/>
                <w:sz w:val="24"/>
                <w:lang w:bidi="ar"/>
              </w:rPr>
              <w:t>局竣工环保验收，项目废水、废气及设备噪声分别经治理后，均可达到排放标准要求，固体废物可综合利用和妥善处置。</w:t>
            </w:r>
          </w:p>
          <w:p w14:paraId="4622E87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kern w:val="0"/>
                <w:sz w:val="24"/>
                <w:lang w:bidi="ar"/>
              </w:rPr>
              <w:t>现有</w:t>
            </w:r>
            <w:r>
              <w:rPr>
                <w:rFonts w:hint="default" w:ascii="Times New Roman" w:hAnsi="Times New Roman" w:cs="Times New Roman"/>
                <w:color w:val="auto"/>
                <w:sz w:val="24"/>
              </w:rPr>
              <w:t>项目环境管理较好，废气、噪声达标排放，固废有效处置不外排，无环境污染事故和风险事故，与周边居民及企业无环保纠纷。存在的主要环保问题及整改措施如下：</w:t>
            </w:r>
          </w:p>
          <w:p w14:paraId="6B518008">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4"/>
              </w:rPr>
            </w:pPr>
            <w:r>
              <w:rPr>
                <w:rFonts w:hint="eastAsia" w:ascii="Times New Roman" w:hAnsi="Times New Roman" w:cs="Times New Roman"/>
                <w:b/>
                <w:color w:val="auto"/>
                <w:sz w:val="24"/>
              </w:rPr>
              <w:t>表2-</w:t>
            </w:r>
            <w:r>
              <w:rPr>
                <w:rFonts w:hint="eastAsia" w:cs="Times New Roman"/>
                <w:b/>
                <w:color w:val="auto"/>
                <w:sz w:val="24"/>
                <w:lang w:val="en-US" w:eastAsia="zh-CN"/>
              </w:rPr>
              <w:t>8</w:t>
            </w:r>
            <w:r>
              <w:rPr>
                <w:rFonts w:hint="eastAsia" w:ascii="Times New Roman" w:hAnsi="Times New Roman" w:cs="Times New Roman"/>
                <w:b/>
                <w:color w:val="auto"/>
                <w:sz w:val="24"/>
              </w:rPr>
              <w:t xml:space="preserve">  存在的环保问题及整改措施一览表</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4"/>
              <w:gridCol w:w="3733"/>
              <w:gridCol w:w="4137"/>
            </w:tblGrid>
            <w:tr w14:paraId="2E3443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437" w:type="pct"/>
                  <w:noWrap w:val="0"/>
                  <w:vAlign w:val="center"/>
                </w:tcPr>
                <w:p w14:paraId="4F38F1BF">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2164" w:type="pct"/>
                  <w:noWrap w:val="0"/>
                  <w:vAlign w:val="center"/>
                </w:tcPr>
                <w:p w14:paraId="6F122A51">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存在问题</w:t>
                  </w:r>
                </w:p>
              </w:tc>
              <w:tc>
                <w:tcPr>
                  <w:tcW w:w="2398" w:type="pct"/>
                  <w:noWrap w:val="0"/>
                  <w:vAlign w:val="center"/>
                </w:tcPr>
                <w:p w14:paraId="2D22FADC">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以新带老整改措施</w:t>
                  </w:r>
                </w:p>
              </w:tc>
            </w:tr>
            <w:tr w14:paraId="41F3E2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437" w:type="pct"/>
                  <w:noWrap w:val="0"/>
                  <w:vAlign w:val="center"/>
                </w:tcPr>
                <w:p w14:paraId="582D6950">
                  <w:pPr>
                    <w:keepNext w:val="0"/>
                    <w:keepLines w:val="0"/>
                    <w:suppressLineNumbers w:val="0"/>
                    <w:spacing w:before="0" w:beforeAutospacing="0" w:after="0" w:afterAutospacing="0"/>
                    <w:ind w:left="0" w:right="0"/>
                    <w:jc w:val="center"/>
                    <w:rPr>
                      <w:rFonts w:hint="eastAsia" w:ascii="Times New Roman" w:hAnsi="Times New Roman" w:eastAsia="宋体" w:cs="Times New Roman"/>
                      <w:bCs/>
                      <w:color w:val="auto"/>
                      <w:szCs w:val="21"/>
                      <w:lang w:eastAsia="zh-CN"/>
                    </w:rPr>
                  </w:pPr>
                  <w:r>
                    <w:rPr>
                      <w:rFonts w:hint="eastAsia" w:cs="Times New Roman"/>
                      <w:bCs/>
                      <w:color w:val="auto"/>
                      <w:szCs w:val="21"/>
                      <w:lang w:val="en-US" w:eastAsia="zh-CN"/>
                    </w:rPr>
                    <w:t>1</w:t>
                  </w:r>
                </w:p>
              </w:tc>
              <w:tc>
                <w:tcPr>
                  <w:tcW w:w="2164" w:type="pct"/>
                  <w:noWrap w:val="0"/>
                  <w:vAlign w:val="center"/>
                </w:tcPr>
                <w:p w14:paraId="567495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auto"/>
                      <w:szCs w:val="21"/>
                    </w:rPr>
                  </w:pPr>
                  <w:r>
                    <w:rPr>
                      <w:rFonts w:hint="eastAsia" w:cs="Times New Roman"/>
                      <w:color w:val="auto"/>
                      <w:kern w:val="2"/>
                      <w:sz w:val="21"/>
                      <w:szCs w:val="21"/>
                      <w:lang w:val="en-US" w:eastAsia="zh-CN" w:bidi="ar-SA"/>
                    </w:rPr>
                    <w:t>危废贮存库无管理台账</w:t>
                  </w:r>
                </w:p>
              </w:tc>
              <w:tc>
                <w:tcPr>
                  <w:tcW w:w="2398" w:type="pct"/>
                  <w:noWrap w:val="0"/>
                  <w:vAlign w:val="center"/>
                </w:tcPr>
                <w:p w14:paraId="7CCCD6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Cs/>
                      <w:color w:val="auto"/>
                      <w:szCs w:val="21"/>
                    </w:rPr>
                  </w:pPr>
                  <w:r>
                    <w:rPr>
                      <w:rFonts w:hint="eastAsia" w:cs="Times New Roman"/>
                      <w:color w:val="auto"/>
                      <w:kern w:val="2"/>
                      <w:sz w:val="21"/>
                      <w:szCs w:val="21"/>
                      <w:lang w:val="en-US" w:eastAsia="zh-CN" w:bidi="ar-SA"/>
                    </w:rPr>
                    <w:t>完善管理台账</w:t>
                  </w:r>
                  <w:r>
                    <w:rPr>
                      <w:rFonts w:hint="eastAsia" w:ascii="Times New Roman" w:hAnsi="Times New Roman" w:eastAsia="宋体" w:cs="Times New Roman"/>
                      <w:color w:val="auto"/>
                      <w:kern w:val="2"/>
                      <w:sz w:val="21"/>
                      <w:szCs w:val="21"/>
                      <w:lang w:val="en-US" w:eastAsia="zh-CN" w:bidi="ar-SA"/>
                    </w:rPr>
                    <w:t>；同时进一步</w:t>
                  </w:r>
                  <w:r>
                    <w:rPr>
                      <w:rFonts w:hint="eastAsia" w:cs="Times New Roman"/>
                      <w:color w:val="auto"/>
                      <w:kern w:val="2"/>
                      <w:sz w:val="21"/>
                      <w:szCs w:val="21"/>
                      <w:lang w:val="en-US" w:eastAsia="zh-CN" w:bidi="ar-SA"/>
                    </w:rPr>
                    <w:t>规范</w:t>
                  </w:r>
                  <w:r>
                    <w:rPr>
                      <w:rFonts w:hint="eastAsia" w:ascii="Times New Roman" w:hAnsi="Times New Roman" w:eastAsia="宋体" w:cs="Times New Roman"/>
                      <w:color w:val="auto"/>
                      <w:kern w:val="2"/>
                      <w:sz w:val="21"/>
                      <w:szCs w:val="21"/>
                      <w:lang w:val="en-US" w:eastAsia="zh-CN" w:bidi="ar-SA"/>
                    </w:rPr>
                    <w:t>危废间内的标识、标牌、管理制度等</w:t>
                  </w:r>
                </w:p>
              </w:tc>
            </w:tr>
            <w:tr w14:paraId="1FAF95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437" w:type="pct"/>
                  <w:noWrap w:val="0"/>
                  <w:vAlign w:val="center"/>
                </w:tcPr>
                <w:p w14:paraId="48DADA78">
                  <w:pPr>
                    <w:keepNext w:val="0"/>
                    <w:keepLines w:val="0"/>
                    <w:suppressLineNumbers w:val="0"/>
                    <w:spacing w:before="0" w:beforeAutospacing="0" w:after="0" w:afterAutospacing="0"/>
                    <w:ind w:left="0" w:right="0"/>
                    <w:jc w:val="center"/>
                    <w:rPr>
                      <w:rFonts w:hint="default" w:cs="Times New Roman"/>
                      <w:bCs/>
                      <w:color w:val="auto"/>
                      <w:szCs w:val="21"/>
                      <w:lang w:val="en-US" w:eastAsia="zh-CN"/>
                    </w:rPr>
                  </w:pPr>
                  <w:r>
                    <w:rPr>
                      <w:rFonts w:hint="eastAsia" w:cs="Times New Roman"/>
                      <w:bCs/>
                      <w:color w:val="auto"/>
                      <w:szCs w:val="21"/>
                      <w:lang w:val="en-US" w:eastAsia="zh-CN"/>
                    </w:rPr>
                    <w:t>2</w:t>
                  </w:r>
                </w:p>
              </w:tc>
              <w:tc>
                <w:tcPr>
                  <w:tcW w:w="2164" w:type="pct"/>
                  <w:noWrap w:val="0"/>
                  <w:vAlign w:val="center"/>
                </w:tcPr>
                <w:p w14:paraId="6C72BD65">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rPr>
                    <w:t>现有工程环评手续办理时间较早，环评报告规定的监测计划监测指标不全面</w:t>
                  </w:r>
                </w:p>
              </w:tc>
              <w:tc>
                <w:tcPr>
                  <w:tcW w:w="2398" w:type="pct"/>
                  <w:noWrap w:val="0"/>
                  <w:vAlign w:val="center"/>
                </w:tcPr>
                <w:p w14:paraId="5D385D98">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color w:val="auto"/>
                    </w:rPr>
                    <w:t>按现行环保政策要求，完善全厂监测计划并严格实施</w:t>
                  </w:r>
                </w:p>
              </w:tc>
            </w:tr>
            <w:tr w14:paraId="5A6692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437" w:type="pct"/>
                  <w:noWrap w:val="0"/>
                  <w:vAlign w:val="center"/>
                </w:tcPr>
                <w:p w14:paraId="6CCDB29E">
                  <w:pPr>
                    <w:keepNext w:val="0"/>
                    <w:keepLines w:val="0"/>
                    <w:suppressLineNumbers w:val="0"/>
                    <w:spacing w:before="0" w:beforeAutospacing="0" w:after="0" w:afterAutospacing="0"/>
                    <w:ind w:left="0" w:right="0"/>
                    <w:jc w:val="center"/>
                    <w:rPr>
                      <w:rFonts w:hint="default" w:cs="Times New Roman"/>
                      <w:bCs/>
                      <w:color w:val="auto"/>
                      <w:szCs w:val="21"/>
                      <w:lang w:val="en-US" w:eastAsia="zh-CN"/>
                    </w:rPr>
                  </w:pPr>
                  <w:r>
                    <w:rPr>
                      <w:rFonts w:hint="eastAsia" w:cs="Times New Roman"/>
                      <w:bCs/>
                      <w:color w:val="auto"/>
                      <w:szCs w:val="21"/>
                      <w:lang w:val="en-US" w:eastAsia="zh-CN"/>
                    </w:rPr>
                    <w:t>3</w:t>
                  </w:r>
                </w:p>
              </w:tc>
              <w:tc>
                <w:tcPr>
                  <w:tcW w:w="2164" w:type="pct"/>
                  <w:noWrap w:val="0"/>
                  <w:vAlign w:val="center"/>
                </w:tcPr>
                <w:p w14:paraId="69DAE55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应急预案未备案</w:t>
                  </w:r>
                </w:p>
              </w:tc>
              <w:tc>
                <w:tcPr>
                  <w:tcW w:w="2398" w:type="pct"/>
                  <w:noWrap w:val="0"/>
                  <w:vAlign w:val="center"/>
                </w:tcPr>
                <w:p w14:paraId="5DE2CF7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本次改扩建完成后，进行应急预案的编制并备案</w:t>
                  </w:r>
                </w:p>
              </w:tc>
            </w:tr>
            <w:tr w14:paraId="08F16E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437" w:type="pct"/>
                  <w:noWrap w:val="0"/>
                  <w:vAlign w:val="center"/>
                </w:tcPr>
                <w:p w14:paraId="44EB5BC4">
                  <w:pPr>
                    <w:keepNext w:val="0"/>
                    <w:keepLines w:val="0"/>
                    <w:suppressLineNumbers w:val="0"/>
                    <w:spacing w:before="0" w:beforeAutospacing="0" w:after="0" w:afterAutospacing="0"/>
                    <w:ind w:left="0" w:right="0"/>
                    <w:jc w:val="center"/>
                    <w:rPr>
                      <w:rFonts w:hint="default" w:cs="Times New Roman"/>
                      <w:bCs/>
                      <w:color w:val="auto"/>
                      <w:szCs w:val="21"/>
                      <w:lang w:val="en-US" w:eastAsia="zh-CN"/>
                    </w:rPr>
                  </w:pPr>
                  <w:r>
                    <w:rPr>
                      <w:rFonts w:hint="eastAsia" w:cs="Times New Roman"/>
                      <w:bCs/>
                      <w:color w:val="auto"/>
                      <w:szCs w:val="21"/>
                      <w:lang w:val="en-US" w:eastAsia="zh-CN"/>
                    </w:rPr>
                    <w:t>4</w:t>
                  </w:r>
                </w:p>
              </w:tc>
              <w:tc>
                <w:tcPr>
                  <w:tcW w:w="2164" w:type="pct"/>
                  <w:noWrap w:val="0"/>
                  <w:vAlign w:val="center"/>
                </w:tcPr>
                <w:p w14:paraId="4953E35C">
                  <w:pPr>
                    <w:keepNext w:val="0"/>
                    <w:keepLines w:val="0"/>
                    <w:suppressLineNumbers w:val="0"/>
                    <w:snapToGrid w:val="0"/>
                    <w:spacing w:before="0" w:beforeAutospacing="0" w:after="0" w:afterAutospacing="0"/>
                    <w:ind w:left="0" w:right="0"/>
                    <w:jc w:val="center"/>
                    <w:rPr>
                      <w:rFonts w:hint="default" w:cs="Times New Roman"/>
                      <w:color w:val="auto"/>
                      <w:lang w:val="en-US" w:eastAsia="zh-CN"/>
                    </w:rPr>
                  </w:pPr>
                  <w:r>
                    <w:rPr>
                      <w:rFonts w:hint="eastAsia" w:cs="Times New Roman"/>
                      <w:color w:val="auto"/>
                      <w:lang w:val="en-US" w:eastAsia="zh-CN"/>
                    </w:rPr>
                    <w:t>现有废气治理措施为</w:t>
                  </w:r>
                  <w:r>
                    <w:rPr>
                      <w:rFonts w:hint="eastAsia" w:cs="Times New Roman"/>
                      <w:color w:val="auto"/>
                      <w:szCs w:val="21"/>
                      <w:lang w:eastAsia="zh-CN"/>
                    </w:rPr>
                    <w:t>“</w:t>
                  </w:r>
                  <w:r>
                    <w:rPr>
                      <w:rFonts w:hint="default" w:ascii="Times New Roman" w:hAnsi="Times New Roman" w:cs="Times New Roman"/>
                      <w:color w:val="auto"/>
                      <w:szCs w:val="21"/>
                      <w:lang w:val="en-US" w:eastAsia="zh-CN"/>
                    </w:rPr>
                    <w:t>集气罩</w:t>
                  </w:r>
                  <w:r>
                    <w:rPr>
                      <w:rFonts w:hint="eastAsia" w:cs="Times New Roman"/>
                      <w:color w:val="auto"/>
                      <w:szCs w:val="21"/>
                      <w:lang w:val="en-US" w:eastAsia="zh-CN"/>
                    </w:rPr>
                    <w:t>+UV光氧+</w:t>
                  </w:r>
                  <w:r>
                    <w:rPr>
                      <w:rFonts w:hint="default" w:ascii="Times New Roman" w:hAnsi="Times New Roman" w:cs="Times New Roman"/>
                      <w:color w:val="auto"/>
                      <w:szCs w:val="21"/>
                      <w:lang w:val="en-US" w:eastAsia="zh-CN"/>
                    </w:rPr>
                    <w:t>活性炭吸附</w:t>
                  </w:r>
                  <w:r>
                    <w:rPr>
                      <w:rFonts w:hint="eastAsia" w:cs="Times New Roman"/>
                      <w:color w:val="auto"/>
                      <w:szCs w:val="21"/>
                      <w:lang w:eastAsia="zh-CN"/>
                    </w:rPr>
                    <w:t>”，</w:t>
                  </w:r>
                  <w:r>
                    <w:rPr>
                      <w:rFonts w:hint="eastAsia" w:cs="Times New Roman"/>
                      <w:color w:val="auto"/>
                      <w:szCs w:val="21"/>
                      <w:lang w:val="en-US" w:eastAsia="zh-CN"/>
                    </w:rPr>
                    <w:t>不符合现行环保政策要求</w:t>
                  </w:r>
                </w:p>
              </w:tc>
              <w:tc>
                <w:tcPr>
                  <w:tcW w:w="2398" w:type="pct"/>
                  <w:noWrap w:val="0"/>
                  <w:vAlign w:val="center"/>
                </w:tcPr>
                <w:p w14:paraId="2A8D8850">
                  <w:pPr>
                    <w:keepNext w:val="0"/>
                    <w:keepLines w:val="0"/>
                    <w:suppressLineNumbers w:val="0"/>
                    <w:snapToGrid w:val="0"/>
                    <w:spacing w:before="0" w:beforeAutospacing="0" w:after="0" w:afterAutospacing="0"/>
                    <w:ind w:left="0" w:right="0"/>
                    <w:jc w:val="center"/>
                    <w:rPr>
                      <w:rFonts w:hint="eastAsia" w:cs="Times New Roman"/>
                      <w:color w:val="auto"/>
                      <w:lang w:val="en-US" w:eastAsia="zh-CN"/>
                    </w:rPr>
                  </w:pPr>
                  <w:r>
                    <w:rPr>
                      <w:rFonts w:hint="eastAsia" w:cs="Times New Roman"/>
                      <w:color w:val="auto"/>
                      <w:kern w:val="0"/>
                      <w:szCs w:val="21"/>
                      <w:lang w:val="en-US" w:eastAsia="zh-CN" w:bidi="ar"/>
                    </w:rPr>
                    <w:t>本次改扩建完成后依据现行环保政策要求，更换为</w:t>
                  </w:r>
                  <w:r>
                    <w:rPr>
                      <w:rFonts w:hint="eastAsia" w:cs="Times New Roman"/>
                      <w:color w:val="auto"/>
                      <w:szCs w:val="21"/>
                      <w:lang w:eastAsia="zh-CN"/>
                    </w:rPr>
                    <w:t>“</w:t>
                  </w:r>
                  <w:r>
                    <w:rPr>
                      <w:rFonts w:hint="default" w:ascii="Times New Roman" w:hAnsi="Times New Roman" w:cs="Times New Roman"/>
                      <w:color w:val="auto"/>
                      <w:szCs w:val="21"/>
                      <w:lang w:val="en-US" w:eastAsia="zh-CN"/>
                    </w:rPr>
                    <w:t>集气罩</w:t>
                  </w:r>
                  <w:r>
                    <w:rPr>
                      <w:rFonts w:hint="eastAsia" w:cs="Times New Roman"/>
                      <w:color w:val="auto"/>
                      <w:szCs w:val="21"/>
                      <w:lang w:val="en-US" w:eastAsia="zh-CN"/>
                    </w:rPr>
                    <w:t>+二级</w:t>
                  </w:r>
                  <w:r>
                    <w:rPr>
                      <w:rFonts w:hint="default" w:ascii="Times New Roman" w:hAnsi="Times New Roman" w:cs="Times New Roman"/>
                      <w:color w:val="auto"/>
                      <w:szCs w:val="21"/>
                      <w:lang w:val="en-US" w:eastAsia="zh-CN"/>
                    </w:rPr>
                    <w:t>活性炭吸附</w:t>
                  </w:r>
                  <w:r>
                    <w:rPr>
                      <w:rFonts w:hint="eastAsia" w:cs="Times New Roman"/>
                      <w:color w:val="auto"/>
                      <w:szCs w:val="21"/>
                      <w:lang w:eastAsia="zh-CN"/>
                    </w:rPr>
                    <w:t>”</w:t>
                  </w:r>
                </w:p>
              </w:tc>
            </w:tr>
          </w:tbl>
          <w:p w14:paraId="59A17C81">
            <w:pPr>
              <w:keepNext w:val="0"/>
              <w:keepLines w:val="0"/>
              <w:suppressLineNumbers w:val="0"/>
              <w:adjustRightInd w:val="0"/>
              <w:snapToGrid w:val="0"/>
              <w:spacing w:before="0" w:beforeAutospacing="0" w:after="0" w:afterAutospacing="0"/>
              <w:ind w:left="0" w:right="0"/>
              <w:rPr>
                <w:rFonts w:hint="default" w:ascii="宋体" w:hAnsi="宋体" w:cs="Times New Roman"/>
                <w:bCs/>
                <w:color w:val="auto"/>
                <w:szCs w:val="21"/>
              </w:rPr>
            </w:pPr>
          </w:p>
        </w:tc>
      </w:tr>
    </w:tbl>
    <w:p w14:paraId="48254199">
      <w:pPr>
        <w:pStyle w:val="23"/>
        <w:jc w:val="center"/>
        <w:rPr>
          <w:rFonts w:ascii="黑体" w:hAnsi="黑体" w:eastAsia="黑体"/>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0184428">
      <w:pPr>
        <w:pageBreakBefore/>
        <w:widowControl/>
        <w:spacing w:before="100" w:after="100"/>
        <w:jc w:val="center"/>
        <w:outlineLvl w:val="0"/>
        <w:rPr>
          <w:rFonts w:ascii="黑体" w:hAnsi="黑体" w:eastAsia="黑体"/>
          <w:snapToGrid w:val="0"/>
          <w:color w:val="auto"/>
          <w:kern w:val="0"/>
          <w:sz w:val="30"/>
          <w:szCs w:val="30"/>
        </w:rPr>
      </w:pPr>
      <w:r>
        <w:rPr>
          <w:rFonts w:hint="eastAsia" w:ascii="黑体" w:hAnsi="黑体" w:eastAsia="黑体"/>
          <w:snapToGrid w:val="0"/>
          <w:color w:val="auto"/>
          <w:kern w:val="0"/>
          <w:sz w:val="30"/>
          <w:szCs w:val="30"/>
        </w:rPr>
        <w:t>三、区域环境质量现状、环境保护目标及评价标准</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14:paraId="6DA9C8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07" w:hRule="atLeast"/>
          <w:jc w:val="center"/>
        </w:trPr>
        <w:tc>
          <w:tcPr>
            <w:tcW w:w="800" w:type="dxa"/>
            <w:noWrap w:val="0"/>
            <w:vAlign w:val="center"/>
          </w:tcPr>
          <w:p w14:paraId="43E1002A">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区域</w:t>
            </w:r>
          </w:p>
          <w:p w14:paraId="0B0E4662">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环境</w:t>
            </w:r>
          </w:p>
          <w:p w14:paraId="42759CA7">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质量</w:t>
            </w:r>
          </w:p>
          <w:p w14:paraId="43AEFF05">
            <w:pPr>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kern w:val="0"/>
                <w:szCs w:val="21"/>
              </w:rPr>
            </w:pPr>
            <w:r>
              <w:rPr>
                <w:rFonts w:hint="eastAsia" w:ascii="宋体" w:hAnsi="宋体" w:cs="宋体"/>
                <w:color w:val="auto"/>
                <w:kern w:val="0"/>
                <w:szCs w:val="21"/>
              </w:rPr>
              <w:t>现状</w:t>
            </w:r>
          </w:p>
        </w:tc>
        <w:tc>
          <w:tcPr>
            <w:tcW w:w="8190" w:type="dxa"/>
            <w:noWrap w:val="0"/>
            <w:vAlign w:val="center"/>
          </w:tcPr>
          <w:p w14:paraId="49FDC1FE">
            <w:pPr>
              <w:pStyle w:val="16"/>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cs="Times New Roman"/>
                <w:b/>
                <w:color w:val="auto"/>
                <w:kern w:val="2"/>
                <w:sz w:val="24"/>
                <w:szCs w:val="24"/>
              </w:rPr>
            </w:pPr>
            <w:r>
              <w:rPr>
                <w:rFonts w:hint="default" w:ascii="Times New Roman" w:hAnsi="Times New Roman" w:cs="Times New Roman"/>
                <w:b/>
                <w:color w:val="auto"/>
                <w:kern w:val="2"/>
                <w:sz w:val="24"/>
                <w:szCs w:val="24"/>
              </w:rPr>
              <w:t>1、环境空气质量现状</w:t>
            </w:r>
          </w:p>
          <w:p w14:paraId="1BA3620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本次环评基本污染物根据陕西省生态环境厅公布的《环保快报2023年12月及1~12月全省环境空气质量状况》进行评价。本评价选用2023年1~12月关中地区64个县（区）空气质量状况统计表中西咸新区的数据对该区域基本污染物环境质量现状进行评价。</w:t>
            </w:r>
          </w:p>
          <w:p w14:paraId="25C048D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b/>
                <w:color w:val="auto"/>
                <w:sz w:val="24"/>
              </w:rPr>
              <w:t>表3-1   基本污染物环境质量现状</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46"/>
              <w:gridCol w:w="2439"/>
              <w:gridCol w:w="1248"/>
              <w:gridCol w:w="1192"/>
              <w:gridCol w:w="1145"/>
              <w:gridCol w:w="1004"/>
            </w:tblGrid>
            <w:tr w14:paraId="31A49C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noWrap w:val="0"/>
                  <w:vAlign w:val="center"/>
                </w:tcPr>
                <w:p w14:paraId="7BC17064">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1529" w:type="pct"/>
                  <w:noWrap w:val="0"/>
                  <w:vAlign w:val="center"/>
                </w:tcPr>
                <w:p w14:paraId="320B0753">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年评价指标</w:t>
                  </w:r>
                </w:p>
              </w:tc>
              <w:tc>
                <w:tcPr>
                  <w:tcW w:w="782" w:type="pct"/>
                  <w:noWrap w:val="0"/>
                  <w:vAlign w:val="center"/>
                </w:tcPr>
                <w:p w14:paraId="3772FDFC">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现状浓度（μg/m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c>
                <w:tcPr>
                  <w:tcW w:w="747" w:type="pct"/>
                  <w:noWrap w:val="0"/>
                  <w:vAlign w:val="center"/>
                </w:tcPr>
                <w:p w14:paraId="156559DE">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标准值（μg/m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c>
                <w:tcPr>
                  <w:tcW w:w="718" w:type="pct"/>
                  <w:noWrap w:val="0"/>
                  <w:vAlign w:val="center"/>
                </w:tcPr>
                <w:p w14:paraId="5EAFFBAE">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占标率</w:t>
                  </w:r>
                </w:p>
              </w:tc>
              <w:tc>
                <w:tcPr>
                  <w:tcW w:w="629" w:type="pct"/>
                  <w:noWrap w:val="0"/>
                  <w:vAlign w:val="center"/>
                </w:tcPr>
                <w:p w14:paraId="41E1C9E6">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达标</w:t>
                  </w:r>
                </w:p>
                <w:p w14:paraId="5FB63B26">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情况</w:t>
                  </w:r>
                </w:p>
              </w:tc>
            </w:tr>
            <w:tr w14:paraId="5C003B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noWrap w:val="0"/>
                  <w:vAlign w:val="center"/>
                </w:tcPr>
                <w:p w14:paraId="34F016C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SO</w:t>
                  </w:r>
                  <w:r>
                    <w:rPr>
                      <w:rFonts w:hint="default" w:ascii="Times New Roman" w:hAnsi="Times New Roman" w:cs="Times New Roman"/>
                      <w:color w:val="auto"/>
                      <w:szCs w:val="21"/>
                      <w:vertAlign w:val="subscript"/>
                    </w:rPr>
                    <w:t>2</w:t>
                  </w:r>
                </w:p>
              </w:tc>
              <w:tc>
                <w:tcPr>
                  <w:tcW w:w="1529" w:type="pct"/>
                  <w:noWrap w:val="0"/>
                  <w:vAlign w:val="center"/>
                </w:tcPr>
                <w:p w14:paraId="27876ED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年平均质量浓度</w:t>
                  </w:r>
                </w:p>
              </w:tc>
              <w:tc>
                <w:tcPr>
                  <w:tcW w:w="782" w:type="pct"/>
                  <w:noWrap w:val="0"/>
                  <w:vAlign w:val="center"/>
                </w:tcPr>
                <w:p w14:paraId="2CF6C2D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c>
                <w:tcPr>
                  <w:tcW w:w="747" w:type="pct"/>
                  <w:noWrap w:val="0"/>
                  <w:vAlign w:val="center"/>
                </w:tcPr>
                <w:p w14:paraId="0110F4C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60</w:t>
                  </w:r>
                </w:p>
              </w:tc>
              <w:tc>
                <w:tcPr>
                  <w:tcW w:w="718" w:type="pct"/>
                  <w:noWrap w:val="0"/>
                  <w:vAlign w:val="center"/>
                </w:tcPr>
                <w:p w14:paraId="69CFC76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11.67%</w:t>
                  </w:r>
                </w:p>
              </w:tc>
              <w:tc>
                <w:tcPr>
                  <w:tcW w:w="629" w:type="pct"/>
                  <w:noWrap w:val="0"/>
                  <w:vAlign w:val="center"/>
                </w:tcPr>
                <w:p w14:paraId="12C04A9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达标</w:t>
                  </w:r>
                </w:p>
              </w:tc>
            </w:tr>
            <w:tr w14:paraId="60C0A7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noWrap w:val="0"/>
                  <w:vAlign w:val="center"/>
                </w:tcPr>
                <w:p w14:paraId="5973345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NO</w:t>
                  </w:r>
                  <w:r>
                    <w:rPr>
                      <w:rFonts w:hint="default" w:ascii="Times New Roman" w:hAnsi="Times New Roman" w:cs="Times New Roman"/>
                      <w:color w:val="auto"/>
                      <w:szCs w:val="21"/>
                      <w:vertAlign w:val="subscript"/>
                    </w:rPr>
                    <w:t>2</w:t>
                  </w:r>
                </w:p>
              </w:tc>
              <w:tc>
                <w:tcPr>
                  <w:tcW w:w="1529" w:type="pct"/>
                  <w:noWrap w:val="0"/>
                  <w:vAlign w:val="center"/>
                </w:tcPr>
                <w:p w14:paraId="1355DF2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年平均质量浓度</w:t>
                  </w:r>
                </w:p>
              </w:tc>
              <w:tc>
                <w:tcPr>
                  <w:tcW w:w="782" w:type="pct"/>
                  <w:noWrap w:val="0"/>
                  <w:vAlign w:val="center"/>
                </w:tcPr>
                <w:p w14:paraId="0EA886B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37</w:t>
                  </w:r>
                </w:p>
              </w:tc>
              <w:tc>
                <w:tcPr>
                  <w:tcW w:w="747" w:type="pct"/>
                  <w:noWrap w:val="0"/>
                  <w:vAlign w:val="center"/>
                </w:tcPr>
                <w:p w14:paraId="409BAF5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718" w:type="pct"/>
                  <w:noWrap w:val="0"/>
                  <w:vAlign w:val="center"/>
                </w:tcPr>
                <w:p w14:paraId="20D0AAF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r>
                    <w:rPr>
                      <w:rFonts w:hint="eastAsia" w:ascii="Times New Roman" w:hAnsi="Times New Roman" w:cs="Times New Roman"/>
                      <w:color w:val="auto"/>
                      <w:szCs w:val="21"/>
                    </w:rPr>
                    <w:t>92.5</w:t>
                  </w:r>
                  <w:r>
                    <w:rPr>
                      <w:rFonts w:hint="default" w:ascii="Times New Roman" w:hAnsi="Times New Roman" w:cs="Times New Roman"/>
                      <w:color w:val="auto"/>
                      <w:szCs w:val="21"/>
                    </w:rPr>
                    <w:t>%</w:t>
                  </w:r>
                </w:p>
              </w:tc>
              <w:tc>
                <w:tcPr>
                  <w:tcW w:w="629" w:type="pct"/>
                  <w:noWrap w:val="0"/>
                  <w:vAlign w:val="center"/>
                </w:tcPr>
                <w:p w14:paraId="08143D9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达标</w:t>
                  </w:r>
                </w:p>
              </w:tc>
            </w:tr>
            <w:tr w14:paraId="7568A1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noWrap w:val="0"/>
                  <w:vAlign w:val="center"/>
                </w:tcPr>
                <w:p w14:paraId="52D654A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CO</w:t>
                  </w:r>
                </w:p>
              </w:tc>
              <w:tc>
                <w:tcPr>
                  <w:tcW w:w="1529" w:type="pct"/>
                  <w:noWrap w:val="0"/>
                  <w:vAlign w:val="center"/>
                </w:tcPr>
                <w:p w14:paraId="4CD3484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24小时平均第95百分位浓度</w:t>
                  </w:r>
                </w:p>
              </w:tc>
              <w:tc>
                <w:tcPr>
                  <w:tcW w:w="782" w:type="pct"/>
                  <w:noWrap w:val="0"/>
                  <w:vAlign w:val="center"/>
                </w:tcPr>
                <w:p w14:paraId="7B0D7F0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1300</w:t>
                  </w:r>
                </w:p>
              </w:tc>
              <w:tc>
                <w:tcPr>
                  <w:tcW w:w="747" w:type="pct"/>
                  <w:noWrap w:val="0"/>
                  <w:vAlign w:val="center"/>
                </w:tcPr>
                <w:p w14:paraId="35C9C8C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4000</w:t>
                  </w:r>
                </w:p>
              </w:tc>
              <w:tc>
                <w:tcPr>
                  <w:tcW w:w="718" w:type="pct"/>
                  <w:noWrap w:val="0"/>
                  <w:vAlign w:val="center"/>
                </w:tcPr>
                <w:p w14:paraId="5493E508">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32.5%</w:t>
                  </w:r>
                </w:p>
              </w:tc>
              <w:tc>
                <w:tcPr>
                  <w:tcW w:w="629" w:type="pct"/>
                  <w:noWrap w:val="0"/>
                  <w:vAlign w:val="center"/>
                </w:tcPr>
                <w:p w14:paraId="59029C1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达标</w:t>
                  </w:r>
                </w:p>
              </w:tc>
            </w:tr>
            <w:tr w14:paraId="7B065D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noWrap w:val="0"/>
                  <w:vAlign w:val="center"/>
                </w:tcPr>
                <w:p w14:paraId="3F9792D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O</w:t>
                  </w:r>
                  <w:r>
                    <w:rPr>
                      <w:rFonts w:hint="default" w:ascii="Times New Roman" w:hAnsi="Times New Roman" w:cs="Times New Roman"/>
                      <w:color w:val="auto"/>
                      <w:szCs w:val="21"/>
                      <w:vertAlign w:val="subscript"/>
                    </w:rPr>
                    <w:t>3</w:t>
                  </w:r>
                </w:p>
              </w:tc>
              <w:tc>
                <w:tcPr>
                  <w:tcW w:w="1529" w:type="pct"/>
                  <w:noWrap w:val="0"/>
                  <w:vAlign w:val="center"/>
                </w:tcPr>
                <w:p w14:paraId="6B02C91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日最大8小时平均第90百分位浓度</w:t>
                  </w:r>
                </w:p>
              </w:tc>
              <w:tc>
                <w:tcPr>
                  <w:tcW w:w="782" w:type="pct"/>
                  <w:noWrap w:val="0"/>
                  <w:vAlign w:val="center"/>
                </w:tcPr>
                <w:p w14:paraId="4F6672B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163</w:t>
                  </w:r>
                </w:p>
              </w:tc>
              <w:tc>
                <w:tcPr>
                  <w:tcW w:w="747" w:type="pct"/>
                  <w:noWrap w:val="0"/>
                  <w:vAlign w:val="center"/>
                </w:tcPr>
                <w:p w14:paraId="0D2F24A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160</w:t>
                  </w:r>
                </w:p>
              </w:tc>
              <w:tc>
                <w:tcPr>
                  <w:tcW w:w="718" w:type="pct"/>
                  <w:noWrap w:val="0"/>
                  <w:vAlign w:val="center"/>
                </w:tcPr>
                <w:p w14:paraId="33C61ED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101.88%</w:t>
                  </w:r>
                </w:p>
              </w:tc>
              <w:tc>
                <w:tcPr>
                  <w:tcW w:w="629" w:type="pct"/>
                  <w:noWrap w:val="0"/>
                  <w:vAlign w:val="center"/>
                </w:tcPr>
                <w:p w14:paraId="7A1CF9E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不达标</w:t>
                  </w:r>
                </w:p>
              </w:tc>
            </w:tr>
            <w:tr w14:paraId="29FACD5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noWrap w:val="0"/>
                  <w:vAlign w:val="center"/>
                </w:tcPr>
                <w:p w14:paraId="75132B0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PM</w:t>
                  </w:r>
                  <w:r>
                    <w:rPr>
                      <w:rFonts w:hint="default" w:ascii="Times New Roman" w:hAnsi="Times New Roman" w:cs="Times New Roman"/>
                      <w:color w:val="auto"/>
                      <w:szCs w:val="21"/>
                      <w:vertAlign w:val="subscript"/>
                    </w:rPr>
                    <w:t>10</w:t>
                  </w:r>
                </w:p>
              </w:tc>
              <w:tc>
                <w:tcPr>
                  <w:tcW w:w="1529" w:type="pct"/>
                  <w:noWrap w:val="0"/>
                  <w:vAlign w:val="center"/>
                </w:tcPr>
                <w:p w14:paraId="5ACF8D8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年平均质量浓度</w:t>
                  </w:r>
                </w:p>
              </w:tc>
              <w:tc>
                <w:tcPr>
                  <w:tcW w:w="782" w:type="pct"/>
                  <w:noWrap w:val="0"/>
                  <w:vAlign w:val="center"/>
                </w:tcPr>
                <w:p w14:paraId="2D4955D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82</w:t>
                  </w:r>
                </w:p>
              </w:tc>
              <w:tc>
                <w:tcPr>
                  <w:tcW w:w="747" w:type="pct"/>
                  <w:noWrap w:val="0"/>
                  <w:vAlign w:val="center"/>
                </w:tcPr>
                <w:p w14:paraId="10857C3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70</w:t>
                  </w:r>
                </w:p>
              </w:tc>
              <w:tc>
                <w:tcPr>
                  <w:tcW w:w="718" w:type="pct"/>
                  <w:noWrap w:val="0"/>
                  <w:vAlign w:val="center"/>
                </w:tcPr>
                <w:p w14:paraId="50CC566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117.14%</w:t>
                  </w:r>
                </w:p>
              </w:tc>
              <w:tc>
                <w:tcPr>
                  <w:tcW w:w="629" w:type="pct"/>
                  <w:noWrap w:val="0"/>
                  <w:vAlign w:val="center"/>
                </w:tcPr>
                <w:p w14:paraId="311C789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不达标</w:t>
                  </w:r>
                </w:p>
              </w:tc>
            </w:tr>
            <w:tr w14:paraId="30D858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93" w:type="pct"/>
                  <w:noWrap w:val="0"/>
                  <w:vAlign w:val="center"/>
                </w:tcPr>
                <w:p w14:paraId="6CCB19B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PM</w:t>
                  </w:r>
                  <w:r>
                    <w:rPr>
                      <w:rFonts w:hint="default" w:ascii="Times New Roman" w:hAnsi="Times New Roman" w:cs="Times New Roman"/>
                      <w:color w:val="auto"/>
                      <w:szCs w:val="21"/>
                      <w:vertAlign w:val="subscript"/>
                    </w:rPr>
                    <w:t>2.5</w:t>
                  </w:r>
                </w:p>
              </w:tc>
              <w:tc>
                <w:tcPr>
                  <w:tcW w:w="1529" w:type="pct"/>
                  <w:noWrap w:val="0"/>
                  <w:vAlign w:val="center"/>
                </w:tcPr>
                <w:p w14:paraId="2A20205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年平均质量浓度</w:t>
                  </w:r>
                </w:p>
              </w:tc>
              <w:tc>
                <w:tcPr>
                  <w:tcW w:w="782" w:type="pct"/>
                  <w:noWrap w:val="0"/>
                  <w:vAlign w:val="center"/>
                </w:tcPr>
                <w:p w14:paraId="74932D2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48</w:t>
                  </w:r>
                </w:p>
              </w:tc>
              <w:tc>
                <w:tcPr>
                  <w:tcW w:w="747" w:type="pct"/>
                  <w:noWrap w:val="0"/>
                  <w:vAlign w:val="center"/>
                </w:tcPr>
                <w:p w14:paraId="0EF8F11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35</w:t>
                  </w:r>
                </w:p>
              </w:tc>
              <w:tc>
                <w:tcPr>
                  <w:tcW w:w="718" w:type="pct"/>
                  <w:noWrap w:val="0"/>
                  <w:vAlign w:val="center"/>
                </w:tcPr>
                <w:p w14:paraId="10153A02">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137.14%</w:t>
                  </w:r>
                </w:p>
              </w:tc>
              <w:tc>
                <w:tcPr>
                  <w:tcW w:w="629" w:type="pct"/>
                  <w:noWrap w:val="0"/>
                  <w:vAlign w:val="center"/>
                </w:tcPr>
                <w:p w14:paraId="21A2DDF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不达标</w:t>
                  </w:r>
                </w:p>
              </w:tc>
            </w:tr>
          </w:tbl>
          <w:p w14:paraId="078A57B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由</w:t>
            </w:r>
            <w:r>
              <w:rPr>
                <w:rFonts w:hint="eastAsia" w:ascii="Times New Roman" w:hAnsi="Times New Roman" w:cs="Times New Roman"/>
                <w:color w:val="auto"/>
                <w:sz w:val="24"/>
                <w:szCs w:val="32"/>
              </w:rPr>
              <w:t>表中数据可知</w:t>
            </w:r>
            <w:r>
              <w:rPr>
                <w:rFonts w:hint="default" w:ascii="Times New Roman" w:hAnsi="Times New Roman" w:cs="Times New Roman"/>
                <w:color w:val="auto"/>
                <w:sz w:val="24"/>
                <w:szCs w:val="32"/>
              </w:rPr>
              <w:t>，项目所在区域SO</w:t>
            </w:r>
            <w:r>
              <w:rPr>
                <w:rFonts w:hint="default" w:ascii="Times New Roman" w:hAnsi="Times New Roman" w:cs="Times New Roman"/>
                <w:color w:val="auto"/>
                <w:sz w:val="24"/>
                <w:szCs w:val="32"/>
                <w:vertAlign w:val="subscript"/>
              </w:rPr>
              <w:t>2</w:t>
            </w:r>
            <w:r>
              <w:rPr>
                <w:rFonts w:hint="default" w:ascii="Times New Roman" w:hAnsi="Times New Roman" w:cs="Times New Roman"/>
                <w:color w:val="auto"/>
                <w:sz w:val="24"/>
                <w:szCs w:val="32"/>
              </w:rPr>
              <w:t>年平均质量浓度</w:t>
            </w:r>
            <w:r>
              <w:rPr>
                <w:rFonts w:hint="eastAsia" w:ascii="Times New Roman" w:hAnsi="Times New Roman" w:cs="Times New Roman"/>
                <w:color w:val="auto"/>
                <w:sz w:val="24"/>
                <w:szCs w:val="32"/>
              </w:rPr>
              <w:t>、N</w:t>
            </w:r>
            <w:r>
              <w:rPr>
                <w:rFonts w:hint="default" w:ascii="Times New Roman" w:hAnsi="Times New Roman" w:cs="Times New Roman"/>
                <w:color w:val="auto"/>
                <w:sz w:val="24"/>
                <w:szCs w:val="32"/>
              </w:rPr>
              <w:t>O</w:t>
            </w:r>
            <w:r>
              <w:rPr>
                <w:rFonts w:hint="default" w:ascii="Times New Roman" w:hAnsi="Times New Roman" w:cs="Times New Roman"/>
                <w:color w:val="auto"/>
                <w:sz w:val="24"/>
                <w:szCs w:val="32"/>
                <w:vertAlign w:val="subscript"/>
              </w:rPr>
              <w:t>2</w:t>
            </w:r>
            <w:r>
              <w:rPr>
                <w:rFonts w:hint="default" w:ascii="Times New Roman" w:hAnsi="Times New Roman" w:cs="Times New Roman"/>
                <w:color w:val="auto"/>
                <w:sz w:val="24"/>
                <w:szCs w:val="32"/>
              </w:rPr>
              <w:t>年平均质量浓度</w:t>
            </w:r>
            <w:r>
              <w:rPr>
                <w:rFonts w:hint="eastAsia" w:ascii="Times New Roman" w:hAnsi="Times New Roman" w:cs="Times New Roman"/>
                <w:color w:val="auto"/>
                <w:sz w:val="24"/>
                <w:szCs w:val="32"/>
              </w:rPr>
              <w:t>以及</w:t>
            </w:r>
            <w:r>
              <w:rPr>
                <w:rFonts w:hint="default" w:ascii="Times New Roman" w:hAnsi="Times New Roman" w:cs="Times New Roman"/>
                <w:color w:val="auto"/>
                <w:sz w:val="24"/>
                <w:szCs w:val="32"/>
              </w:rPr>
              <w:t>CO</w:t>
            </w:r>
            <w:r>
              <w:rPr>
                <w:rFonts w:hint="eastAsia" w:ascii="Times New Roman" w:hAnsi="Times New Roman" w:cs="Times New Roman"/>
                <w:color w:val="auto"/>
                <w:sz w:val="24"/>
                <w:szCs w:val="32"/>
              </w:rPr>
              <w:t>24小时平均第95百分位浓度均</w:t>
            </w:r>
            <w:r>
              <w:rPr>
                <w:rFonts w:hint="default" w:ascii="Times New Roman" w:hAnsi="Times New Roman" w:cs="Times New Roman"/>
                <w:color w:val="auto"/>
                <w:sz w:val="24"/>
                <w:szCs w:val="32"/>
              </w:rPr>
              <w:t>满足《环境空气质量标准》（GB3095-2012）中二级标准，O</w:t>
            </w:r>
            <w:r>
              <w:rPr>
                <w:rFonts w:hint="eastAsia" w:ascii="Times New Roman" w:hAnsi="Times New Roman" w:cs="Times New Roman"/>
                <w:color w:val="auto"/>
                <w:sz w:val="24"/>
                <w:szCs w:val="32"/>
                <w:vertAlign w:val="subscript"/>
              </w:rPr>
              <w:t>3</w:t>
            </w:r>
            <w:r>
              <w:rPr>
                <w:rFonts w:hint="eastAsia" w:ascii="Times New Roman" w:hAnsi="Times New Roman" w:cs="Times New Roman"/>
                <w:color w:val="auto"/>
                <w:sz w:val="24"/>
                <w:szCs w:val="32"/>
              </w:rPr>
              <w:t>日最大8小时平均第90百分位浓度、PM</w:t>
            </w:r>
            <w:r>
              <w:rPr>
                <w:rFonts w:hint="eastAsia" w:ascii="Times New Roman" w:hAnsi="Times New Roman" w:cs="Times New Roman"/>
                <w:color w:val="auto"/>
                <w:sz w:val="24"/>
                <w:szCs w:val="32"/>
                <w:vertAlign w:val="subscript"/>
              </w:rPr>
              <w:t>2.5</w:t>
            </w:r>
            <w:r>
              <w:rPr>
                <w:rFonts w:hint="eastAsia" w:ascii="Times New Roman" w:hAnsi="Times New Roman" w:cs="Times New Roman"/>
                <w:color w:val="auto"/>
                <w:sz w:val="24"/>
                <w:szCs w:val="32"/>
              </w:rPr>
              <w:t>和PM</w:t>
            </w:r>
            <w:r>
              <w:rPr>
                <w:rFonts w:hint="eastAsia" w:ascii="Times New Roman" w:hAnsi="Times New Roman" w:cs="Times New Roman"/>
                <w:color w:val="auto"/>
                <w:sz w:val="24"/>
                <w:szCs w:val="32"/>
                <w:vertAlign w:val="subscript"/>
              </w:rPr>
              <w:t>10</w:t>
            </w:r>
            <w:r>
              <w:rPr>
                <w:rFonts w:hint="default" w:ascii="Times New Roman" w:hAnsi="Times New Roman" w:cs="Times New Roman"/>
                <w:color w:val="auto"/>
                <w:sz w:val="24"/>
                <w:szCs w:val="32"/>
              </w:rPr>
              <w:t>年平均质量浓度</w:t>
            </w:r>
            <w:r>
              <w:rPr>
                <w:rFonts w:hint="eastAsia" w:ascii="Times New Roman" w:hAnsi="Times New Roman" w:cs="Times New Roman"/>
                <w:color w:val="auto"/>
                <w:sz w:val="24"/>
                <w:szCs w:val="32"/>
              </w:rPr>
              <w:t>均不</w:t>
            </w:r>
            <w:r>
              <w:rPr>
                <w:rFonts w:hint="default" w:ascii="Times New Roman" w:hAnsi="Times New Roman" w:cs="Times New Roman"/>
                <w:color w:val="auto"/>
                <w:sz w:val="24"/>
                <w:szCs w:val="32"/>
              </w:rPr>
              <w:t>满足《环境空气质量标准》（GB3095-2012）中二级标准</w:t>
            </w:r>
            <w:r>
              <w:rPr>
                <w:rFonts w:hint="eastAsia" w:ascii="Times New Roman" w:hAnsi="Times New Roman" w:cs="Times New Roman"/>
                <w:color w:val="auto"/>
                <w:sz w:val="24"/>
                <w:szCs w:val="32"/>
              </w:rPr>
              <w:t>，所以</w:t>
            </w:r>
            <w:r>
              <w:rPr>
                <w:rFonts w:hint="default" w:ascii="Times New Roman" w:hAnsi="Times New Roman" w:cs="Times New Roman"/>
                <w:color w:val="auto"/>
                <w:sz w:val="24"/>
                <w:szCs w:val="32"/>
              </w:rPr>
              <w:t>本项目所在地属于环境空气</w:t>
            </w:r>
            <w:r>
              <w:rPr>
                <w:rFonts w:hint="eastAsia" w:ascii="Times New Roman" w:hAnsi="Times New Roman" w:cs="Times New Roman"/>
                <w:color w:val="auto"/>
                <w:sz w:val="24"/>
                <w:szCs w:val="32"/>
              </w:rPr>
              <w:t>不</w:t>
            </w:r>
            <w:r>
              <w:rPr>
                <w:rFonts w:hint="default" w:ascii="Times New Roman" w:hAnsi="Times New Roman" w:cs="Times New Roman"/>
                <w:color w:val="auto"/>
                <w:sz w:val="24"/>
                <w:szCs w:val="32"/>
              </w:rPr>
              <w:t>达标区。</w:t>
            </w:r>
          </w:p>
          <w:p w14:paraId="60AA9D4F">
            <w:pPr>
              <w:pStyle w:val="16"/>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cs="Times New Roman"/>
                <w:bCs/>
                <w:color w:val="auto"/>
                <w:kern w:val="2"/>
                <w:sz w:val="24"/>
                <w:szCs w:val="24"/>
              </w:rPr>
            </w:pPr>
            <w:r>
              <w:rPr>
                <w:rFonts w:hint="default" w:ascii="Times New Roman" w:hAnsi="Times New Roman" w:cs="Times New Roman"/>
                <w:bCs/>
                <w:color w:val="auto"/>
                <w:kern w:val="2"/>
                <w:sz w:val="24"/>
                <w:szCs w:val="24"/>
              </w:rPr>
              <w:t>（2）特征污染物环境质量现状</w:t>
            </w:r>
          </w:p>
          <w:p w14:paraId="6E383423">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szCs w:val="32"/>
              </w:rPr>
            </w:pPr>
            <w:r>
              <w:rPr>
                <w:rFonts w:hint="default" w:ascii="Times New Roman" w:hAnsi="Times New Roman" w:cs="Times New Roman"/>
                <w:color w:val="auto"/>
                <w:sz w:val="24"/>
                <w:szCs w:val="32"/>
              </w:rPr>
              <w:t>本项目产生的特征污染物主要为</w:t>
            </w:r>
            <w:r>
              <w:rPr>
                <w:rFonts w:hint="eastAsia" w:cs="Times New Roman"/>
                <w:color w:val="auto"/>
                <w:sz w:val="24"/>
                <w:szCs w:val="32"/>
                <w:lang w:val="en-US" w:eastAsia="zh-CN"/>
              </w:rPr>
              <w:t>非甲烷总烃</w:t>
            </w:r>
            <w:r>
              <w:rPr>
                <w:rFonts w:hint="default" w:ascii="Times New Roman" w:hAnsi="Times New Roman" w:cs="Times New Roman"/>
                <w:color w:val="auto"/>
                <w:sz w:val="24"/>
                <w:szCs w:val="32"/>
              </w:rPr>
              <w:t>，</w:t>
            </w:r>
            <w:r>
              <w:rPr>
                <w:rFonts w:hint="eastAsia" w:cs="Times New Roman"/>
                <w:color w:val="auto"/>
                <w:sz w:val="24"/>
                <w:szCs w:val="32"/>
                <w:lang w:val="en-US" w:eastAsia="zh-CN"/>
              </w:rPr>
              <w:t>本项目非甲烷总烃引用《西安中升裕丰汽车销售服务有限公司新建4S店项目环境质量现状监测》数据</w:t>
            </w:r>
            <w:r>
              <w:rPr>
                <w:rFonts w:hint="eastAsia" w:ascii="Times New Roman" w:hAnsi="Times New Roman" w:cs="Times New Roman"/>
                <w:color w:val="auto"/>
                <w:sz w:val="24"/>
                <w:szCs w:val="32"/>
              </w:rPr>
              <w:t>（</w:t>
            </w:r>
            <w:r>
              <w:rPr>
                <w:rFonts w:hint="default" w:ascii="Times New Roman" w:hAnsi="Times New Roman" w:cs="Times New Roman"/>
                <w:color w:val="auto"/>
                <w:sz w:val="24"/>
                <w:szCs w:val="32"/>
              </w:rPr>
              <w:t>具体见附件</w:t>
            </w:r>
            <w:r>
              <w:rPr>
                <w:rFonts w:hint="eastAsia" w:cs="Times New Roman"/>
                <w:color w:val="auto"/>
                <w:sz w:val="24"/>
                <w:szCs w:val="32"/>
                <w:lang w:val="en-US" w:eastAsia="zh-CN"/>
              </w:rPr>
              <w:t>9</w:t>
            </w:r>
            <w:r>
              <w:rPr>
                <w:rFonts w:hint="eastAsia" w:ascii="Times New Roman" w:hAnsi="Times New Roman" w:cs="Times New Roman"/>
                <w:color w:val="auto"/>
                <w:sz w:val="24"/>
                <w:szCs w:val="32"/>
              </w:rPr>
              <w:t>）</w:t>
            </w:r>
            <w:r>
              <w:rPr>
                <w:rFonts w:hint="eastAsia" w:cs="Times New Roman"/>
                <w:color w:val="auto"/>
                <w:sz w:val="24"/>
                <w:szCs w:val="32"/>
                <w:lang w:val="en-US" w:eastAsia="zh-CN"/>
              </w:rPr>
              <w:t>，根据《建设项目环境影响报告表编制技术指南（污染影响类）（试行）》中“排放国家、地方环境空气质量标准中有标准限值要求的特征污染物时，引用建设项目周边5千米范围内近3年的现有监测数据”要求，西安中升裕丰汽车销售服务有限公司新建4S店项目位于本项目西南方向4.7km处，环境质量现状监测时间为2023年4月，符合引用监测数据要求</w:t>
            </w:r>
            <w:r>
              <w:rPr>
                <w:rFonts w:hint="eastAsia" w:ascii="Times New Roman" w:hAnsi="Times New Roman" w:cs="Times New Roman"/>
                <w:color w:val="auto"/>
                <w:sz w:val="24"/>
                <w:szCs w:val="32"/>
              </w:rPr>
              <w:t>。</w:t>
            </w:r>
          </w:p>
          <w:p w14:paraId="5677097F">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szCs w:val="32"/>
              </w:rPr>
              <w:t>①</w:t>
            </w:r>
            <w:r>
              <w:rPr>
                <w:rFonts w:hint="default" w:ascii="Times New Roman" w:hAnsi="Times New Roman" w:cs="Times New Roman"/>
                <w:color w:val="auto"/>
                <w:sz w:val="24"/>
              </w:rPr>
              <w:t>监测频次和监测点位</w:t>
            </w:r>
          </w:p>
          <w:p w14:paraId="54B6BF6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监测频次：</w:t>
            </w:r>
            <w:r>
              <w:rPr>
                <w:rFonts w:hint="eastAsia" w:ascii="Times New Roman" w:hAnsi="Times New Roman" w:cs="Times New Roman"/>
                <w:color w:val="auto"/>
                <w:sz w:val="24"/>
                <w:szCs w:val="32"/>
              </w:rPr>
              <w:t>监测时间为</w:t>
            </w:r>
            <w:r>
              <w:rPr>
                <w:rFonts w:hint="default" w:ascii="Times New Roman" w:hAnsi="Times New Roman" w:cs="Times New Roman"/>
                <w:color w:val="auto"/>
                <w:sz w:val="24"/>
                <w:szCs w:val="32"/>
              </w:rPr>
              <w:t>202</w:t>
            </w:r>
            <w:r>
              <w:rPr>
                <w:rFonts w:hint="eastAsia" w:cs="Times New Roman"/>
                <w:color w:val="auto"/>
                <w:sz w:val="24"/>
                <w:szCs w:val="32"/>
                <w:lang w:val="en-US" w:eastAsia="zh-CN"/>
              </w:rPr>
              <w:t>3</w:t>
            </w:r>
            <w:r>
              <w:rPr>
                <w:rFonts w:hint="eastAsia" w:ascii="Times New Roman" w:hAnsi="Times New Roman" w:cs="Times New Roman"/>
                <w:color w:val="auto"/>
                <w:sz w:val="24"/>
                <w:szCs w:val="32"/>
              </w:rPr>
              <w:t>年</w:t>
            </w:r>
            <w:r>
              <w:rPr>
                <w:rFonts w:hint="eastAsia" w:cs="Times New Roman"/>
                <w:color w:val="auto"/>
                <w:sz w:val="24"/>
                <w:szCs w:val="32"/>
                <w:lang w:val="en-US" w:eastAsia="zh-CN"/>
              </w:rPr>
              <w:t>4</w:t>
            </w:r>
            <w:r>
              <w:rPr>
                <w:rFonts w:hint="eastAsia" w:ascii="Times New Roman" w:hAnsi="Times New Roman" w:cs="Times New Roman"/>
                <w:color w:val="auto"/>
                <w:sz w:val="24"/>
                <w:szCs w:val="32"/>
              </w:rPr>
              <w:t>月</w:t>
            </w:r>
            <w:r>
              <w:rPr>
                <w:rFonts w:hint="eastAsia" w:cs="Times New Roman"/>
                <w:color w:val="auto"/>
                <w:sz w:val="24"/>
                <w:szCs w:val="32"/>
                <w:lang w:val="en-US" w:eastAsia="zh-CN"/>
              </w:rPr>
              <w:t>15</w:t>
            </w:r>
            <w:r>
              <w:rPr>
                <w:rFonts w:hint="eastAsia" w:ascii="Times New Roman" w:hAnsi="Times New Roman" w:cs="Times New Roman"/>
                <w:color w:val="auto"/>
                <w:sz w:val="24"/>
                <w:szCs w:val="32"/>
              </w:rPr>
              <w:t>日至</w:t>
            </w:r>
            <w:r>
              <w:rPr>
                <w:rFonts w:hint="eastAsia" w:cs="Times New Roman"/>
                <w:color w:val="auto"/>
                <w:sz w:val="24"/>
                <w:szCs w:val="32"/>
                <w:lang w:val="en-US" w:eastAsia="zh-CN"/>
              </w:rPr>
              <w:t>4</w:t>
            </w:r>
            <w:r>
              <w:rPr>
                <w:rFonts w:hint="eastAsia" w:ascii="Times New Roman" w:hAnsi="Times New Roman" w:cs="Times New Roman"/>
                <w:color w:val="auto"/>
                <w:sz w:val="24"/>
                <w:szCs w:val="32"/>
              </w:rPr>
              <w:t>月</w:t>
            </w:r>
            <w:r>
              <w:rPr>
                <w:rFonts w:hint="eastAsia" w:cs="Times New Roman"/>
                <w:color w:val="auto"/>
                <w:sz w:val="24"/>
                <w:szCs w:val="32"/>
                <w:lang w:val="en-US" w:eastAsia="zh-CN"/>
              </w:rPr>
              <w:t>17</w:t>
            </w:r>
            <w:r>
              <w:rPr>
                <w:rFonts w:hint="eastAsia" w:ascii="Times New Roman" w:hAnsi="Times New Roman" w:cs="Times New Roman"/>
                <w:color w:val="auto"/>
                <w:sz w:val="24"/>
                <w:szCs w:val="32"/>
              </w:rPr>
              <w:t>日，连续监测</w:t>
            </w:r>
            <w:r>
              <w:rPr>
                <w:rFonts w:hint="default" w:ascii="Times New Roman" w:hAnsi="Times New Roman" w:cs="Times New Roman"/>
                <w:color w:val="auto"/>
                <w:sz w:val="24"/>
                <w:szCs w:val="32"/>
              </w:rPr>
              <w:t>3</w:t>
            </w:r>
            <w:r>
              <w:rPr>
                <w:rFonts w:hint="eastAsia" w:ascii="Times New Roman" w:hAnsi="Times New Roman" w:cs="Times New Roman"/>
                <w:color w:val="auto"/>
                <w:sz w:val="24"/>
                <w:szCs w:val="32"/>
              </w:rPr>
              <w:t>天</w:t>
            </w:r>
            <w:r>
              <w:rPr>
                <w:rFonts w:hint="default" w:ascii="Times New Roman" w:hAnsi="Times New Roman" w:cs="Times New Roman"/>
                <w:color w:val="auto"/>
                <w:sz w:val="24"/>
              </w:rPr>
              <w:t>。</w:t>
            </w:r>
          </w:p>
          <w:p w14:paraId="62B1C341">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监测点位：</w:t>
            </w:r>
            <w:r>
              <w:rPr>
                <w:rFonts w:hint="eastAsia" w:cs="Times New Roman"/>
                <w:color w:val="auto"/>
                <w:sz w:val="24"/>
                <w:szCs w:val="32"/>
                <w:lang w:val="en-US" w:eastAsia="zh-CN"/>
              </w:rPr>
              <w:t>西安中升裕丰汽车销售服务有限公司新建4S店厂区边界西南</w:t>
            </w:r>
            <w:r>
              <w:rPr>
                <w:rFonts w:hint="default" w:ascii="Times New Roman" w:hAnsi="Times New Roman" w:cs="Times New Roman"/>
                <w:color w:val="auto"/>
                <w:sz w:val="24"/>
              </w:rPr>
              <w:t>。</w:t>
            </w:r>
          </w:p>
          <w:p w14:paraId="7E2D329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rPr>
              <w:t>②</w:t>
            </w:r>
            <w:r>
              <w:rPr>
                <w:rFonts w:hint="default" w:ascii="Times New Roman" w:hAnsi="Times New Roman" w:cs="Times New Roman"/>
                <w:color w:val="auto"/>
                <w:sz w:val="24"/>
              </w:rPr>
              <w:t>监测结果</w:t>
            </w:r>
          </w:p>
          <w:p w14:paraId="7550A25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项目监测结果</w:t>
            </w:r>
            <w:r>
              <w:rPr>
                <w:rFonts w:hint="eastAsia" w:ascii="Times New Roman" w:hAnsi="Times New Roman" w:cs="Times New Roman"/>
                <w:color w:val="auto"/>
                <w:sz w:val="24"/>
              </w:rPr>
              <w:t>见</w:t>
            </w:r>
            <w:r>
              <w:rPr>
                <w:rFonts w:hint="default" w:ascii="Times New Roman" w:hAnsi="Times New Roman" w:cs="Times New Roman"/>
                <w:color w:val="auto"/>
                <w:sz w:val="24"/>
              </w:rPr>
              <w:t>表3-</w:t>
            </w:r>
            <w:r>
              <w:rPr>
                <w:rFonts w:hint="eastAsia" w:ascii="Times New Roman" w:hAnsi="Times New Roman" w:cs="Times New Roman"/>
                <w:color w:val="auto"/>
                <w:sz w:val="24"/>
              </w:rPr>
              <w:t>2</w:t>
            </w:r>
            <w:r>
              <w:rPr>
                <w:rFonts w:hint="default" w:ascii="Times New Roman" w:hAnsi="Times New Roman" w:cs="Times New Roman"/>
                <w:color w:val="auto"/>
                <w:sz w:val="24"/>
              </w:rPr>
              <w:t>。</w:t>
            </w:r>
          </w:p>
          <w:p w14:paraId="213D175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b/>
                <w:color w:val="auto"/>
                <w:sz w:val="24"/>
              </w:rPr>
              <w:t>表3-2  特征污染物监测结果一览表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1386"/>
              <w:gridCol w:w="1782"/>
              <w:gridCol w:w="785"/>
              <w:gridCol w:w="1723"/>
              <w:gridCol w:w="1217"/>
              <w:gridCol w:w="1078"/>
            </w:tblGrid>
            <w:tr w14:paraId="1FBD1DD3">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noWrap w:val="0"/>
                  <w:vAlign w:val="center"/>
                </w:tcPr>
                <w:p w14:paraId="599E8DAB">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1117" w:type="pct"/>
                  <w:noWrap w:val="0"/>
                  <w:vAlign w:val="center"/>
                </w:tcPr>
                <w:p w14:paraId="2D55A421">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采样日期</w:t>
                  </w:r>
                </w:p>
              </w:tc>
              <w:tc>
                <w:tcPr>
                  <w:tcW w:w="492" w:type="pct"/>
                  <w:noWrap w:val="0"/>
                  <w:vAlign w:val="center"/>
                </w:tcPr>
                <w:p w14:paraId="4120413A">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单位</w:t>
                  </w:r>
                </w:p>
              </w:tc>
              <w:tc>
                <w:tcPr>
                  <w:tcW w:w="1080" w:type="pct"/>
                  <w:noWrap w:val="0"/>
                  <w:vAlign w:val="center"/>
                </w:tcPr>
                <w:p w14:paraId="4F8E6F22">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szCs w:val="21"/>
                      <w:lang w:val="en-US" w:eastAsia="zh-CN"/>
                    </w:rPr>
                  </w:pPr>
                  <w:r>
                    <w:rPr>
                      <w:rFonts w:hint="eastAsia" w:cs="Times New Roman"/>
                      <w:b/>
                      <w:bCs/>
                      <w:color w:val="auto"/>
                      <w:szCs w:val="21"/>
                      <w:lang w:val="en-US" w:eastAsia="zh-CN"/>
                    </w:rPr>
                    <w:t>监测</w:t>
                  </w:r>
                  <w:r>
                    <w:rPr>
                      <w:rFonts w:hint="default" w:ascii="Times New Roman" w:hAnsi="Times New Roman" w:cs="Times New Roman"/>
                      <w:b/>
                      <w:bCs/>
                      <w:color w:val="auto"/>
                      <w:szCs w:val="21"/>
                    </w:rPr>
                    <w:t>结果</w:t>
                  </w:r>
                  <w:r>
                    <w:rPr>
                      <w:rFonts w:hint="eastAsia" w:cs="Times New Roman"/>
                      <w:b/>
                      <w:bCs/>
                      <w:color w:val="auto"/>
                      <w:szCs w:val="21"/>
                      <w:lang w:val="en-US" w:eastAsia="zh-CN"/>
                    </w:rPr>
                    <w:t>平均值</w:t>
                  </w:r>
                </w:p>
              </w:tc>
              <w:tc>
                <w:tcPr>
                  <w:tcW w:w="763" w:type="pct"/>
                  <w:noWrap w:val="0"/>
                  <w:vAlign w:val="center"/>
                </w:tcPr>
                <w:p w14:paraId="5D80BCBF">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标准</w:t>
                  </w:r>
                  <w:r>
                    <w:rPr>
                      <w:rFonts w:hint="eastAsia" w:cs="Times New Roman"/>
                      <w:b/>
                      <w:bCs/>
                      <w:color w:val="auto"/>
                      <w:szCs w:val="21"/>
                      <w:lang w:val="en-US" w:eastAsia="zh-CN"/>
                    </w:rPr>
                    <w:t>限</w:t>
                  </w:r>
                  <w:r>
                    <w:rPr>
                      <w:rFonts w:hint="default" w:ascii="Times New Roman" w:hAnsi="Times New Roman" w:cs="Times New Roman"/>
                      <w:b/>
                      <w:bCs/>
                      <w:color w:val="auto"/>
                      <w:szCs w:val="21"/>
                    </w:rPr>
                    <w:t>值</w:t>
                  </w:r>
                </w:p>
              </w:tc>
              <w:tc>
                <w:tcPr>
                  <w:tcW w:w="676" w:type="pct"/>
                  <w:noWrap w:val="0"/>
                  <w:vAlign w:val="center"/>
                </w:tcPr>
                <w:p w14:paraId="31BB3E4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达标情况</w:t>
                  </w:r>
                </w:p>
              </w:tc>
            </w:tr>
            <w:tr w14:paraId="64C1DBF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restart"/>
                  <w:noWrap w:val="0"/>
                  <w:vAlign w:val="center"/>
                </w:tcPr>
                <w:p w14:paraId="16CD408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非甲烷总烃</w:t>
                  </w:r>
                </w:p>
              </w:tc>
              <w:tc>
                <w:tcPr>
                  <w:tcW w:w="1117" w:type="pct"/>
                  <w:noWrap w:val="0"/>
                  <w:vAlign w:val="center"/>
                </w:tcPr>
                <w:p w14:paraId="45DFCFD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4.15</w:t>
                  </w:r>
                </w:p>
              </w:tc>
              <w:tc>
                <w:tcPr>
                  <w:tcW w:w="492" w:type="pct"/>
                  <w:vMerge w:val="restart"/>
                  <w:noWrap w:val="0"/>
                  <w:vAlign w:val="center"/>
                </w:tcPr>
                <w:p w14:paraId="41E210B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mg/m³</w:t>
                  </w:r>
                </w:p>
              </w:tc>
              <w:tc>
                <w:tcPr>
                  <w:tcW w:w="1080" w:type="pct"/>
                  <w:noWrap w:val="0"/>
                  <w:vAlign w:val="center"/>
                </w:tcPr>
                <w:p w14:paraId="57EA806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c>
                <w:tcPr>
                  <w:tcW w:w="763" w:type="pct"/>
                  <w:vMerge w:val="restart"/>
                  <w:noWrap w:val="0"/>
                  <w:vAlign w:val="center"/>
                </w:tcPr>
                <w:p w14:paraId="31C0EB9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w:t>
                  </w:r>
                </w:p>
              </w:tc>
              <w:tc>
                <w:tcPr>
                  <w:tcW w:w="676" w:type="pct"/>
                  <w:vMerge w:val="restart"/>
                  <w:noWrap w:val="0"/>
                  <w:vAlign w:val="center"/>
                </w:tcPr>
                <w:p w14:paraId="33FBAF0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达标</w:t>
                  </w:r>
                </w:p>
              </w:tc>
            </w:tr>
            <w:tr w14:paraId="7B7E5FC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noWrap w:val="0"/>
                  <w:vAlign w:val="center"/>
                </w:tcPr>
                <w:p w14:paraId="531E813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17" w:type="pct"/>
                  <w:noWrap w:val="0"/>
                  <w:vAlign w:val="center"/>
                </w:tcPr>
                <w:p w14:paraId="16F420B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4.16</w:t>
                  </w:r>
                </w:p>
              </w:tc>
              <w:tc>
                <w:tcPr>
                  <w:tcW w:w="492" w:type="pct"/>
                  <w:vMerge w:val="continue"/>
                  <w:noWrap w:val="0"/>
                  <w:vAlign w:val="center"/>
                </w:tcPr>
                <w:p w14:paraId="1FE69F80">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p>
              </w:tc>
              <w:tc>
                <w:tcPr>
                  <w:tcW w:w="1080" w:type="pct"/>
                  <w:noWrap w:val="0"/>
                  <w:vAlign w:val="center"/>
                </w:tcPr>
                <w:p w14:paraId="20F3A3F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0.95</w:t>
                  </w:r>
                </w:p>
              </w:tc>
              <w:tc>
                <w:tcPr>
                  <w:tcW w:w="763" w:type="pct"/>
                  <w:vMerge w:val="continue"/>
                  <w:noWrap w:val="0"/>
                  <w:vAlign w:val="center"/>
                </w:tcPr>
                <w:p w14:paraId="5621092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676" w:type="pct"/>
                  <w:vMerge w:val="continue"/>
                  <w:noWrap w:val="0"/>
                  <w:vAlign w:val="center"/>
                </w:tcPr>
                <w:p w14:paraId="7BA4898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1822CBE">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340" w:hRule="atLeast"/>
                <w:jc w:val="center"/>
              </w:trPr>
              <w:tc>
                <w:tcPr>
                  <w:tcW w:w="869" w:type="pct"/>
                  <w:vMerge w:val="continue"/>
                  <w:noWrap w:val="0"/>
                  <w:vAlign w:val="center"/>
                </w:tcPr>
                <w:p w14:paraId="781B0D6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17" w:type="pct"/>
                  <w:noWrap w:val="0"/>
                  <w:vAlign w:val="center"/>
                </w:tcPr>
                <w:p w14:paraId="7F3913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4.17</w:t>
                  </w:r>
                </w:p>
              </w:tc>
              <w:tc>
                <w:tcPr>
                  <w:tcW w:w="492" w:type="pct"/>
                  <w:vMerge w:val="continue"/>
                  <w:noWrap w:val="0"/>
                  <w:vAlign w:val="center"/>
                </w:tcPr>
                <w:p w14:paraId="5DBDFA27">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Cs w:val="21"/>
                    </w:rPr>
                  </w:pPr>
                </w:p>
              </w:tc>
              <w:tc>
                <w:tcPr>
                  <w:tcW w:w="1080" w:type="pct"/>
                  <w:noWrap w:val="0"/>
                  <w:vAlign w:val="center"/>
                </w:tcPr>
                <w:p w14:paraId="68DB44D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0.97</w:t>
                  </w:r>
                </w:p>
              </w:tc>
              <w:tc>
                <w:tcPr>
                  <w:tcW w:w="763" w:type="pct"/>
                  <w:vMerge w:val="continue"/>
                  <w:noWrap w:val="0"/>
                  <w:vAlign w:val="center"/>
                </w:tcPr>
                <w:p w14:paraId="32DABEE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676" w:type="pct"/>
                  <w:vMerge w:val="continue"/>
                  <w:noWrap w:val="0"/>
                  <w:vAlign w:val="center"/>
                </w:tcPr>
                <w:p w14:paraId="2AECB0E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r>
          </w:tbl>
          <w:p w14:paraId="33251302">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default" w:ascii="Times New Roman" w:hAnsi="Times New Roman" w:cs="Times New Roman"/>
                <w:color w:val="auto"/>
                <w:sz w:val="24"/>
              </w:rPr>
              <w:t>由引用监测结果可知，项目</w:t>
            </w:r>
            <w:r>
              <w:rPr>
                <w:rFonts w:hint="eastAsia" w:ascii="Times New Roman" w:hAnsi="Times New Roman" w:cs="Times New Roman"/>
                <w:color w:val="auto"/>
                <w:sz w:val="24"/>
              </w:rPr>
              <w:t>所在区域</w:t>
            </w:r>
            <w:r>
              <w:rPr>
                <w:rFonts w:hint="eastAsia" w:cs="Times New Roman"/>
                <w:color w:val="auto"/>
                <w:sz w:val="24"/>
                <w:lang w:val="en-US" w:eastAsia="zh-CN"/>
              </w:rPr>
              <w:t>非甲烷总烃</w:t>
            </w:r>
            <w:r>
              <w:rPr>
                <w:rFonts w:hint="default" w:ascii="Times New Roman" w:hAnsi="Times New Roman" w:cs="Times New Roman"/>
                <w:color w:val="auto"/>
                <w:sz w:val="24"/>
              </w:rPr>
              <w:t>满足《</w:t>
            </w:r>
            <w:r>
              <w:rPr>
                <w:rFonts w:hint="eastAsia" w:cs="Times New Roman"/>
                <w:color w:val="auto"/>
                <w:sz w:val="24"/>
                <w:lang w:val="en-US" w:eastAsia="zh-CN"/>
              </w:rPr>
              <w:t>大气污染物综合排放标准详解</w:t>
            </w:r>
            <w:r>
              <w:rPr>
                <w:rFonts w:hint="default" w:ascii="Times New Roman" w:hAnsi="Times New Roman" w:cs="Times New Roman"/>
                <w:color w:val="auto"/>
                <w:sz w:val="24"/>
              </w:rPr>
              <w:t>》</w:t>
            </w:r>
            <w:r>
              <w:rPr>
                <w:rFonts w:hint="eastAsia" w:cs="Times New Roman"/>
                <w:color w:val="auto"/>
                <w:sz w:val="24"/>
                <w:lang w:val="en-US" w:eastAsia="zh-CN"/>
              </w:rPr>
              <w:t>限制要求</w:t>
            </w:r>
            <w:r>
              <w:rPr>
                <w:rFonts w:hint="eastAsia" w:ascii="Times New Roman" w:hAnsi="Times New Roman" w:cs="Times New Roman"/>
                <w:color w:val="auto"/>
                <w:sz w:val="24"/>
              </w:rPr>
              <w:t>。</w:t>
            </w:r>
          </w:p>
          <w:p w14:paraId="789C58F3">
            <w:pPr>
              <w:keepNext w:val="0"/>
              <w:keepLines w:val="0"/>
              <w:suppressLineNumbers w:val="0"/>
              <w:spacing w:before="0" w:beforeAutospacing="0" w:after="0" w:afterAutospacing="0" w:line="360" w:lineRule="auto"/>
              <w:ind w:left="420" w:leftChars="200" w:right="0"/>
              <w:rPr>
                <w:rFonts w:hint="default" w:ascii="Times New Roman" w:hAnsi="Times New Roman" w:cs="Times New Roman"/>
                <w:b/>
                <w:color w:val="auto"/>
                <w:sz w:val="24"/>
              </w:rPr>
            </w:pPr>
            <w:r>
              <w:rPr>
                <w:rFonts w:hint="eastAsia" w:ascii="Times New Roman" w:hAnsi="Times New Roman" w:cs="Times New Roman"/>
                <w:b/>
                <w:color w:val="auto"/>
                <w:sz w:val="24"/>
              </w:rPr>
              <w:t>2、</w:t>
            </w:r>
            <w:r>
              <w:rPr>
                <w:rFonts w:hint="default" w:ascii="Times New Roman" w:hAnsi="Times New Roman" w:cs="Times New Roman"/>
                <w:b/>
                <w:color w:val="auto"/>
                <w:sz w:val="24"/>
              </w:rPr>
              <w:t>声环境质量现状</w:t>
            </w:r>
          </w:p>
          <w:p w14:paraId="7D8130FA">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szCs w:val="32"/>
              </w:rPr>
            </w:pPr>
            <w:r>
              <w:rPr>
                <w:rFonts w:hint="eastAsia" w:ascii="Times New Roman" w:hAnsi="Times New Roman" w:cs="Times New Roman"/>
                <w:color w:val="auto"/>
                <w:sz w:val="24"/>
                <w:szCs w:val="32"/>
              </w:rPr>
              <w:t>本项目声环境质量现状监测委托陕西秦研检测技术有限公司进行监测（具体见附件</w:t>
            </w:r>
            <w:r>
              <w:rPr>
                <w:rFonts w:hint="eastAsia" w:cs="Times New Roman"/>
                <w:color w:val="auto"/>
                <w:sz w:val="24"/>
                <w:szCs w:val="32"/>
                <w:lang w:val="en-US" w:eastAsia="zh-CN"/>
              </w:rPr>
              <w:t>10</w:t>
            </w:r>
            <w:r>
              <w:rPr>
                <w:rFonts w:hint="eastAsia" w:ascii="Times New Roman" w:hAnsi="Times New Roman" w:cs="Times New Roman"/>
                <w:color w:val="auto"/>
                <w:sz w:val="24"/>
                <w:szCs w:val="32"/>
              </w:rPr>
              <w:t>）。</w:t>
            </w:r>
          </w:p>
          <w:p w14:paraId="608A49A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（1）监测频次和监测点位</w:t>
            </w:r>
          </w:p>
          <w:p w14:paraId="15CFA76E">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监测频次：昼、夜各监测一次，监测1天。</w:t>
            </w:r>
          </w:p>
          <w:p w14:paraId="3DE7BD77">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监测点位：厂界四周</w:t>
            </w:r>
            <w:r>
              <w:rPr>
                <w:rFonts w:hint="eastAsia" w:ascii="Times New Roman" w:hAnsi="Times New Roman" w:cs="Times New Roman"/>
                <w:color w:val="auto"/>
                <w:sz w:val="24"/>
              </w:rPr>
              <w:t>、</w:t>
            </w:r>
            <w:r>
              <w:rPr>
                <w:rFonts w:hint="eastAsia" w:cs="Times New Roman"/>
                <w:color w:val="auto"/>
                <w:sz w:val="24"/>
                <w:lang w:val="en-US" w:eastAsia="zh-CN"/>
              </w:rPr>
              <w:t>南侧五一村</w:t>
            </w:r>
            <w:r>
              <w:rPr>
                <w:rFonts w:hint="default" w:ascii="Times New Roman" w:hAnsi="Times New Roman" w:cs="Times New Roman"/>
                <w:color w:val="auto"/>
                <w:sz w:val="24"/>
              </w:rPr>
              <w:t>。</w:t>
            </w:r>
          </w:p>
          <w:p w14:paraId="1AFC022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（2）监测结果</w:t>
            </w:r>
          </w:p>
          <w:p w14:paraId="216A1F75">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项目监测结果见下表3-</w:t>
            </w:r>
            <w:r>
              <w:rPr>
                <w:rFonts w:hint="eastAsia" w:ascii="Times New Roman" w:hAnsi="Times New Roman" w:cs="Times New Roman"/>
                <w:color w:val="auto"/>
                <w:sz w:val="24"/>
              </w:rPr>
              <w:t>3</w:t>
            </w:r>
            <w:r>
              <w:rPr>
                <w:rFonts w:hint="default" w:ascii="Times New Roman" w:hAnsi="Times New Roman" w:cs="Times New Roman"/>
                <w:color w:val="auto"/>
                <w:sz w:val="24"/>
              </w:rPr>
              <w:t>。</w:t>
            </w:r>
          </w:p>
          <w:p w14:paraId="749620A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4"/>
              </w:rPr>
            </w:pPr>
            <w:r>
              <w:rPr>
                <w:rFonts w:hint="default" w:ascii="Times New Roman" w:hAnsi="Times New Roman" w:cs="Times New Roman"/>
                <w:b/>
                <w:color w:val="auto"/>
                <w:sz w:val="24"/>
              </w:rPr>
              <w:t>表</w:t>
            </w:r>
            <w:r>
              <w:rPr>
                <w:rFonts w:hint="eastAsia" w:ascii="Times New Roman" w:hAnsi="Times New Roman" w:cs="Times New Roman"/>
                <w:b/>
                <w:color w:val="auto"/>
                <w:sz w:val="24"/>
              </w:rPr>
              <w:t>3-3</w:t>
            </w:r>
            <w:r>
              <w:rPr>
                <w:rFonts w:hint="default" w:ascii="Times New Roman" w:hAnsi="Times New Roman" w:cs="Times New Roman"/>
                <w:b/>
                <w:color w:val="auto"/>
                <w:sz w:val="24"/>
              </w:rPr>
              <w:t xml:space="preserve">  声环境监测结果     单位：dB（A）</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809"/>
              <w:gridCol w:w="2447"/>
              <w:gridCol w:w="935"/>
              <w:gridCol w:w="1201"/>
              <w:gridCol w:w="646"/>
              <w:gridCol w:w="682"/>
            </w:tblGrid>
            <w:tr w14:paraId="55AA32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86" w:type="pct"/>
                  <w:vMerge w:val="restart"/>
                  <w:noWrap w:val="0"/>
                  <w:vAlign w:val="center"/>
                </w:tcPr>
                <w:p w14:paraId="26A85FAD">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1"/>
                      <w:szCs w:val="21"/>
                    </w:rPr>
                  </w:pPr>
                  <w:r>
                    <w:rPr>
                      <w:rFonts w:hint="eastAsia" w:ascii="Times New Roman" w:hAnsi="Times New Roman" w:cs="Times New Roman"/>
                      <w:b/>
                      <w:color w:val="auto"/>
                      <w:kern w:val="1"/>
                      <w:szCs w:val="21"/>
                    </w:rPr>
                    <w:t>监测日期</w:t>
                  </w:r>
                </w:p>
              </w:tc>
              <w:tc>
                <w:tcPr>
                  <w:tcW w:w="507" w:type="pct"/>
                  <w:vMerge w:val="restart"/>
                  <w:noWrap w:val="0"/>
                  <w:vAlign w:val="center"/>
                </w:tcPr>
                <w:p w14:paraId="428959C6">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1"/>
                      <w:szCs w:val="21"/>
                    </w:rPr>
                  </w:pPr>
                  <w:r>
                    <w:rPr>
                      <w:rFonts w:hint="eastAsia" w:ascii="Times New Roman" w:hAnsi="Times New Roman" w:cs="Times New Roman"/>
                      <w:b/>
                      <w:color w:val="auto"/>
                      <w:kern w:val="1"/>
                      <w:szCs w:val="21"/>
                    </w:rPr>
                    <w:t>点位</w:t>
                  </w:r>
                  <w:r>
                    <w:rPr>
                      <w:rFonts w:hint="default" w:ascii="Times New Roman" w:hAnsi="Times New Roman" w:cs="Times New Roman"/>
                      <w:b/>
                      <w:color w:val="auto"/>
                      <w:kern w:val="1"/>
                      <w:szCs w:val="21"/>
                    </w:rPr>
                    <w:t>编号</w:t>
                  </w:r>
                </w:p>
              </w:tc>
              <w:tc>
                <w:tcPr>
                  <w:tcW w:w="1534" w:type="pct"/>
                  <w:vMerge w:val="restart"/>
                  <w:noWrap w:val="0"/>
                  <w:vAlign w:val="center"/>
                </w:tcPr>
                <w:p w14:paraId="0C45F9F0">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1"/>
                      <w:szCs w:val="21"/>
                    </w:rPr>
                  </w:pPr>
                  <w:r>
                    <w:rPr>
                      <w:rFonts w:hint="default" w:ascii="Times New Roman" w:hAnsi="Times New Roman" w:cs="Times New Roman"/>
                      <w:b/>
                      <w:color w:val="auto"/>
                      <w:kern w:val="1"/>
                      <w:szCs w:val="21"/>
                    </w:rPr>
                    <w:t>监测点位</w:t>
                  </w:r>
                </w:p>
              </w:tc>
              <w:tc>
                <w:tcPr>
                  <w:tcW w:w="1339" w:type="pct"/>
                  <w:gridSpan w:val="2"/>
                  <w:noWrap w:val="0"/>
                  <w:vAlign w:val="center"/>
                </w:tcPr>
                <w:p w14:paraId="2702048F">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1"/>
                      <w:szCs w:val="21"/>
                    </w:rPr>
                  </w:pPr>
                  <w:r>
                    <w:rPr>
                      <w:rFonts w:hint="default" w:ascii="Times New Roman" w:hAnsi="Times New Roman" w:cs="Times New Roman"/>
                      <w:b/>
                      <w:color w:val="auto"/>
                      <w:kern w:val="1"/>
                      <w:szCs w:val="21"/>
                    </w:rPr>
                    <w:t>监测结果</w:t>
                  </w:r>
                  <w:r>
                    <w:rPr>
                      <w:rFonts w:hint="eastAsia" w:ascii="Times New Roman" w:hAnsi="Times New Roman" w:cs="Times New Roman"/>
                      <w:b/>
                      <w:color w:val="auto"/>
                      <w:kern w:val="1"/>
                      <w:szCs w:val="21"/>
                    </w:rPr>
                    <w:t>（</w:t>
                  </w:r>
                  <w:r>
                    <w:rPr>
                      <w:rFonts w:hint="default" w:ascii="Times New Roman" w:hAnsi="Times New Roman" w:cs="Times New Roman"/>
                      <w:b/>
                      <w:color w:val="auto"/>
                      <w:kern w:val="1"/>
                      <w:szCs w:val="21"/>
                    </w:rPr>
                    <w:t>L</w:t>
                  </w:r>
                  <w:r>
                    <w:rPr>
                      <w:rFonts w:hint="default" w:ascii="Times New Roman" w:hAnsi="Times New Roman" w:cs="Times New Roman"/>
                      <w:b/>
                      <w:color w:val="auto"/>
                      <w:kern w:val="1"/>
                      <w:szCs w:val="21"/>
                      <w:vertAlign w:val="subscript"/>
                    </w:rPr>
                    <w:t>Aeq</w:t>
                  </w:r>
                  <w:r>
                    <w:rPr>
                      <w:rFonts w:hint="eastAsia" w:ascii="Times New Roman" w:hAnsi="Times New Roman" w:cs="Times New Roman"/>
                      <w:b/>
                      <w:color w:val="auto"/>
                      <w:kern w:val="1"/>
                      <w:szCs w:val="21"/>
                    </w:rPr>
                    <w:t>）</w:t>
                  </w:r>
                  <w:r>
                    <w:rPr>
                      <w:rFonts w:hint="default" w:ascii="Times New Roman" w:hAnsi="Times New Roman" w:cs="Times New Roman"/>
                      <w:b/>
                      <w:color w:val="auto"/>
                      <w:kern w:val="1"/>
                      <w:szCs w:val="21"/>
                    </w:rPr>
                    <w:t>dB(</w:t>
                  </w:r>
                  <w:r>
                    <w:rPr>
                      <w:rFonts w:hint="eastAsia" w:ascii="Times New Roman" w:hAnsi="Times New Roman" w:cs="Times New Roman"/>
                      <w:b/>
                      <w:color w:val="auto"/>
                      <w:kern w:val="1"/>
                      <w:szCs w:val="21"/>
                    </w:rPr>
                    <w:t>A</w:t>
                  </w:r>
                  <w:r>
                    <w:rPr>
                      <w:rFonts w:hint="default" w:ascii="Times New Roman" w:hAnsi="Times New Roman" w:cs="Times New Roman"/>
                      <w:b/>
                      <w:color w:val="auto"/>
                      <w:kern w:val="1"/>
                      <w:szCs w:val="21"/>
                    </w:rPr>
                    <w:t>)</w:t>
                  </w:r>
                </w:p>
              </w:tc>
              <w:tc>
                <w:tcPr>
                  <w:tcW w:w="832" w:type="pct"/>
                  <w:gridSpan w:val="2"/>
                  <w:noWrap w:val="0"/>
                  <w:vAlign w:val="center"/>
                </w:tcPr>
                <w:p w14:paraId="2017DF89">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1"/>
                      <w:szCs w:val="21"/>
                    </w:rPr>
                  </w:pPr>
                  <w:r>
                    <w:rPr>
                      <w:rFonts w:hint="eastAsia" w:ascii="Times New Roman" w:hAnsi="Times New Roman" w:cs="Times New Roman"/>
                      <w:b/>
                      <w:color w:val="auto"/>
                      <w:kern w:val="1"/>
                      <w:szCs w:val="21"/>
                    </w:rPr>
                    <w:t>标准限值</w:t>
                  </w:r>
                  <w:r>
                    <w:rPr>
                      <w:rFonts w:hint="default" w:ascii="Times New Roman" w:hAnsi="Times New Roman" w:cs="Times New Roman"/>
                      <w:b/>
                      <w:color w:val="auto"/>
                      <w:kern w:val="1"/>
                      <w:szCs w:val="21"/>
                    </w:rPr>
                    <w:t>dB(A)</w:t>
                  </w:r>
                </w:p>
              </w:tc>
            </w:tr>
            <w:tr w14:paraId="0B620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86" w:type="pct"/>
                  <w:vMerge w:val="continue"/>
                  <w:noWrap w:val="0"/>
                  <w:vAlign w:val="center"/>
                </w:tcPr>
                <w:p w14:paraId="6259959A">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1"/>
                      <w:szCs w:val="21"/>
                    </w:rPr>
                  </w:pPr>
                </w:p>
              </w:tc>
              <w:tc>
                <w:tcPr>
                  <w:tcW w:w="507" w:type="pct"/>
                  <w:vMerge w:val="continue"/>
                  <w:noWrap w:val="0"/>
                  <w:vAlign w:val="center"/>
                </w:tcPr>
                <w:p w14:paraId="70429BA1">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1"/>
                      <w:szCs w:val="21"/>
                    </w:rPr>
                  </w:pPr>
                </w:p>
              </w:tc>
              <w:tc>
                <w:tcPr>
                  <w:tcW w:w="1534" w:type="pct"/>
                  <w:vMerge w:val="continue"/>
                  <w:noWrap w:val="0"/>
                  <w:vAlign w:val="center"/>
                </w:tcPr>
                <w:p w14:paraId="42F671D2">
                  <w:pPr>
                    <w:keepNext w:val="0"/>
                    <w:keepLines w:val="0"/>
                    <w:suppressLineNumbers w:val="0"/>
                    <w:spacing w:before="0" w:beforeAutospacing="0" w:after="0" w:afterAutospacing="0"/>
                    <w:ind w:left="0" w:right="0"/>
                    <w:jc w:val="center"/>
                    <w:rPr>
                      <w:rFonts w:hint="default" w:ascii="Times New Roman" w:hAnsi="Times New Roman" w:cs="Times New Roman"/>
                      <w:b/>
                      <w:color w:val="auto"/>
                      <w:kern w:val="1"/>
                      <w:szCs w:val="21"/>
                    </w:rPr>
                  </w:pPr>
                </w:p>
              </w:tc>
              <w:tc>
                <w:tcPr>
                  <w:tcW w:w="586" w:type="pct"/>
                  <w:noWrap w:val="0"/>
                  <w:vAlign w:val="center"/>
                </w:tcPr>
                <w:p w14:paraId="2D3D4269">
                  <w:pPr>
                    <w:pStyle w:val="11"/>
                    <w:keepNext w:val="0"/>
                    <w:keepLines w:val="0"/>
                    <w:suppressLineNumbers w:val="0"/>
                    <w:spacing w:before="0" w:beforeAutospacing="0" w:after="0" w:afterAutospacing="0"/>
                    <w:ind w:left="0" w:right="0"/>
                    <w:jc w:val="center"/>
                    <w:rPr>
                      <w:rFonts w:hint="eastAsia" w:ascii="Times New Roman" w:hAnsi="Times New Roman"/>
                      <w:b/>
                      <w:color w:val="auto"/>
                    </w:rPr>
                  </w:pPr>
                  <w:r>
                    <w:rPr>
                      <w:rFonts w:hint="default" w:ascii="Times New Roman" w:hAnsi="Times New Roman"/>
                      <w:b/>
                      <w:color w:val="auto"/>
                    </w:rPr>
                    <w:t>昼间</w:t>
                  </w:r>
                </w:p>
              </w:tc>
              <w:tc>
                <w:tcPr>
                  <w:tcW w:w="753" w:type="pct"/>
                  <w:noWrap w:val="0"/>
                  <w:vAlign w:val="center"/>
                </w:tcPr>
                <w:p w14:paraId="4E770663">
                  <w:pPr>
                    <w:pStyle w:val="11"/>
                    <w:keepNext w:val="0"/>
                    <w:keepLines w:val="0"/>
                    <w:suppressLineNumbers w:val="0"/>
                    <w:spacing w:before="0" w:beforeAutospacing="0" w:after="0" w:afterAutospacing="0"/>
                    <w:ind w:left="0" w:right="0"/>
                    <w:jc w:val="center"/>
                    <w:rPr>
                      <w:rFonts w:hint="eastAsia" w:ascii="Times New Roman" w:hAnsi="Times New Roman"/>
                      <w:b/>
                      <w:color w:val="auto"/>
                    </w:rPr>
                  </w:pPr>
                  <w:r>
                    <w:rPr>
                      <w:rFonts w:hint="eastAsia" w:ascii="Times New Roman" w:hAnsi="Times New Roman"/>
                      <w:b/>
                      <w:color w:val="auto"/>
                    </w:rPr>
                    <w:t>夜间</w:t>
                  </w:r>
                </w:p>
              </w:tc>
              <w:tc>
                <w:tcPr>
                  <w:tcW w:w="405" w:type="pct"/>
                  <w:noWrap w:val="0"/>
                  <w:vAlign w:val="center"/>
                </w:tcPr>
                <w:p w14:paraId="6E022E72">
                  <w:pPr>
                    <w:pStyle w:val="11"/>
                    <w:keepNext w:val="0"/>
                    <w:keepLines w:val="0"/>
                    <w:suppressLineNumbers w:val="0"/>
                    <w:spacing w:before="0" w:beforeAutospacing="0" w:after="0" w:afterAutospacing="0"/>
                    <w:ind w:left="0" w:right="0"/>
                    <w:jc w:val="center"/>
                    <w:rPr>
                      <w:rFonts w:hint="eastAsia" w:ascii="Times New Roman" w:hAnsi="Times New Roman"/>
                      <w:b/>
                      <w:color w:val="auto"/>
                    </w:rPr>
                  </w:pPr>
                  <w:r>
                    <w:rPr>
                      <w:rFonts w:hint="default" w:ascii="Times New Roman" w:hAnsi="Times New Roman"/>
                      <w:b/>
                      <w:color w:val="auto"/>
                    </w:rPr>
                    <w:t>昼间</w:t>
                  </w:r>
                </w:p>
              </w:tc>
              <w:tc>
                <w:tcPr>
                  <w:tcW w:w="427" w:type="pct"/>
                  <w:noWrap w:val="0"/>
                  <w:vAlign w:val="center"/>
                </w:tcPr>
                <w:p w14:paraId="35E7820D">
                  <w:pPr>
                    <w:pStyle w:val="11"/>
                    <w:keepNext w:val="0"/>
                    <w:keepLines w:val="0"/>
                    <w:suppressLineNumbers w:val="0"/>
                    <w:spacing w:before="0" w:beforeAutospacing="0" w:after="0" w:afterAutospacing="0"/>
                    <w:ind w:left="0" w:right="0"/>
                    <w:jc w:val="center"/>
                    <w:rPr>
                      <w:rFonts w:hint="eastAsia" w:ascii="Times New Roman" w:hAnsi="Times New Roman"/>
                      <w:b/>
                      <w:color w:val="auto"/>
                    </w:rPr>
                  </w:pPr>
                  <w:r>
                    <w:rPr>
                      <w:rFonts w:hint="eastAsia" w:ascii="Times New Roman" w:hAnsi="Times New Roman"/>
                      <w:b/>
                      <w:color w:val="auto"/>
                    </w:rPr>
                    <w:t>夜间</w:t>
                  </w:r>
                </w:p>
              </w:tc>
            </w:tr>
            <w:tr w14:paraId="5E6B81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86" w:type="pct"/>
                  <w:vMerge w:val="restart"/>
                  <w:noWrap w:val="0"/>
                  <w:vAlign w:val="center"/>
                </w:tcPr>
                <w:p w14:paraId="4A6143C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1"/>
                      <w:szCs w:val="21"/>
                      <w:lang w:val="en-US" w:eastAsia="zh-CN"/>
                    </w:rPr>
                  </w:pPr>
                  <w:r>
                    <w:rPr>
                      <w:rFonts w:hint="eastAsia" w:cs="Times New Roman"/>
                      <w:color w:val="auto"/>
                      <w:kern w:val="0"/>
                      <w:szCs w:val="21"/>
                      <w:lang w:val="en-US" w:eastAsia="zh-CN"/>
                    </w:rPr>
                    <w:t>2024年5月30日</w:t>
                  </w:r>
                </w:p>
              </w:tc>
              <w:tc>
                <w:tcPr>
                  <w:tcW w:w="507" w:type="pct"/>
                  <w:noWrap w:val="0"/>
                  <w:vAlign w:val="center"/>
                </w:tcPr>
                <w:p w14:paraId="4913DA65">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1"/>
                      <w:szCs w:val="21"/>
                    </w:rPr>
                  </w:pPr>
                  <w:r>
                    <w:rPr>
                      <w:rFonts w:hint="eastAsia" w:ascii="Times New Roman" w:hAnsi="Times New Roman" w:cs="Times New Roman"/>
                      <w:color w:val="auto"/>
                      <w:kern w:val="1"/>
                      <w:szCs w:val="21"/>
                    </w:rPr>
                    <w:t>1#</w:t>
                  </w:r>
                </w:p>
              </w:tc>
              <w:tc>
                <w:tcPr>
                  <w:tcW w:w="1534" w:type="pct"/>
                  <w:noWrap w:val="0"/>
                  <w:vAlign w:val="center"/>
                </w:tcPr>
                <w:p w14:paraId="377EDB2D">
                  <w:pPr>
                    <w:pStyle w:val="8"/>
                    <w:keepNext w:val="0"/>
                    <w:keepLines w:val="0"/>
                    <w:suppressLineNumbers w:val="0"/>
                    <w:spacing w:before="0" w:beforeAutospacing="0" w:after="0" w:afterAutospacing="0"/>
                    <w:ind w:left="0" w:right="0"/>
                    <w:jc w:val="center"/>
                    <w:rPr>
                      <w:rFonts w:hint="default" w:ascii="Times New Roman" w:hAnsi="Times New Roman" w:cs="Times New Roman"/>
                      <w:color w:val="auto"/>
                      <w:kern w:val="1"/>
                      <w:sz w:val="21"/>
                      <w:szCs w:val="21"/>
                    </w:rPr>
                  </w:pPr>
                  <w:r>
                    <w:rPr>
                      <w:rFonts w:hint="eastAsia" w:ascii="Times New Roman" w:hAnsi="Times New Roman" w:cs="Times New Roman"/>
                      <w:color w:val="auto"/>
                      <w:sz w:val="21"/>
                      <w:szCs w:val="21"/>
                    </w:rPr>
                    <w:t>厂界东侧</w:t>
                  </w:r>
                </w:p>
              </w:tc>
              <w:tc>
                <w:tcPr>
                  <w:tcW w:w="586" w:type="pct"/>
                  <w:noWrap w:val="0"/>
                  <w:vAlign w:val="center"/>
                </w:tcPr>
                <w:p w14:paraId="7B15E4F6">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color w:val="auto"/>
                      <w:kern w:val="1"/>
                      <w:szCs w:val="21"/>
                      <w:lang w:val="en-US" w:eastAsia="zh-CN"/>
                    </w:rPr>
                  </w:pPr>
                  <w:r>
                    <w:rPr>
                      <w:rFonts w:hint="eastAsia"/>
                      <w:bCs/>
                    </w:rPr>
                    <w:t>67</w:t>
                  </w:r>
                </w:p>
              </w:tc>
              <w:tc>
                <w:tcPr>
                  <w:tcW w:w="753" w:type="pct"/>
                  <w:noWrap w:val="0"/>
                  <w:vAlign w:val="center"/>
                </w:tcPr>
                <w:p w14:paraId="50AA0DB1">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r>
                    <w:rPr>
                      <w:rFonts w:hint="eastAsia"/>
                      <w:bCs/>
                    </w:rPr>
                    <w:t>53</w:t>
                  </w:r>
                </w:p>
              </w:tc>
              <w:tc>
                <w:tcPr>
                  <w:tcW w:w="405" w:type="pct"/>
                  <w:noWrap w:val="0"/>
                  <w:vAlign w:val="center"/>
                </w:tcPr>
                <w:p w14:paraId="4145AF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1"/>
                      <w:szCs w:val="21"/>
                      <w:lang w:val="en-US" w:eastAsia="zh-CN"/>
                    </w:rPr>
                  </w:pPr>
                  <w:r>
                    <w:rPr>
                      <w:rFonts w:hint="eastAsia" w:cs="Times New Roman"/>
                      <w:color w:val="auto"/>
                      <w:kern w:val="1"/>
                      <w:szCs w:val="21"/>
                      <w:lang w:val="en-US" w:eastAsia="zh-CN"/>
                    </w:rPr>
                    <w:t>70</w:t>
                  </w:r>
                </w:p>
              </w:tc>
              <w:tc>
                <w:tcPr>
                  <w:tcW w:w="427" w:type="pct"/>
                  <w:noWrap w:val="0"/>
                  <w:vAlign w:val="center"/>
                </w:tcPr>
                <w:p w14:paraId="585D3EF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1"/>
                      <w:szCs w:val="21"/>
                      <w:lang w:val="en-US" w:eastAsia="zh-CN"/>
                    </w:rPr>
                  </w:pPr>
                  <w:r>
                    <w:rPr>
                      <w:rFonts w:hint="eastAsia" w:cs="Times New Roman"/>
                      <w:color w:val="auto"/>
                      <w:kern w:val="1"/>
                      <w:szCs w:val="21"/>
                      <w:lang w:val="en-US" w:eastAsia="zh-CN"/>
                    </w:rPr>
                    <w:t>55</w:t>
                  </w:r>
                </w:p>
              </w:tc>
            </w:tr>
            <w:tr w14:paraId="06E85B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86" w:type="pct"/>
                  <w:vMerge w:val="continue"/>
                  <w:noWrap w:val="0"/>
                  <w:vAlign w:val="center"/>
                </w:tcPr>
                <w:p w14:paraId="40C49B2C">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p>
              </w:tc>
              <w:tc>
                <w:tcPr>
                  <w:tcW w:w="507" w:type="pct"/>
                  <w:noWrap w:val="0"/>
                  <w:vAlign w:val="center"/>
                </w:tcPr>
                <w:p w14:paraId="269D09D2">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1"/>
                      <w:szCs w:val="21"/>
                    </w:rPr>
                  </w:pPr>
                  <w:r>
                    <w:rPr>
                      <w:rFonts w:hint="eastAsia" w:ascii="Times New Roman" w:hAnsi="Times New Roman" w:cs="Times New Roman"/>
                      <w:color w:val="auto"/>
                      <w:kern w:val="1"/>
                      <w:szCs w:val="21"/>
                    </w:rPr>
                    <w:t>2#</w:t>
                  </w:r>
                </w:p>
              </w:tc>
              <w:tc>
                <w:tcPr>
                  <w:tcW w:w="1534" w:type="pct"/>
                  <w:noWrap w:val="0"/>
                  <w:vAlign w:val="center"/>
                </w:tcPr>
                <w:p w14:paraId="34D7A15E">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1"/>
                      <w:szCs w:val="21"/>
                    </w:rPr>
                  </w:pPr>
                  <w:r>
                    <w:rPr>
                      <w:rFonts w:hint="default" w:ascii="Times New Roman" w:hAnsi="Times New Roman" w:cs="Times New Roman"/>
                      <w:color w:val="auto"/>
                      <w:szCs w:val="21"/>
                    </w:rPr>
                    <w:t>厂界</w:t>
                  </w:r>
                  <w:r>
                    <w:rPr>
                      <w:rFonts w:hint="eastAsia" w:ascii="Times New Roman" w:hAnsi="Times New Roman" w:cs="Times New Roman"/>
                      <w:color w:val="auto"/>
                      <w:szCs w:val="21"/>
                    </w:rPr>
                    <w:t>南</w:t>
                  </w:r>
                  <w:r>
                    <w:rPr>
                      <w:rFonts w:hint="default" w:ascii="Times New Roman" w:hAnsi="Times New Roman" w:cs="Times New Roman"/>
                      <w:color w:val="auto"/>
                      <w:szCs w:val="21"/>
                    </w:rPr>
                    <w:t>侧</w:t>
                  </w:r>
                </w:p>
              </w:tc>
              <w:tc>
                <w:tcPr>
                  <w:tcW w:w="586" w:type="pct"/>
                  <w:noWrap w:val="0"/>
                  <w:vAlign w:val="center"/>
                </w:tcPr>
                <w:p w14:paraId="63DDEFCD">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r>
                    <w:rPr>
                      <w:rFonts w:hint="eastAsia"/>
                      <w:bCs/>
                    </w:rPr>
                    <w:t>53</w:t>
                  </w:r>
                </w:p>
              </w:tc>
              <w:tc>
                <w:tcPr>
                  <w:tcW w:w="753" w:type="pct"/>
                  <w:noWrap w:val="0"/>
                  <w:vAlign w:val="center"/>
                </w:tcPr>
                <w:p w14:paraId="032CAADA">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r>
                    <w:rPr>
                      <w:rFonts w:hint="eastAsia"/>
                      <w:bCs/>
                    </w:rPr>
                    <w:t>44</w:t>
                  </w:r>
                </w:p>
              </w:tc>
              <w:tc>
                <w:tcPr>
                  <w:tcW w:w="405" w:type="pct"/>
                  <w:vMerge w:val="restart"/>
                  <w:noWrap w:val="0"/>
                  <w:vAlign w:val="center"/>
                </w:tcPr>
                <w:p w14:paraId="743F483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1"/>
                      <w:sz w:val="21"/>
                      <w:szCs w:val="21"/>
                      <w:lang w:val="en-US" w:eastAsia="zh-CN" w:bidi="ar-SA"/>
                    </w:rPr>
                  </w:pPr>
                  <w:r>
                    <w:rPr>
                      <w:rFonts w:hint="eastAsia" w:ascii="Times New Roman" w:hAnsi="Times New Roman" w:cs="Times New Roman"/>
                      <w:color w:val="auto"/>
                      <w:kern w:val="1"/>
                      <w:szCs w:val="21"/>
                    </w:rPr>
                    <w:t>60</w:t>
                  </w:r>
                </w:p>
              </w:tc>
              <w:tc>
                <w:tcPr>
                  <w:tcW w:w="427" w:type="pct"/>
                  <w:vMerge w:val="restart"/>
                  <w:noWrap w:val="0"/>
                  <w:vAlign w:val="center"/>
                </w:tcPr>
                <w:p w14:paraId="622C1FB9">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1"/>
                      <w:sz w:val="21"/>
                      <w:szCs w:val="21"/>
                      <w:lang w:val="en-US" w:eastAsia="zh-CN" w:bidi="ar-SA"/>
                    </w:rPr>
                  </w:pPr>
                  <w:r>
                    <w:rPr>
                      <w:rFonts w:hint="eastAsia" w:ascii="Times New Roman" w:hAnsi="Times New Roman" w:cs="Times New Roman"/>
                      <w:color w:val="auto"/>
                      <w:kern w:val="1"/>
                      <w:szCs w:val="21"/>
                    </w:rPr>
                    <w:t>50</w:t>
                  </w:r>
                </w:p>
              </w:tc>
            </w:tr>
            <w:tr w14:paraId="6D37EB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86" w:type="pct"/>
                  <w:vMerge w:val="continue"/>
                  <w:noWrap w:val="0"/>
                  <w:vAlign w:val="center"/>
                </w:tcPr>
                <w:p w14:paraId="17F41754">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p>
              </w:tc>
              <w:tc>
                <w:tcPr>
                  <w:tcW w:w="507" w:type="pct"/>
                  <w:noWrap w:val="0"/>
                  <w:vAlign w:val="center"/>
                </w:tcPr>
                <w:p w14:paraId="11577BDF">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1"/>
                      <w:szCs w:val="21"/>
                    </w:rPr>
                  </w:pPr>
                  <w:r>
                    <w:rPr>
                      <w:rFonts w:hint="eastAsia" w:ascii="Times New Roman" w:hAnsi="Times New Roman" w:cs="Times New Roman"/>
                      <w:color w:val="auto"/>
                      <w:kern w:val="1"/>
                      <w:szCs w:val="21"/>
                    </w:rPr>
                    <w:t>3#</w:t>
                  </w:r>
                </w:p>
              </w:tc>
              <w:tc>
                <w:tcPr>
                  <w:tcW w:w="1534" w:type="pct"/>
                  <w:noWrap w:val="0"/>
                  <w:vAlign w:val="center"/>
                </w:tcPr>
                <w:p w14:paraId="197C2E6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1"/>
                      <w:szCs w:val="21"/>
                    </w:rPr>
                  </w:pPr>
                  <w:r>
                    <w:rPr>
                      <w:rFonts w:hint="eastAsia" w:ascii="Times New Roman" w:hAnsi="Times New Roman" w:cs="Times New Roman"/>
                      <w:color w:val="auto"/>
                      <w:szCs w:val="21"/>
                    </w:rPr>
                    <w:t>厂界西侧</w:t>
                  </w:r>
                </w:p>
              </w:tc>
              <w:tc>
                <w:tcPr>
                  <w:tcW w:w="586" w:type="pct"/>
                  <w:noWrap w:val="0"/>
                  <w:vAlign w:val="center"/>
                </w:tcPr>
                <w:p w14:paraId="2A320A96">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r>
                    <w:rPr>
                      <w:rFonts w:hint="eastAsia"/>
                      <w:bCs/>
                    </w:rPr>
                    <w:t>55</w:t>
                  </w:r>
                </w:p>
              </w:tc>
              <w:tc>
                <w:tcPr>
                  <w:tcW w:w="753" w:type="pct"/>
                  <w:noWrap w:val="0"/>
                  <w:vAlign w:val="center"/>
                </w:tcPr>
                <w:p w14:paraId="0E5D1FBE">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r>
                    <w:rPr>
                      <w:rFonts w:hint="eastAsia"/>
                      <w:bCs/>
                    </w:rPr>
                    <w:t>44</w:t>
                  </w:r>
                </w:p>
              </w:tc>
              <w:tc>
                <w:tcPr>
                  <w:tcW w:w="405" w:type="pct"/>
                  <w:vMerge w:val="continue"/>
                  <w:noWrap w:val="0"/>
                  <w:vAlign w:val="center"/>
                </w:tcPr>
                <w:p w14:paraId="73CD571E">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color w:val="auto"/>
                      <w:kern w:val="1"/>
                      <w:szCs w:val="21"/>
                    </w:rPr>
                  </w:pPr>
                </w:p>
              </w:tc>
              <w:tc>
                <w:tcPr>
                  <w:tcW w:w="427" w:type="pct"/>
                  <w:vMerge w:val="continue"/>
                  <w:noWrap w:val="0"/>
                  <w:vAlign w:val="center"/>
                </w:tcPr>
                <w:p w14:paraId="3AAE7712">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color w:val="auto"/>
                      <w:kern w:val="1"/>
                      <w:szCs w:val="21"/>
                    </w:rPr>
                  </w:pPr>
                </w:p>
              </w:tc>
            </w:tr>
            <w:tr w14:paraId="2884A5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86" w:type="pct"/>
                  <w:vMerge w:val="continue"/>
                  <w:noWrap w:val="0"/>
                  <w:vAlign w:val="center"/>
                </w:tcPr>
                <w:p w14:paraId="051AB03E">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p>
              </w:tc>
              <w:tc>
                <w:tcPr>
                  <w:tcW w:w="507" w:type="pct"/>
                  <w:noWrap w:val="0"/>
                  <w:vAlign w:val="center"/>
                </w:tcPr>
                <w:p w14:paraId="235CD275">
                  <w:pPr>
                    <w:keepNext w:val="0"/>
                    <w:keepLines w:val="0"/>
                    <w:suppressLineNumbers w:val="0"/>
                    <w:spacing w:before="0" w:beforeAutospacing="0" w:after="0" w:afterAutospacing="0"/>
                    <w:ind w:left="0" w:right="0"/>
                    <w:jc w:val="center"/>
                    <w:rPr>
                      <w:rFonts w:hint="eastAsia" w:ascii="Times New Roman" w:hAnsi="Times New Roman" w:cs="Times New Roman"/>
                      <w:color w:val="auto"/>
                      <w:kern w:val="1"/>
                      <w:szCs w:val="21"/>
                    </w:rPr>
                  </w:pPr>
                  <w:r>
                    <w:rPr>
                      <w:rFonts w:hint="eastAsia" w:ascii="Times New Roman" w:hAnsi="Times New Roman" w:cs="Times New Roman"/>
                      <w:color w:val="auto"/>
                      <w:kern w:val="1"/>
                      <w:szCs w:val="21"/>
                    </w:rPr>
                    <w:t>4#</w:t>
                  </w:r>
                </w:p>
              </w:tc>
              <w:tc>
                <w:tcPr>
                  <w:tcW w:w="1534" w:type="pct"/>
                  <w:noWrap w:val="0"/>
                  <w:vAlign w:val="center"/>
                </w:tcPr>
                <w:p w14:paraId="153B742B">
                  <w:pPr>
                    <w:keepNext w:val="0"/>
                    <w:keepLines w:val="0"/>
                    <w:suppressLineNumbers w:val="0"/>
                    <w:spacing w:before="0" w:beforeAutospacing="0" w:after="0" w:afterAutospacing="0"/>
                    <w:ind w:left="0" w:right="0"/>
                    <w:jc w:val="center"/>
                    <w:rPr>
                      <w:rFonts w:hint="eastAsia" w:ascii="Times New Roman" w:hAnsi="Times New Roman" w:cs="Times New Roman"/>
                      <w:color w:val="auto"/>
                      <w:szCs w:val="21"/>
                    </w:rPr>
                  </w:pPr>
                  <w:r>
                    <w:rPr>
                      <w:rFonts w:hint="default" w:ascii="Times New Roman" w:hAnsi="Times New Roman" w:cs="Times New Roman"/>
                      <w:color w:val="auto"/>
                      <w:szCs w:val="21"/>
                    </w:rPr>
                    <w:t>厂界</w:t>
                  </w:r>
                  <w:r>
                    <w:rPr>
                      <w:rFonts w:hint="eastAsia" w:ascii="Times New Roman" w:hAnsi="Times New Roman" w:cs="Times New Roman"/>
                      <w:color w:val="auto"/>
                      <w:szCs w:val="21"/>
                    </w:rPr>
                    <w:t>北</w:t>
                  </w:r>
                  <w:r>
                    <w:rPr>
                      <w:rFonts w:hint="default" w:ascii="Times New Roman" w:hAnsi="Times New Roman" w:cs="Times New Roman"/>
                      <w:color w:val="auto"/>
                      <w:szCs w:val="21"/>
                    </w:rPr>
                    <w:t>侧</w:t>
                  </w:r>
                </w:p>
              </w:tc>
              <w:tc>
                <w:tcPr>
                  <w:tcW w:w="586" w:type="pct"/>
                  <w:noWrap w:val="0"/>
                  <w:vAlign w:val="center"/>
                </w:tcPr>
                <w:p w14:paraId="36901DC9">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color w:val="auto"/>
                      <w:kern w:val="1"/>
                      <w:szCs w:val="21"/>
                    </w:rPr>
                  </w:pPr>
                  <w:r>
                    <w:rPr>
                      <w:rFonts w:hint="eastAsia"/>
                      <w:bCs/>
                    </w:rPr>
                    <w:t>53</w:t>
                  </w:r>
                </w:p>
              </w:tc>
              <w:tc>
                <w:tcPr>
                  <w:tcW w:w="753" w:type="pct"/>
                  <w:noWrap w:val="0"/>
                  <w:vAlign w:val="center"/>
                </w:tcPr>
                <w:p w14:paraId="1E89BD7D">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color w:val="auto"/>
                      <w:kern w:val="1"/>
                      <w:szCs w:val="21"/>
                    </w:rPr>
                  </w:pPr>
                  <w:r>
                    <w:rPr>
                      <w:rFonts w:hint="eastAsia"/>
                      <w:bCs/>
                    </w:rPr>
                    <w:t>42</w:t>
                  </w:r>
                </w:p>
              </w:tc>
              <w:tc>
                <w:tcPr>
                  <w:tcW w:w="405" w:type="pct"/>
                  <w:vMerge w:val="continue"/>
                  <w:noWrap w:val="0"/>
                  <w:vAlign w:val="center"/>
                </w:tcPr>
                <w:p w14:paraId="37DE55F7">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color w:val="auto"/>
                      <w:kern w:val="1"/>
                      <w:szCs w:val="21"/>
                    </w:rPr>
                  </w:pPr>
                </w:p>
              </w:tc>
              <w:tc>
                <w:tcPr>
                  <w:tcW w:w="427" w:type="pct"/>
                  <w:vMerge w:val="continue"/>
                  <w:noWrap w:val="0"/>
                  <w:vAlign w:val="center"/>
                </w:tcPr>
                <w:p w14:paraId="2AC07804">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color w:val="auto"/>
                      <w:kern w:val="1"/>
                      <w:szCs w:val="21"/>
                    </w:rPr>
                  </w:pPr>
                </w:p>
              </w:tc>
            </w:tr>
            <w:tr w14:paraId="782F39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86" w:type="pct"/>
                  <w:vMerge w:val="continue"/>
                  <w:noWrap w:val="0"/>
                  <w:vAlign w:val="center"/>
                </w:tcPr>
                <w:p w14:paraId="1307DBDB">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p>
              </w:tc>
              <w:tc>
                <w:tcPr>
                  <w:tcW w:w="507" w:type="pct"/>
                  <w:noWrap w:val="0"/>
                  <w:vAlign w:val="center"/>
                </w:tcPr>
                <w:p w14:paraId="4FA4D934">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1"/>
                      <w:szCs w:val="21"/>
                    </w:rPr>
                  </w:pPr>
                  <w:r>
                    <w:rPr>
                      <w:rFonts w:hint="eastAsia" w:ascii="Times New Roman" w:hAnsi="Times New Roman" w:cs="Times New Roman"/>
                      <w:color w:val="auto"/>
                      <w:kern w:val="1"/>
                      <w:szCs w:val="21"/>
                    </w:rPr>
                    <w:t>5#</w:t>
                  </w:r>
                </w:p>
              </w:tc>
              <w:tc>
                <w:tcPr>
                  <w:tcW w:w="1534" w:type="pct"/>
                  <w:noWrap w:val="0"/>
                  <w:vAlign w:val="center"/>
                </w:tcPr>
                <w:p w14:paraId="7CA42D9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1"/>
                      <w:szCs w:val="21"/>
                      <w:lang w:val="en-US" w:eastAsia="zh-CN"/>
                    </w:rPr>
                  </w:pPr>
                  <w:r>
                    <w:rPr>
                      <w:rFonts w:hint="eastAsia" w:cs="Times New Roman"/>
                      <w:color w:val="auto"/>
                      <w:szCs w:val="21"/>
                      <w:lang w:val="en-US" w:eastAsia="zh-CN"/>
                    </w:rPr>
                    <w:t>南侧五一村</w:t>
                  </w:r>
                </w:p>
              </w:tc>
              <w:tc>
                <w:tcPr>
                  <w:tcW w:w="586" w:type="pct"/>
                  <w:noWrap w:val="0"/>
                  <w:vAlign w:val="center"/>
                </w:tcPr>
                <w:p w14:paraId="33C2105C">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r>
                    <w:rPr>
                      <w:rFonts w:hint="eastAsia"/>
                      <w:bCs/>
                    </w:rPr>
                    <w:t>54</w:t>
                  </w:r>
                </w:p>
              </w:tc>
              <w:tc>
                <w:tcPr>
                  <w:tcW w:w="753" w:type="pct"/>
                  <w:noWrap w:val="0"/>
                  <w:vAlign w:val="center"/>
                </w:tcPr>
                <w:p w14:paraId="7751AB45">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color w:val="auto"/>
                      <w:kern w:val="1"/>
                      <w:szCs w:val="21"/>
                    </w:rPr>
                  </w:pPr>
                  <w:r>
                    <w:rPr>
                      <w:rFonts w:hint="eastAsia"/>
                      <w:bCs/>
                    </w:rPr>
                    <w:t>43</w:t>
                  </w:r>
                </w:p>
              </w:tc>
              <w:tc>
                <w:tcPr>
                  <w:tcW w:w="405" w:type="pct"/>
                  <w:vMerge w:val="continue"/>
                  <w:noWrap w:val="0"/>
                  <w:vAlign w:val="center"/>
                </w:tcPr>
                <w:p w14:paraId="24EAC251">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color w:val="auto"/>
                      <w:kern w:val="1"/>
                      <w:szCs w:val="21"/>
                    </w:rPr>
                  </w:pPr>
                </w:p>
              </w:tc>
              <w:tc>
                <w:tcPr>
                  <w:tcW w:w="427" w:type="pct"/>
                  <w:vMerge w:val="continue"/>
                  <w:noWrap w:val="0"/>
                  <w:vAlign w:val="center"/>
                </w:tcPr>
                <w:p w14:paraId="0E7050C7">
                  <w:pPr>
                    <w:keepNext w:val="0"/>
                    <w:keepLines w:val="0"/>
                    <w:suppressLineNumbers w:val="0"/>
                    <w:spacing w:before="0" w:beforeAutospacing="0" w:after="0" w:afterAutospacing="0" w:line="300" w:lineRule="exact"/>
                    <w:ind w:left="0" w:right="0"/>
                    <w:jc w:val="center"/>
                    <w:rPr>
                      <w:rFonts w:hint="eastAsia" w:ascii="Times New Roman" w:hAnsi="Times New Roman" w:cs="Times New Roman"/>
                      <w:color w:val="auto"/>
                      <w:kern w:val="1"/>
                      <w:szCs w:val="21"/>
                    </w:rPr>
                  </w:pPr>
                </w:p>
              </w:tc>
            </w:tr>
          </w:tbl>
          <w:p w14:paraId="0BABE565">
            <w:pPr>
              <w:keepNext/>
              <w:keepLines/>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rPr>
            </w:pPr>
            <w:r>
              <w:rPr>
                <w:rFonts w:hint="eastAsia" w:ascii="Times New Roman" w:hAnsi="Times New Roman" w:cs="Times New Roman"/>
                <w:color w:val="auto"/>
                <w:sz w:val="24"/>
              </w:rPr>
              <w:t>由监测结果可知，该区域声环境质量现状较好，项目所在地</w:t>
            </w:r>
            <w:r>
              <w:rPr>
                <w:rFonts w:hint="eastAsia" w:cs="Times New Roman"/>
                <w:color w:val="auto"/>
                <w:sz w:val="24"/>
                <w:lang w:val="en-US" w:eastAsia="zh-CN"/>
              </w:rPr>
              <w:t>南、西、北</w:t>
            </w:r>
            <w:r>
              <w:rPr>
                <w:rFonts w:hint="eastAsia" w:ascii="Times New Roman" w:hAnsi="Times New Roman" w:cs="Times New Roman"/>
                <w:color w:val="auto"/>
                <w:sz w:val="24"/>
              </w:rPr>
              <w:t>厂界</w:t>
            </w:r>
            <w:r>
              <w:rPr>
                <w:rFonts w:hint="eastAsia" w:cs="Times New Roman"/>
                <w:color w:val="auto"/>
                <w:sz w:val="24"/>
                <w:lang w:val="en-US" w:eastAsia="zh-CN"/>
              </w:rPr>
              <w:t>及南侧五一村</w:t>
            </w:r>
            <w:r>
              <w:rPr>
                <w:rFonts w:hint="eastAsia" w:ascii="Times New Roman" w:hAnsi="Times New Roman" w:cs="Times New Roman"/>
                <w:color w:val="auto"/>
                <w:sz w:val="24"/>
              </w:rPr>
              <w:t>昼夜间噪声值均能满足《声环境质量标准》</w:t>
            </w:r>
            <w:r>
              <w:rPr>
                <w:rFonts w:hint="eastAsia" w:cs="Times New Roman"/>
                <w:color w:val="auto"/>
                <w:sz w:val="24"/>
                <w:lang w:eastAsia="zh-CN"/>
              </w:rPr>
              <w:t>（</w:t>
            </w:r>
            <w:r>
              <w:rPr>
                <w:rFonts w:hint="eastAsia" w:ascii="Times New Roman" w:hAnsi="Times New Roman" w:cs="Times New Roman"/>
                <w:color w:val="auto"/>
                <w:sz w:val="24"/>
              </w:rPr>
              <w:t>GB3096-2008</w:t>
            </w:r>
            <w:r>
              <w:rPr>
                <w:rFonts w:hint="eastAsia" w:cs="Times New Roman"/>
                <w:color w:val="auto"/>
                <w:sz w:val="24"/>
                <w:lang w:eastAsia="zh-CN"/>
              </w:rPr>
              <w:t>）</w:t>
            </w:r>
            <w:r>
              <w:rPr>
                <w:rFonts w:hint="eastAsia" w:ascii="Times New Roman" w:hAnsi="Times New Roman" w:cs="Times New Roman"/>
                <w:color w:val="auto"/>
                <w:sz w:val="24"/>
              </w:rPr>
              <w:t>中2类标准要求</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项目东厂界紧邻建章路，车流量较大，昼夜噪声值满足</w:t>
            </w:r>
            <w:r>
              <w:rPr>
                <w:rFonts w:hint="eastAsia" w:ascii="Times New Roman" w:hAnsi="Times New Roman" w:cs="Times New Roman"/>
                <w:color w:val="auto"/>
                <w:sz w:val="24"/>
              </w:rPr>
              <w:t>《声环境质量标准》</w:t>
            </w:r>
            <w:r>
              <w:rPr>
                <w:rFonts w:hint="eastAsia" w:cs="Times New Roman"/>
                <w:color w:val="auto"/>
                <w:sz w:val="24"/>
                <w:lang w:eastAsia="zh-CN"/>
              </w:rPr>
              <w:t>（</w:t>
            </w:r>
            <w:r>
              <w:rPr>
                <w:rFonts w:hint="eastAsia" w:ascii="Times New Roman" w:hAnsi="Times New Roman" w:cs="Times New Roman"/>
                <w:color w:val="auto"/>
                <w:sz w:val="24"/>
              </w:rPr>
              <w:t>GB3096-2008</w:t>
            </w:r>
            <w:r>
              <w:rPr>
                <w:rFonts w:hint="eastAsia" w:cs="Times New Roman"/>
                <w:color w:val="auto"/>
                <w:sz w:val="24"/>
                <w:lang w:eastAsia="zh-CN"/>
              </w:rPr>
              <w:t>）</w:t>
            </w:r>
            <w:r>
              <w:rPr>
                <w:rFonts w:hint="eastAsia" w:ascii="Times New Roman" w:hAnsi="Times New Roman" w:cs="Times New Roman"/>
                <w:color w:val="auto"/>
                <w:sz w:val="24"/>
              </w:rPr>
              <w:t>中</w:t>
            </w:r>
            <w:r>
              <w:rPr>
                <w:rFonts w:hint="eastAsia" w:cs="Times New Roman"/>
                <w:color w:val="auto"/>
                <w:sz w:val="24"/>
                <w:lang w:val="en-US" w:eastAsia="zh-CN"/>
              </w:rPr>
              <w:t>4a类</w:t>
            </w:r>
            <w:r>
              <w:rPr>
                <w:rFonts w:hint="eastAsia" w:ascii="Times New Roman" w:hAnsi="Times New Roman" w:cs="Times New Roman"/>
                <w:color w:val="auto"/>
                <w:sz w:val="24"/>
              </w:rPr>
              <w:t>标准要求。</w:t>
            </w:r>
          </w:p>
          <w:p w14:paraId="3599B4EF">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ascii="Times New Roman" w:hAnsi="Times New Roman" w:cs="Times New Roman"/>
                <w:b/>
                <w:color w:val="auto"/>
                <w:sz w:val="24"/>
              </w:rPr>
              <w:t>3、</w:t>
            </w:r>
            <w:r>
              <w:rPr>
                <w:rFonts w:hint="eastAsia" w:cs="Times New Roman"/>
                <w:b/>
                <w:bCs/>
                <w:color w:val="auto"/>
                <w:sz w:val="24"/>
                <w:lang w:val="en-US" w:eastAsia="zh-CN"/>
              </w:rPr>
              <w:t>土壤、</w:t>
            </w:r>
            <w:r>
              <w:rPr>
                <w:rFonts w:hint="eastAsia" w:ascii="Times New Roman" w:hAnsi="Times New Roman" w:cs="Times New Roman"/>
                <w:b/>
                <w:bCs/>
                <w:color w:val="auto"/>
                <w:sz w:val="24"/>
              </w:rPr>
              <w:t>地下水环境质量现状</w:t>
            </w:r>
          </w:p>
          <w:p w14:paraId="3F665F39">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根据《建设项目环境影响报告表编制技术指南》，原则上不开展</w:t>
            </w:r>
            <w:r>
              <w:rPr>
                <w:rFonts w:hint="eastAsia" w:cs="Times New Roman"/>
                <w:color w:val="auto"/>
                <w:sz w:val="24"/>
                <w:lang w:val="en-US" w:eastAsia="zh-CN"/>
              </w:rPr>
              <w:t>土壤和</w:t>
            </w:r>
            <w:r>
              <w:rPr>
                <w:rFonts w:hint="eastAsia" w:ascii="Times New Roman" w:hAnsi="Times New Roman" w:cs="Times New Roman"/>
                <w:color w:val="auto"/>
                <w:sz w:val="24"/>
              </w:rPr>
              <w:t>地下水环境质量现状调查。并且</w:t>
            </w:r>
            <w:r>
              <w:rPr>
                <w:rFonts w:hint="default" w:ascii="宋体" w:hAnsi="宋体" w:cs="宋体"/>
                <w:color w:val="auto"/>
                <w:sz w:val="24"/>
              </w:rPr>
              <w:t>本项目主要污染物为</w:t>
            </w:r>
            <w:r>
              <w:rPr>
                <w:rFonts w:hint="eastAsia" w:ascii="宋体" w:hAnsi="宋体" w:cs="宋体"/>
                <w:color w:val="auto"/>
                <w:sz w:val="24"/>
                <w:lang w:val="en-US" w:eastAsia="zh-CN"/>
              </w:rPr>
              <w:t>非甲烷总烃</w:t>
            </w:r>
            <w:r>
              <w:rPr>
                <w:rFonts w:hint="default" w:ascii="宋体" w:hAnsi="宋体" w:cs="宋体"/>
                <w:color w:val="auto"/>
                <w:sz w:val="24"/>
              </w:rPr>
              <w:t>，建成后各生产工序位于车间内，</w:t>
            </w:r>
            <w:r>
              <w:rPr>
                <w:rFonts w:hint="eastAsia" w:ascii="宋体" w:hAnsi="宋体" w:cs="宋体"/>
                <w:color w:val="auto"/>
                <w:sz w:val="24"/>
              </w:rPr>
              <w:t>生产区</w:t>
            </w:r>
            <w:r>
              <w:rPr>
                <w:rFonts w:hint="default" w:ascii="宋体" w:hAnsi="宋体" w:cs="宋体"/>
                <w:color w:val="auto"/>
                <w:sz w:val="24"/>
              </w:rPr>
              <w:t>全部硬化，因此不对</w:t>
            </w:r>
            <w:r>
              <w:rPr>
                <w:rFonts w:hint="eastAsia" w:ascii="宋体" w:hAnsi="宋体" w:cs="宋体"/>
                <w:color w:val="auto"/>
                <w:sz w:val="24"/>
                <w:lang w:val="en-US" w:eastAsia="zh-CN"/>
              </w:rPr>
              <w:t>土壤和</w:t>
            </w:r>
            <w:r>
              <w:rPr>
                <w:rFonts w:hint="default" w:ascii="宋体" w:hAnsi="宋体" w:cs="宋体"/>
                <w:color w:val="auto"/>
                <w:sz w:val="24"/>
              </w:rPr>
              <w:t>地下水进行现状调查。</w:t>
            </w:r>
          </w:p>
          <w:p w14:paraId="659EBA18">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cs="Times New Roman"/>
                <w:b/>
                <w:bCs/>
                <w:color w:val="auto"/>
                <w:sz w:val="24"/>
              </w:rPr>
            </w:pPr>
            <w:r>
              <w:rPr>
                <w:rFonts w:hint="eastAsia" w:cs="Times New Roman"/>
                <w:b/>
                <w:bCs/>
                <w:color w:val="auto"/>
                <w:sz w:val="24"/>
                <w:lang w:val="en-US" w:eastAsia="zh-CN"/>
              </w:rPr>
              <w:t>4</w:t>
            </w:r>
            <w:r>
              <w:rPr>
                <w:rFonts w:hint="eastAsia" w:ascii="Times New Roman" w:hAnsi="Times New Roman" w:cs="Times New Roman"/>
                <w:b/>
                <w:bCs/>
                <w:color w:val="auto"/>
                <w:sz w:val="24"/>
              </w:rPr>
              <w:t>、生态</w:t>
            </w:r>
            <w:r>
              <w:rPr>
                <w:rFonts w:hint="default" w:ascii="Times New Roman" w:hAnsi="Times New Roman" w:cs="Times New Roman"/>
                <w:b/>
                <w:bCs/>
                <w:color w:val="auto"/>
                <w:sz w:val="24"/>
              </w:rPr>
              <w:t>环境质量现状</w:t>
            </w:r>
          </w:p>
          <w:p w14:paraId="32CA62F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kern w:val="0"/>
                <w:szCs w:val="21"/>
              </w:rPr>
            </w:pPr>
            <w:r>
              <w:rPr>
                <w:rFonts w:hint="eastAsia" w:ascii="Times New Roman" w:hAnsi="Times New Roman" w:cs="Times New Roman"/>
                <w:color w:val="auto"/>
                <w:sz w:val="24"/>
              </w:rPr>
              <w:t>根据《建设项目环境影响报告表编制技术指南》，本项目在现有厂区内进行扩建，无新增用地，故不进行生态现状调查。</w:t>
            </w:r>
          </w:p>
        </w:tc>
      </w:tr>
      <w:tr w14:paraId="2B7FEF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9" w:hRule="atLeast"/>
          <w:jc w:val="center"/>
        </w:trPr>
        <w:tc>
          <w:tcPr>
            <w:tcW w:w="800" w:type="dxa"/>
            <w:noWrap w:val="0"/>
            <w:vAlign w:val="center"/>
          </w:tcPr>
          <w:p w14:paraId="76427D6F">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环境</w:t>
            </w:r>
          </w:p>
          <w:p w14:paraId="2F73F650">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保护</w:t>
            </w:r>
          </w:p>
          <w:p w14:paraId="504C3D25">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目标</w:t>
            </w:r>
          </w:p>
        </w:tc>
        <w:tc>
          <w:tcPr>
            <w:tcW w:w="8190" w:type="dxa"/>
            <w:noWrap w:val="0"/>
            <w:vAlign w:val="center"/>
          </w:tcPr>
          <w:p w14:paraId="4C97EE45">
            <w:pPr>
              <w:pStyle w:val="21"/>
              <w:keepNext w:val="0"/>
              <w:keepLines w:val="0"/>
              <w:suppressLineNumbers w:val="0"/>
              <w:spacing w:before="120" w:beforeLines="50" w:beforeAutospacing="0" w:after="0" w:afterAutospacing="0" w:line="360" w:lineRule="auto"/>
              <w:ind w:left="0" w:leftChars="0" w:right="0" w:firstLine="480" w:firstLineChars="200"/>
              <w:rPr>
                <w:rFonts w:hint="default" w:ascii="Times New Roman" w:hAnsi="Times New Roman" w:cs="Times New Roman"/>
                <w:color w:val="auto"/>
                <w:sz w:val="24"/>
              </w:rPr>
            </w:pPr>
            <w:bookmarkStart w:id="9" w:name="_Hlk68125174"/>
            <w:r>
              <w:rPr>
                <w:rFonts w:hint="default" w:ascii="Times New Roman" w:hAnsi="Times New Roman" w:cs="Times New Roman"/>
                <w:color w:val="auto"/>
                <w:sz w:val="24"/>
              </w:rPr>
              <w:t>根据现场调查，拟建项目周边环境敏感点情况见表</w:t>
            </w:r>
            <w:bookmarkEnd w:id="9"/>
            <w:r>
              <w:rPr>
                <w:rFonts w:hint="default" w:ascii="Times New Roman" w:hAnsi="Times New Roman" w:cs="Times New Roman"/>
                <w:color w:val="auto"/>
                <w:sz w:val="24"/>
              </w:rPr>
              <w:t>3-</w:t>
            </w:r>
            <w:r>
              <w:rPr>
                <w:rFonts w:hint="eastAsia" w:cs="Times New Roman"/>
                <w:color w:val="auto"/>
                <w:sz w:val="24"/>
                <w:lang w:val="en-US" w:eastAsia="zh-CN"/>
              </w:rPr>
              <w:t>4</w:t>
            </w:r>
            <w:r>
              <w:rPr>
                <w:rFonts w:hint="default" w:ascii="Times New Roman" w:hAnsi="Times New Roman" w:cs="Times New Roman"/>
                <w:color w:val="auto"/>
                <w:sz w:val="24"/>
              </w:rPr>
              <w:t>。</w:t>
            </w:r>
          </w:p>
          <w:p w14:paraId="2BE8B96C">
            <w:pPr>
              <w:pStyle w:val="7"/>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表3-</w:t>
            </w:r>
            <w:r>
              <w:rPr>
                <w:rFonts w:hint="eastAsia" w:ascii="Times New Roman" w:hAnsi="Times New Roman" w:eastAsia="宋体" w:cs="Times New Roman"/>
                <w:b/>
                <w:color w:val="auto"/>
                <w:sz w:val="24"/>
                <w:lang w:val="en-US" w:eastAsia="zh-CN"/>
              </w:rPr>
              <w:t>4</w:t>
            </w:r>
            <w:r>
              <w:rPr>
                <w:rFonts w:hint="eastAsia" w:ascii="Times New Roman" w:hAnsi="Times New Roman" w:eastAsia="宋体" w:cs="Times New Roman"/>
                <w:b/>
                <w:color w:val="auto"/>
                <w:sz w:val="24"/>
              </w:rPr>
              <w:t xml:space="preserve"> </w:t>
            </w:r>
            <w:r>
              <w:rPr>
                <w:rFonts w:hint="default" w:ascii="Times New Roman" w:hAnsi="Times New Roman" w:eastAsia="宋体" w:cs="Times New Roman"/>
                <w:b/>
                <w:color w:val="auto"/>
                <w:sz w:val="24"/>
              </w:rPr>
              <w:t xml:space="preserve"> 主要环境保护目标一览表</w:t>
            </w:r>
          </w:p>
          <w:tbl>
            <w:tblPr>
              <w:tblStyle w:val="26"/>
              <w:tblW w:w="5000" w:type="pct"/>
              <w:tblInd w:w="15"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924"/>
              <w:gridCol w:w="1504"/>
              <w:gridCol w:w="876"/>
              <w:gridCol w:w="922"/>
              <w:gridCol w:w="1214"/>
              <w:gridCol w:w="2534"/>
            </w:tblGrid>
            <w:tr w14:paraId="2BAA0F3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trPr>
              <w:tc>
                <w:tcPr>
                  <w:tcW w:w="579" w:type="pct"/>
                  <w:vMerge w:val="restart"/>
                  <w:noWrap w:val="0"/>
                  <w:vAlign w:val="center"/>
                </w:tcPr>
                <w:p w14:paraId="69E39D9B">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环境要素</w:t>
                  </w:r>
                </w:p>
              </w:tc>
              <w:tc>
                <w:tcPr>
                  <w:tcW w:w="943" w:type="pct"/>
                  <w:vMerge w:val="restart"/>
                  <w:noWrap w:val="0"/>
                  <w:vAlign w:val="center"/>
                </w:tcPr>
                <w:p w14:paraId="4197CF12">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保护对象</w:t>
                  </w:r>
                </w:p>
              </w:tc>
              <w:tc>
                <w:tcPr>
                  <w:tcW w:w="1127" w:type="pct"/>
                  <w:gridSpan w:val="2"/>
                  <w:noWrap w:val="0"/>
                  <w:vAlign w:val="center"/>
                </w:tcPr>
                <w:p w14:paraId="4E03F108">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相对本项目址</w:t>
                  </w:r>
                </w:p>
              </w:tc>
              <w:tc>
                <w:tcPr>
                  <w:tcW w:w="761" w:type="pct"/>
                  <w:vMerge w:val="restart"/>
                  <w:noWrap w:val="0"/>
                  <w:vAlign w:val="center"/>
                </w:tcPr>
                <w:p w14:paraId="418459C1">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保护内容</w:t>
                  </w:r>
                </w:p>
              </w:tc>
              <w:tc>
                <w:tcPr>
                  <w:tcW w:w="1588" w:type="pct"/>
                  <w:vMerge w:val="restart"/>
                  <w:noWrap w:val="0"/>
                  <w:vAlign w:val="center"/>
                </w:tcPr>
                <w:p w14:paraId="2EC265BB">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保护目标或保护对策</w:t>
                  </w:r>
                </w:p>
              </w:tc>
            </w:tr>
            <w:tr w14:paraId="564FA43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5" w:hRule="atLeast"/>
              </w:trPr>
              <w:tc>
                <w:tcPr>
                  <w:tcW w:w="579" w:type="pct"/>
                  <w:vMerge w:val="continue"/>
                  <w:noWrap w:val="0"/>
                  <w:vAlign w:val="center"/>
                </w:tcPr>
                <w:p w14:paraId="7E8AD03E">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943" w:type="pct"/>
                  <w:vMerge w:val="continue"/>
                  <w:noWrap w:val="0"/>
                  <w:vAlign w:val="center"/>
                </w:tcPr>
                <w:p w14:paraId="20BEF5B2">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549" w:type="pct"/>
                  <w:noWrap w:val="0"/>
                  <w:vAlign w:val="center"/>
                </w:tcPr>
                <w:p w14:paraId="3FB611FF">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方位</w:t>
                  </w:r>
                </w:p>
              </w:tc>
              <w:tc>
                <w:tcPr>
                  <w:tcW w:w="578" w:type="pct"/>
                  <w:noWrap w:val="0"/>
                  <w:vAlign w:val="center"/>
                </w:tcPr>
                <w:p w14:paraId="0171E919">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距离m</w:t>
                  </w:r>
                </w:p>
              </w:tc>
              <w:tc>
                <w:tcPr>
                  <w:tcW w:w="761" w:type="pct"/>
                  <w:vMerge w:val="continue"/>
                  <w:noWrap w:val="0"/>
                  <w:vAlign w:val="center"/>
                </w:tcPr>
                <w:p w14:paraId="12F38DBC">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1588" w:type="pct"/>
                  <w:vMerge w:val="continue"/>
                  <w:noWrap w:val="0"/>
                  <w:vAlign w:val="center"/>
                </w:tcPr>
                <w:p w14:paraId="2F33EE4D">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r>
            <w:tr w14:paraId="22DF1E8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45" w:hRule="atLeast"/>
              </w:trPr>
              <w:tc>
                <w:tcPr>
                  <w:tcW w:w="579" w:type="pct"/>
                  <w:vMerge w:val="restart"/>
                  <w:noWrap w:val="0"/>
                  <w:vAlign w:val="center"/>
                </w:tcPr>
                <w:p w14:paraId="6876A7C8">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环境空气</w:t>
                  </w:r>
                </w:p>
              </w:tc>
              <w:tc>
                <w:tcPr>
                  <w:tcW w:w="943" w:type="pct"/>
                  <w:noWrap w:val="0"/>
                  <w:vAlign w:val="center"/>
                </w:tcPr>
                <w:p w14:paraId="7903D646">
                  <w:pPr>
                    <w:pStyle w:val="65"/>
                    <w:keepNext w:val="0"/>
                    <w:keepLines w:val="0"/>
                    <w:widowControl/>
                    <w:suppressLineNumbers w:val="0"/>
                    <w:kinsoku w:val="0"/>
                    <w:overflowPunct w:val="0"/>
                    <w:adjustRightInd/>
                    <w:spacing w:before="0" w:beforeAutospacing="0" w:after="0" w:afterAutospacing="0"/>
                    <w:ind w:left="0" w:right="0"/>
                    <w:textAlignment w:val="auto"/>
                    <w:rPr>
                      <w:rFonts w:hint="default" w:ascii="Times New Roman" w:hAnsi="Times New Roman" w:eastAsia="宋体" w:cs="Times New Roman"/>
                      <w:color w:val="auto"/>
                      <w:kern w:val="2"/>
                      <w:szCs w:val="21"/>
                      <w:lang w:val="en-US" w:eastAsia="zh-CN"/>
                    </w:rPr>
                  </w:pPr>
                  <w:r>
                    <w:rPr>
                      <w:rFonts w:hint="eastAsia" w:cs="Times New Roman"/>
                      <w:color w:val="auto"/>
                      <w:kern w:val="2"/>
                      <w:szCs w:val="21"/>
                      <w:lang w:val="en-US" w:eastAsia="zh-CN"/>
                    </w:rPr>
                    <w:t>陕西蓝天民航技师学院</w:t>
                  </w:r>
                </w:p>
              </w:tc>
              <w:tc>
                <w:tcPr>
                  <w:tcW w:w="549" w:type="pct"/>
                  <w:noWrap w:val="0"/>
                  <w:vAlign w:val="center"/>
                </w:tcPr>
                <w:p w14:paraId="6003FEC5">
                  <w:pPr>
                    <w:pStyle w:val="65"/>
                    <w:keepNext w:val="0"/>
                    <w:keepLines w:val="0"/>
                    <w:widowControl/>
                    <w:suppressLineNumbers w:val="0"/>
                    <w:kinsoku w:val="0"/>
                    <w:overflowPunct w:val="0"/>
                    <w:adjustRightInd/>
                    <w:spacing w:before="0" w:beforeAutospacing="0" w:after="0" w:afterAutospacing="0"/>
                    <w:ind w:left="0" w:right="0"/>
                    <w:textAlignment w:val="auto"/>
                    <w:rPr>
                      <w:rFonts w:hint="default" w:ascii="Times New Roman" w:hAnsi="Times New Roman" w:eastAsia="宋体" w:cs="Times New Roman"/>
                      <w:color w:val="auto"/>
                      <w:kern w:val="2"/>
                      <w:szCs w:val="21"/>
                      <w:lang w:val="en-US" w:eastAsia="zh-CN"/>
                    </w:rPr>
                  </w:pPr>
                  <w:r>
                    <w:rPr>
                      <w:rFonts w:hint="eastAsia" w:cs="Times New Roman"/>
                      <w:color w:val="auto"/>
                      <w:kern w:val="2"/>
                      <w:szCs w:val="21"/>
                      <w:lang w:val="en-US" w:eastAsia="zh-CN"/>
                    </w:rPr>
                    <w:t>NW</w:t>
                  </w:r>
                </w:p>
              </w:tc>
              <w:tc>
                <w:tcPr>
                  <w:tcW w:w="578" w:type="pct"/>
                  <w:noWrap w:val="0"/>
                  <w:vAlign w:val="center"/>
                </w:tcPr>
                <w:p w14:paraId="7C02C14B">
                  <w:pPr>
                    <w:pStyle w:val="65"/>
                    <w:keepNext w:val="0"/>
                    <w:keepLines w:val="0"/>
                    <w:widowControl/>
                    <w:suppressLineNumbers w:val="0"/>
                    <w:kinsoku w:val="0"/>
                    <w:overflowPunct w:val="0"/>
                    <w:adjustRightInd/>
                    <w:spacing w:before="0" w:beforeAutospacing="0" w:after="0" w:afterAutospacing="0"/>
                    <w:ind w:left="0" w:right="0"/>
                    <w:textAlignment w:val="auto"/>
                    <w:rPr>
                      <w:rFonts w:hint="default" w:ascii="Times New Roman" w:hAnsi="Times New Roman" w:eastAsia="宋体" w:cs="Times New Roman"/>
                      <w:color w:val="auto"/>
                      <w:kern w:val="2"/>
                      <w:szCs w:val="21"/>
                      <w:lang w:val="en-US" w:eastAsia="zh-CN"/>
                    </w:rPr>
                  </w:pPr>
                  <w:r>
                    <w:rPr>
                      <w:rFonts w:hint="eastAsia" w:cs="Times New Roman"/>
                      <w:color w:val="auto"/>
                      <w:kern w:val="2"/>
                      <w:szCs w:val="21"/>
                      <w:lang w:val="en-US" w:eastAsia="zh-CN"/>
                    </w:rPr>
                    <w:t>322</w:t>
                  </w:r>
                </w:p>
              </w:tc>
              <w:tc>
                <w:tcPr>
                  <w:tcW w:w="761" w:type="pct"/>
                  <w:vMerge w:val="restart"/>
                  <w:noWrap w:val="0"/>
                  <w:vAlign w:val="center"/>
                </w:tcPr>
                <w:p w14:paraId="67A90474">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rPr>
                    <w:t>环境空气</w:t>
                  </w:r>
                </w:p>
              </w:tc>
              <w:tc>
                <w:tcPr>
                  <w:tcW w:w="1588" w:type="pct"/>
                  <w:vMerge w:val="restart"/>
                  <w:noWrap w:val="0"/>
                  <w:vAlign w:val="center"/>
                </w:tcPr>
                <w:p w14:paraId="327EB82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《环境空气质量标准》（GB3095-2012）二级标准 </w:t>
                  </w:r>
                </w:p>
              </w:tc>
            </w:tr>
            <w:tr w14:paraId="764B089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45" w:hRule="atLeast"/>
              </w:trPr>
              <w:tc>
                <w:tcPr>
                  <w:tcW w:w="579" w:type="pct"/>
                  <w:vMerge w:val="continue"/>
                  <w:noWrap w:val="0"/>
                  <w:vAlign w:val="center"/>
                </w:tcPr>
                <w:p w14:paraId="1A5EDD2F">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943" w:type="pct"/>
                  <w:noWrap w:val="0"/>
                  <w:vAlign w:val="center"/>
                </w:tcPr>
                <w:p w14:paraId="511DEACE">
                  <w:pPr>
                    <w:pStyle w:val="65"/>
                    <w:keepNext w:val="0"/>
                    <w:keepLines w:val="0"/>
                    <w:widowControl/>
                    <w:suppressLineNumbers w:val="0"/>
                    <w:kinsoku w:val="0"/>
                    <w:overflowPunct w:val="0"/>
                    <w:adjustRightInd/>
                    <w:spacing w:before="0" w:beforeAutospacing="0" w:after="0" w:afterAutospacing="0"/>
                    <w:ind w:left="0" w:right="0"/>
                    <w:textAlignment w:val="auto"/>
                    <w:rPr>
                      <w:rFonts w:hint="default" w:ascii="Times New Roman" w:hAnsi="Times New Roman" w:eastAsia="宋体" w:cs="Times New Roman"/>
                      <w:color w:val="auto"/>
                      <w:kern w:val="2"/>
                      <w:szCs w:val="21"/>
                      <w:lang w:val="en-US" w:eastAsia="zh-CN"/>
                    </w:rPr>
                  </w:pPr>
                  <w:r>
                    <w:rPr>
                      <w:rFonts w:hint="eastAsia" w:cs="Times New Roman"/>
                      <w:color w:val="auto"/>
                      <w:kern w:val="2"/>
                      <w:szCs w:val="21"/>
                      <w:lang w:val="en-US" w:eastAsia="zh-CN"/>
                    </w:rPr>
                    <w:t>沣东发展集团</w:t>
                  </w:r>
                </w:p>
              </w:tc>
              <w:tc>
                <w:tcPr>
                  <w:tcW w:w="549" w:type="pct"/>
                  <w:noWrap w:val="0"/>
                  <w:vAlign w:val="center"/>
                </w:tcPr>
                <w:p w14:paraId="5E2D8C07">
                  <w:pPr>
                    <w:pStyle w:val="65"/>
                    <w:keepNext w:val="0"/>
                    <w:keepLines w:val="0"/>
                    <w:widowControl/>
                    <w:suppressLineNumbers w:val="0"/>
                    <w:kinsoku w:val="0"/>
                    <w:overflowPunct w:val="0"/>
                    <w:adjustRightInd/>
                    <w:spacing w:before="0" w:beforeAutospacing="0" w:after="0" w:afterAutospacing="0"/>
                    <w:ind w:left="0" w:right="0"/>
                    <w:textAlignment w:val="auto"/>
                    <w:rPr>
                      <w:rFonts w:hint="default" w:ascii="Times New Roman" w:hAnsi="Times New Roman" w:eastAsia="宋体" w:cs="Times New Roman"/>
                      <w:color w:val="auto"/>
                      <w:kern w:val="2"/>
                      <w:szCs w:val="21"/>
                      <w:lang w:val="en-US" w:eastAsia="zh-CN"/>
                    </w:rPr>
                  </w:pPr>
                  <w:r>
                    <w:rPr>
                      <w:rFonts w:hint="eastAsia" w:cs="Times New Roman"/>
                      <w:color w:val="auto"/>
                      <w:kern w:val="2"/>
                      <w:szCs w:val="21"/>
                      <w:lang w:val="en-US" w:eastAsia="zh-CN"/>
                    </w:rPr>
                    <w:t>N</w:t>
                  </w:r>
                </w:p>
              </w:tc>
              <w:tc>
                <w:tcPr>
                  <w:tcW w:w="578" w:type="pct"/>
                  <w:noWrap w:val="0"/>
                  <w:vAlign w:val="center"/>
                </w:tcPr>
                <w:p w14:paraId="22CFC108">
                  <w:pPr>
                    <w:pStyle w:val="65"/>
                    <w:keepNext w:val="0"/>
                    <w:keepLines w:val="0"/>
                    <w:widowControl/>
                    <w:suppressLineNumbers w:val="0"/>
                    <w:kinsoku w:val="0"/>
                    <w:overflowPunct w:val="0"/>
                    <w:adjustRightInd/>
                    <w:spacing w:before="0" w:beforeAutospacing="0" w:after="0" w:afterAutospacing="0"/>
                    <w:ind w:left="0" w:right="0"/>
                    <w:textAlignment w:val="auto"/>
                    <w:rPr>
                      <w:rFonts w:hint="default" w:ascii="Times New Roman" w:hAnsi="Times New Roman" w:eastAsia="宋体" w:cs="Times New Roman"/>
                      <w:color w:val="auto"/>
                      <w:kern w:val="2"/>
                      <w:szCs w:val="21"/>
                      <w:lang w:val="en-US" w:eastAsia="zh-CN"/>
                    </w:rPr>
                  </w:pPr>
                  <w:r>
                    <w:rPr>
                      <w:rFonts w:hint="eastAsia" w:cs="Times New Roman"/>
                      <w:color w:val="auto"/>
                      <w:kern w:val="2"/>
                      <w:szCs w:val="21"/>
                      <w:lang w:val="en-US" w:eastAsia="zh-CN"/>
                    </w:rPr>
                    <w:t>190</w:t>
                  </w:r>
                </w:p>
              </w:tc>
              <w:tc>
                <w:tcPr>
                  <w:tcW w:w="761" w:type="pct"/>
                  <w:vMerge w:val="continue"/>
                  <w:noWrap w:val="0"/>
                  <w:vAlign w:val="center"/>
                </w:tcPr>
                <w:p w14:paraId="196E496F">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1588" w:type="pct"/>
                  <w:vMerge w:val="continue"/>
                  <w:noWrap w:val="0"/>
                  <w:vAlign w:val="center"/>
                </w:tcPr>
                <w:p w14:paraId="02A29F5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43F6017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518" w:hRule="atLeast"/>
              </w:trPr>
              <w:tc>
                <w:tcPr>
                  <w:tcW w:w="579" w:type="pct"/>
                  <w:vMerge w:val="continue"/>
                  <w:noWrap w:val="0"/>
                  <w:vAlign w:val="center"/>
                </w:tcPr>
                <w:p w14:paraId="7DB2CD28">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943" w:type="pct"/>
                  <w:noWrap w:val="0"/>
                  <w:vAlign w:val="center"/>
                </w:tcPr>
                <w:p w14:paraId="603DF883">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双凤幼儿园</w:t>
                  </w:r>
                </w:p>
              </w:tc>
              <w:tc>
                <w:tcPr>
                  <w:tcW w:w="549" w:type="pct"/>
                  <w:noWrap w:val="0"/>
                  <w:vAlign w:val="center"/>
                </w:tcPr>
                <w:p w14:paraId="27302017">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NE</w:t>
                  </w:r>
                </w:p>
              </w:tc>
              <w:tc>
                <w:tcPr>
                  <w:tcW w:w="578" w:type="pct"/>
                  <w:noWrap w:val="0"/>
                  <w:vAlign w:val="center"/>
                </w:tcPr>
                <w:p w14:paraId="3995B7FC">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400</w:t>
                  </w:r>
                </w:p>
              </w:tc>
              <w:tc>
                <w:tcPr>
                  <w:tcW w:w="761" w:type="pct"/>
                  <w:vMerge w:val="continue"/>
                  <w:noWrap w:val="0"/>
                  <w:vAlign w:val="center"/>
                </w:tcPr>
                <w:p w14:paraId="659944C6">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1588" w:type="pct"/>
                  <w:vMerge w:val="continue"/>
                  <w:noWrap w:val="0"/>
                  <w:vAlign w:val="center"/>
                </w:tcPr>
                <w:p w14:paraId="2B6C63D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426841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45" w:hRule="atLeast"/>
              </w:trPr>
              <w:tc>
                <w:tcPr>
                  <w:tcW w:w="579" w:type="pct"/>
                  <w:vMerge w:val="continue"/>
                  <w:noWrap w:val="0"/>
                  <w:vAlign w:val="center"/>
                </w:tcPr>
                <w:p w14:paraId="527E42FA">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943" w:type="pct"/>
                  <w:noWrap w:val="0"/>
                  <w:vAlign w:val="center"/>
                </w:tcPr>
                <w:p w14:paraId="3E99ACAE">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未来星幼儿园</w:t>
                  </w:r>
                </w:p>
              </w:tc>
              <w:tc>
                <w:tcPr>
                  <w:tcW w:w="549" w:type="pct"/>
                  <w:noWrap w:val="0"/>
                  <w:vAlign w:val="center"/>
                </w:tcPr>
                <w:p w14:paraId="204C4B7A">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NE</w:t>
                  </w:r>
                </w:p>
              </w:tc>
              <w:tc>
                <w:tcPr>
                  <w:tcW w:w="578" w:type="pct"/>
                  <w:noWrap w:val="0"/>
                  <w:vAlign w:val="center"/>
                </w:tcPr>
                <w:p w14:paraId="2FFD7732">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270</w:t>
                  </w:r>
                </w:p>
              </w:tc>
              <w:tc>
                <w:tcPr>
                  <w:tcW w:w="761" w:type="pct"/>
                  <w:vMerge w:val="continue"/>
                  <w:noWrap w:val="0"/>
                  <w:vAlign w:val="center"/>
                </w:tcPr>
                <w:p w14:paraId="291717F0">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1588" w:type="pct"/>
                  <w:vMerge w:val="continue"/>
                  <w:noWrap w:val="0"/>
                  <w:vAlign w:val="center"/>
                </w:tcPr>
                <w:p w14:paraId="190F5BE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AB019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45" w:hRule="atLeast"/>
              </w:trPr>
              <w:tc>
                <w:tcPr>
                  <w:tcW w:w="579" w:type="pct"/>
                  <w:vMerge w:val="continue"/>
                  <w:noWrap w:val="0"/>
                  <w:vAlign w:val="center"/>
                </w:tcPr>
                <w:p w14:paraId="3DB56103">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943" w:type="pct"/>
                  <w:noWrap w:val="0"/>
                  <w:vAlign w:val="center"/>
                </w:tcPr>
                <w:p w14:paraId="17AA7708">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cs="Times New Roman"/>
                      <w:color w:val="auto"/>
                      <w:kern w:val="2"/>
                      <w:szCs w:val="21"/>
                      <w:lang w:val="en-US" w:eastAsia="zh-CN"/>
                    </w:rPr>
                  </w:pPr>
                  <w:r>
                    <w:rPr>
                      <w:rFonts w:hint="eastAsia" w:cs="Times New Roman"/>
                      <w:color w:val="auto"/>
                      <w:kern w:val="2"/>
                      <w:szCs w:val="21"/>
                      <w:lang w:val="en-US" w:eastAsia="zh-CN"/>
                    </w:rPr>
                    <w:t>双凤村</w:t>
                  </w:r>
                </w:p>
              </w:tc>
              <w:tc>
                <w:tcPr>
                  <w:tcW w:w="549" w:type="pct"/>
                  <w:noWrap w:val="0"/>
                  <w:vAlign w:val="center"/>
                </w:tcPr>
                <w:p w14:paraId="38EB700E">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cs="Times New Roman"/>
                      <w:color w:val="auto"/>
                      <w:kern w:val="2"/>
                      <w:szCs w:val="21"/>
                      <w:lang w:val="en-US" w:eastAsia="zh-CN"/>
                    </w:rPr>
                  </w:pPr>
                  <w:r>
                    <w:rPr>
                      <w:rFonts w:hint="eastAsia" w:cs="Times New Roman"/>
                      <w:color w:val="auto"/>
                      <w:kern w:val="2"/>
                      <w:szCs w:val="21"/>
                      <w:lang w:val="en-US" w:eastAsia="zh-CN"/>
                    </w:rPr>
                    <w:t>E</w:t>
                  </w:r>
                </w:p>
              </w:tc>
              <w:tc>
                <w:tcPr>
                  <w:tcW w:w="578" w:type="pct"/>
                  <w:noWrap w:val="0"/>
                  <w:vAlign w:val="center"/>
                </w:tcPr>
                <w:p w14:paraId="2A049099">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cs="Times New Roman"/>
                      <w:color w:val="auto"/>
                      <w:kern w:val="2"/>
                      <w:szCs w:val="21"/>
                      <w:lang w:val="en-US" w:eastAsia="zh-CN"/>
                    </w:rPr>
                  </w:pPr>
                  <w:r>
                    <w:rPr>
                      <w:rFonts w:hint="eastAsia" w:cs="Times New Roman"/>
                      <w:color w:val="auto"/>
                      <w:kern w:val="2"/>
                      <w:szCs w:val="21"/>
                      <w:lang w:val="en-US" w:eastAsia="zh-CN"/>
                    </w:rPr>
                    <w:t>100</w:t>
                  </w:r>
                </w:p>
              </w:tc>
              <w:tc>
                <w:tcPr>
                  <w:tcW w:w="761" w:type="pct"/>
                  <w:vMerge w:val="continue"/>
                  <w:noWrap w:val="0"/>
                  <w:vAlign w:val="center"/>
                </w:tcPr>
                <w:p w14:paraId="0A1FDB64">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1588" w:type="pct"/>
                  <w:vMerge w:val="continue"/>
                  <w:noWrap w:val="0"/>
                  <w:vAlign w:val="center"/>
                </w:tcPr>
                <w:p w14:paraId="0921479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7D35E67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45" w:hRule="atLeast"/>
              </w:trPr>
              <w:tc>
                <w:tcPr>
                  <w:tcW w:w="579" w:type="pct"/>
                  <w:vMerge w:val="continue"/>
                  <w:noWrap w:val="0"/>
                  <w:vAlign w:val="center"/>
                </w:tcPr>
                <w:p w14:paraId="1699E26A">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943" w:type="pct"/>
                  <w:noWrap w:val="0"/>
                  <w:vAlign w:val="center"/>
                </w:tcPr>
                <w:p w14:paraId="4B6DC305">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沣东新城五一小学</w:t>
                  </w:r>
                </w:p>
              </w:tc>
              <w:tc>
                <w:tcPr>
                  <w:tcW w:w="549" w:type="pct"/>
                  <w:noWrap w:val="0"/>
                  <w:vAlign w:val="center"/>
                </w:tcPr>
                <w:p w14:paraId="14C6A6E6">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S</w:t>
                  </w:r>
                </w:p>
              </w:tc>
              <w:tc>
                <w:tcPr>
                  <w:tcW w:w="578" w:type="pct"/>
                  <w:noWrap w:val="0"/>
                  <w:vAlign w:val="center"/>
                </w:tcPr>
                <w:p w14:paraId="5D84F6DF">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260</w:t>
                  </w:r>
                </w:p>
              </w:tc>
              <w:tc>
                <w:tcPr>
                  <w:tcW w:w="761" w:type="pct"/>
                  <w:vMerge w:val="continue"/>
                  <w:noWrap w:val="0"/>
                  <w:vAlign w:val="center"/>
                </w:tcPr>
                <w:p w14:paraId="068F0FA7">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1588" w:type="pct"/>
                  <w:vMerge w:val="continue"/>
                  <w:noWrap w:val="0"/>
                  <w:vAlign w:val="center"/>
                </w:tcPr>
                <w:p w14:paraId="0BADCD0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46587C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45" w:hRule="atLeast"/>
              </w:trPr>
              <w:tc>
                <w:tcPr>
                  <w:tcW w:w="579" w:type="pct"/>
                  <w:vMerge w:val="continue"/>
                  <w:noWrap w:val="0"/>
                  <w:vAlign w:val="center"/>
                </w:tcPr>
                <w:p w14:paraId="40DAA94A">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943" w:type="pct"/>
                  <w:noWrap w:val="0"/>
                  <w:vAlign w:val="center"/>
                </w:tcPr>
                <w:p w14:paraId="2C43EF5E">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五一村</w:t>
                  </w:r>
                </w:p>
              </w:tc>
              <w:tc>
                <w:tcPr>
                  <w:tcW w:w="549" w:type="pct"/>
                  <w:noWrap w:val="0"/>
                  <w:vAlign w:val="center"/>
                </w:tcPr>
                <w:p w14:paraId="66309BDC">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S</w:t>
                  </w:r>
                </w:p>
              </w:tc>
              <w:tc>
                <w:tcPr>
                  <w:tcW w:w="578" w:type="pct"/>
                  <w:noWrap w:val="0"/>
                  <w:vAlign w:val="center"/>
                </w:tcPr>
                <w:p w14:paraId="1A539B9A">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紧邻</w:t>
                  </w:r>
                </w:p>
              </w:tc>
              <w:tc>
                <w:tcPr>
                  <w:tcW w:w="761" w:type="pct"/>
                  <w:vMerge w:val="continue"/>
                  <w:noWrap w:val="0"/>
                  <w:vAlign w:val="center"/>
                </w:tcPr>
                <w:p w14:paraId="53CA5757">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1588" w:type="pct"/>
                  <w:vMerge w:val="continue"/>
                  <w:noWrap w:val="0"/>
                  <w:vAlign w:val="center"/>
                </w:tcPr>
                <w:p w14:paraId="4D1CCF3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75B468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45" w:hRule="atLeast"/>
              </w:trPr>
              <w:tc>
                <w:tcPr>
                  <w:tcW w:w="579" w:type="pct"/>
                  <w:vMerge w:val="continue"/>
                  <w:noWrap w:val="0"/>
                  <w:vAlign w:val="center"/>
                </w:tcPr>
                <w:p w14:paraId="1773D894">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943" w:type="pct"/>
                  <w:noWrap w:val="0"/>
                  <w:vAlign w:val="center"/>
                </w:tcPr>
                <w:p w14:paraId="59463E18">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高堡子村</w:t>
                  </w:r>
                </w:p>
              </w:tc>
              <w:tc>
                <w:tcPr>
                  <w:tcW w:w="549" w:type="pct"/>
                  <w:noWrap w:val="0"/>
                  <w:vAlign w:val="center"/>
                </w:tcPr>
                <w:p w14:paraId="4861729E">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W</w:t>
                  </w:r>
                </w:p>
              </w:tc>
              <w:tc>
                <w:tcPr>
                  <w:tcW w:w="578" w:type="pct"/>
                  <w:noWrap w:val="0"/>
                  <w:vAlign w:val="center"/>
                </w:tcPr>
                <w:p w14:paraId="3824C1CA">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180</w:t>
                  </w:r>
                </w:p>
              </w:tc>
              <w:tc>
                <w:tcPr>
                  <w:tcW w:w="761" w:type="pct"/>
                  <w:vMerge w:val="continue"/>
                  <w:noWrap w:val="0"/>
                  <w:vAlign w:val="center"/>
                </w:tcPr>
                <w:p w14:paraId="41FBB43E">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1588" w:type="pct"/>
                  <w:vMerge w:val="continue"/>
                  <w:noWrap w:val="0"/>
                  <w:vAlign w:val="center"/>
                </w:tcPr>
                <w:p w14:paraId="7961C13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513234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445" w:hRule="atLeast"/>
              </w:trPr>
              <w:tc>
                <w:tcPr>
                  <w:tcW w:w="579" w:type="pct"/>
                  <w:vMerge w:val="continue"/>
                  <w:noWrap w:val="0"/>
                  <w:vAlign w:val="center"/>
                </w:tcPr>
                <w:p w14:paraId="1C0948F6">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943" w:type="pct"/>
                  <w:noWrap w:val="0"/>
                  <w:vAlign w:val="center"/>
                </w:tcPr>
                <w:p w14:paraId="476DABCD">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汉建章宫遗址</w:t>
                  </w:r>
                </w:p>
              </w:tc>
              <w:tc>
                <w:tcPr>
                  <w:tcW w:w="549" w:type="pct"/>
                  <w:noWrap w:val="0"/>
                  <w:vAlign w:val="center"/>
                </w:tcPr>
                <w:p w14:paraId="11C7C448">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SW</w:t>
                  </w:r>
                </w:p>
              </w:tc>
              <w:tc>
                <w:tcPr>
                  <w:tcW w:w="578" w:type="pct"/>
                  <w:noWrap w:val="0"/>
                  <w:vAlign w:val="center"/>
                </w:tcPr>
                <w:p w14:paraId="00D37060">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Cs w:val="21"/>
                      <w:lang w:val="en-US" w:eastAsia="zh-CN"/>
                    </w:rPr>
                    <w:t>250</w:t>
                  </w:r>
                </w:p>
              </w:tc>
              <w:tc>
                <w:tcPr>
                  <w:tcW w:w="761" w:type="pct"/>
                  <w:vMerge w:val="continue"/>
                  <w:noWrap w:val="0"/>
                  <w:vAlign w:val="center"/>
                </w:tcPr>
                <w:p w14:paraId="78CE76DC">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p>
              </w:tc>
              <w:tc>
                <w:tcPr>
                  <w:tcW w:w="1588" w:type="pct"/>
                  <w:vMerge w:val="continue"/>
                  <w:noWrap w:val="0"/>
                  <w:vAlign w:val="center"/>
                </w:tcPr>
                <w:p w14:paraId="0DA0AA9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5B85D8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682" w:hRule="atLeast"/>
              </w:trPr>
              <w:tc>
                <w:tcPr>
                  <w:tcW w:w="579" w:type="pct"/>
                  <w:noWrap w:val="0"/>
                  <w:vAlign w:val="center"/>
                </w:tcPr>
                <w:p w14:paraId="08869F2D">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环境噪声</w:t>
                  </w:r>
                </w:p>
              </w:tc>
              <w:tc>
                <w:tcPr>
                  <w:tcW w:w="943" w:type="pct"/>
                  <w:noWrap w:val="0"/>
                  <w:vAlign w:val="center"/>
                </w:tcPr>
                <w:p w14:paraId="4781B589">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cs="Times New Roman"/>
                      <w:color w:val="auto"/>
                      <w:kern w:val="2"/>
                      <w:szCs w:val="21"/>
                    </w:rPr>
                  </w:pPr>
                  <w:r>
                    <w:rPr>
                      <w:rFonts w:hint="eastAsia" w:cs="Times New Roman"/>
                      <w:color w:val="auto"/>
                      <w:kern w:val="2"/>
                      <w:szCs w:val="21"/>
                      <w:lang w:val="en-US" w:eastAsia="zh-CN"/>
                    </w:rPr>
                    <w:t>五一村</w:t>
                  </w:r>
                </w:p>
              </w:tc>
              <w:tc>
                <w:tcPr>
                  <w:tcW w:w="549" w:type="pct"/>
                  <w:noWrap w:val="0"/>
                  <w:vAlign w:val="center"/>
                </w:tcPr>
                <w:p w14:paraId="5B281C6E">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cs="Times New Roman"/>
                      <w:color w:val="auto"/>
                      <w:kern w:val="2"/>
                      <w:szCs w:val="21"/>
                    </w:rPr>
                  </w:pPr>
                  <w:r>
                    <w:rPr>
                      <w:rFonts w:hint="eastAsia" w:cs="Times New Roman"/>
                      <w:color w:val="auto"/>
                      <w:kern w:val="2"/>
                      <w:szCs w:val="21"/>
                      <w:lang w:val="en-US" w:eastAsia="zh-CN"/>
                    </w:rPr>
                    <w:t>S</w:t>
                  </w:r>
                </w:p>
              </w:tc>
              <w:tc>
                <w:tcPr>
                  <w:tcW w:w="578" w:type="pct"/>
                  <w:noWrap w:val="0"/>
                  <w:vAlign w:val="center"/>
                </w:tcPr>
                <w:p w14:paraId="158B445A">
                  <w:pPr>
                    <w:pStyle w:val="65"/>
                    <w:keepNext w:val="0"/>
                    <w:keepLines w:val="0"/>
                    <w:widowControl/>
                    <w:suppressLineNumbers w:val="0"/>
                    <w:kinsoku w:val="0"/>
                    <w:overflowPunct w:val="0"/>
                    <w:adjustRightInd/>
                    <w:spacing w:before="0" w:beforeAutospacing="0" w:after="0" w:afterAutospacing="0"/>
                    <w:ind w:left="0" w:leftChars="0" w:right="0" w:rightChars="0"/>
                    <w:textAlignment w:val="auto"/>
                    <w:rPr>
                      <w:rFonts w:hint="default" w:ascii="Times New Roman" w:hAnsi="Times New Roman" w:cs="Times New Roman"/>
                      <w:color w:val="auto"/>
                      <w:kern w:val="2"/>
                      <w:szCs w:val="21"/>
                    </w:rPr>
                  </w:pPr>
                  <w:r>
                    <w:rPr>
                      <w:rFonts w:hint="eastAsia" w:cs="Times New Roman"/>
                      <w:color w:val="auto"/>
                      <w:kern w:val="2"/>
                      <w:szCs w:val="21"/>
                      <w:lang w:val="en-US" w:eastAsia="zh-CN"/>
                    </w:rPr>
                    <w:t>紧邻</w:t>
                  </w:r>
                </w:p>
              </w:tc>
              <w:tc>
                <w:tcPr>
                  <w:tcW w:w="761" w:type="pct"/>
                  <w:noWrap w:val="0"/>
                  <w:vAlign w:val="center"/>
                </w:tcPr>
                <w:p w14:paraId="1E2B84D3">
                  <w:pPr>
                    <w:keepNext w:val="0"/>
                    <w:keepLines w:val="0"/>
                    <w:suppressLineNumbers w:val="0"/>
                    <w:kinsoku w:val="0"/>
                    <w:overflowPunct w:val="0"/>
                    <w:autoSpaceDE w:val="0"/>
                    <w:autoSpaceDN w:val="0"/>
                    <w:spacing w:before="0" w:beforeAutospacing="0" w:after="0" w:afterAutospacing="0"/>
                    <w:ind w:left="0" w:right="0"/>
                    <w:jc w:val="center"/>
                    <w:rPr>
                      <w:rFonts w:hint="eastAsia" w:ascii="Times New Roman" w:hAnsi="Times New Roman" w:cs="Times New Roman"/>
                      <w:color w:val="auto"/>
                      <w:szCs w:val="21"/>
                    </w:rPr>
                  </w:pPr>
                  <w:r>
                    <w:rPr>
                      <w:rFonts w:hint="eastAsia" w:ascii="Times New Roman" w:hAnsi="Times New Roman" w:cs="Times New Roman"/>
                      <w:color w:val="auto"/>
                      <w:szCs w:val="21"/>
                    </w:rPr>
                    <w:t>声环境</w:t>
                  </w:r>
                </w:p>
              </w:tc>
              <w:tc>
                <w:tcPr>
                  <w:tcW w:w="1588" w:type="pct"/>
                  <w:noWrap w:val="0"/>
                  <w:vAlign w:val="center"/>
                </w:tcPr>
                <w:p w14:paraId="164C03D5">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《声环境质量标准》</w:t>
                  </w:r>
                </w:p>
                <w:p w14:paraId="0F77EB30">
                  <w:pPr>
                    <w:keepNext w:val="0"/>
                    <w:keepLines w:val="0"/>
                    <w:suppressLineNumbers w:val="0"/>
                    <w:kinsoku w:val="0"/>
                    <w:overflowPunct w:val="0"/>
                    <w:autoSpaceDE w:val="0"/>
                    <w:autoSpaceDN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（GB3096-2008）2类标准</w:t>
                  </w:r>
                </w:p>
              </w:tc>
            </w:tr>
          </w:tbl>
          <w:p w14:paraId="02FDD82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rPr>
            </w:pPr>
          </w:p>
        </w:tc>
      </w:tr>
      <w:tr w14:paraId="7C9D5B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00" w:type="dxa"/>
            <w:noWrap w:val="0"/>
            <w:tcMar>
              <w:left w:w="28" w:type="dxa"/>
              <w:right w:w="28" w:type="dxa"/>
            </w:tcMar>
            <w:vAlign w:val="center"/>
          </w:tcPr>
          <w:p w14:paraId="6A027124">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污染</w:t>
            </w:r>
          </w:p>
          <w:p w14:paraId="21214E63">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物排</w:t>
            </w:r>
          </w:p>
          <w:p w14:paraId="490B663E">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放控</w:t>
            </w:r>
          </w:p>
          <w:p w14:paraId="74C837F0">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制标</w:t>
            </w:r>
          </w:p>
          <w:p w14:paraId="771EB701">
            <w:pPr>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kern w:val="0"/>
                <w:szCs w:val="21"/>
              </w:rPr>
            </w:pPr>
            <w:r>
              <w:rPr>
                <w:rFonts w:hint="eastAsia" w:ascii="宋体" w:hAnsi="宋体" w:cs="宋体"/>
                <w:color w:val="auto"/>
                <w:kern w:val="0"/>
                <w:szCs w:val="21"/>
              </w:rPr>
              <w:t>准</w:t>
            </w:r>
          </w:p>
        </w:tc>
        <w:tc>
          <w:tcPr>
            <w:tcW w:w="8190" w:type="dxa"/>
            <w:noWrap w:val="0"/>
            <w:vAlign w:val="center"/>
          </w:tcPr>
          <w:p w14:paraId="24109450">
            <w:pPr>
              <w:keepNext w:val="0"/>
              <w:keepLines w:val="0"/>
              <w:widowControl/>
              <w:numPr>
                <w:ilvl w:val="0"/>
                <w:numId w:val="11"/>
              </w:numPr>
              <w:suppressLineNumbers w:val="0"/>
              <w:spacing w:before="0" w:beforeAutospacing="0" w:after="0" w:afterAutospacing="0" w:line="360" w:lineRule="auto"/>
              <w:ind w:left="0" w:right="0" w:firstLine="480" w:firstLineChars="200"/>
              <w:rPr>
                <w:rFonts w:hint="eastAsia" w:cs="Times New Roman"/>
                <w:color w:val="auto"/>
                <w:sz w:val="24"/>
                <w:lang w:val="en-US" w:eastAsia="zh-CN"/>
              </w:rPr>
            </w:pPr>
            <w:r>
              <w:rPr>
                <w:rFonts w:hint="eastAsia" w:ascii="Times New Roman" w:hAnsi="Times New Roman" w:cs="Times New Roman"/>
                <w:color w:val="auto"/>
                <w:sz w:val="24"/>
              </w:rPr>
              <w:t>废气：运营期</w:t>
            </w:r>
            <w:r>
              <w:rPr>
                <w:rFonts w:hint="eastAsia" w:cs="Times New Roman"/>
                <w:color w:val="auto"/>
                <w:sz w:val="24"/>
                <w:lang w:val="en-US" w:eastAsia="zh-CN"/>
              </w:rPr>
              <w:t>非甲烷总烃排放执行《挥发性有机物排放控制标准》（DB61/T1061-2017）中相关浓度限值。食堂油烟执行《饮食业油烟排放标准（试行）》（GB18483-2001）中的限值要求。</w:t>
            </w:r>
          </w:p>
          <w:p w14:paraId="7FC29BE3">
            <w:pPr>
              <w:pStyle w:val="2"/>
              <w:keepNext w:val="0"/>
              <w:keepLines w:val="0"/>
              <w:numPr>
                <w:ilvl w:val="0"/>
                <w:numId w:val="0"/>
              </w:numPr>
              <w:suppressLineNumbers w:val="0"/>
              <w:spacing w:before="0" w:beforeAutospacing="0" w:afterAutospacing="0"/>
              <w:ind w:right="0"/>
              <w:rPr>
                <w:rFonts w:hint="eastAsia"/>
                <w:lang w:val="en-US" w:eastAsia="zh-CN"/>
              </w:rPr>
            </w:pPr>
          </w:p>
          <w:p w14:paraId="4464C643">
            <w:pPr>
              <w:pStyle w:val="7"/>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表3-</w:t>
            </w:r>
            <w:r>
              <w:rPr>
                <w:rFonts w:hint="eastAsia" w:ascii="Times New Roman" w:hAnsi="Times New Roman" w:eastAsia="宋体" w:cs="Times New Roman"/>
                <w:b/>
                <w:color w:val="auto"/>
                <w:sz w:val="24"/>
                <w:lang w:val="en-US" w:eastAsia="zh-CN"/>
              </w:rPr>
              <w:t>5</w:t>
            </w:r>
            <w:r>
              <w:rPr>
                <w:rFonts w:hint="default" w:ascii="Times New Roman" w:hAnsi="Times New Roman" w:eastAsia="宋体" w:cs="Times New Roman"/>
                <w:b/>
                <w:color w:val="auto"/>
                <w:sz w:val="24"/>
              </w:rPr>
              <w:t xml:space="preserve">  </w:t>
            </w:r>
            <w:r>
              <w:rPr>
                <w:rFonts w:hint="eastAsia" w:ascii="Times New Roman" w:hAnsi="Times New Roman" w:eastAsia="宋体" w:cs="Times New Roman"/>
                <w:b/>
                <w:color w:val="auto"/>
                <w:sz w:val="24"/>
                <w:lang w:val="en-US" w:eastAsia="zh-CN"/>
              </w:rPr>
              <w:t>非甲烷总烃</w:t>
            </w:r>
            <w:r>
              <w:rPr>
                <w:rFonts w:hint="default" w:ascii="Times New Roman" w:hAnsi="Times New Roman" w:eastAsia="宋体" w:cs="Times New Roman"/>
                <w:b/>
                <w:color w:val="auto"/>
                <w:sz w:val="24"/>
              </w:rPr>
              <w:t>排放标准</w:t>
            </w:r>
          </w:p>
          <w:tbl>
            <w:tblPr>
              <w:tblStyle w:val="26"/>
              <w:tblW w:w="496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496"/>
              <w:gridCol w:w="1784"/>
              <w:gridCol w:w="1652"/>
              <w:gridCol w:w="727"/>
              <w:gridCol w:w="2561"/>
            </w:tblGrid>
            <w:tr w14:paraId="66C27F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Align w:val="center"/>
                </w:tcPr>
                <w:p w14:paraId="0AC87862">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阶段</w:t>
                  </w:r>
                </w:p>
              </w:tc>
              <w:tc>
                <w:tcPr>
                  <w:tcW w:w="1439" w:type="pct"/>
                  <w:gridSpan w:val="2"/>
                  <w:vAlign w:val="center"/>
                </w:tcPr>
                <w:p w14:paraId="6F8C4E9F">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污染物</w:t>
                  </w:r>
                </w:p>
              </w:tc>
              <w:tc>
                <w:tcPr>
                  <w:tcW w:w="1502" w:type="pct"/>
                  <w:gridSpan w:val="2"/>
                  <w:vAlign w:val="center"/>
                </w:tcPr>
                <w:p w14:paraId="43262319">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排放</w:t>
                  </w:r>
                  <w:r>
                    <w:rPr>
                      <w:rFonts w:hint="default"/>
                      <w:color w:val="auto"/>
                      <w:szCs w:val="20"/>
                      <w:highlight w:val="none"/>
                    </w:rPr>
                    <w:t>限值</w:t>
                  </w:r>
                  <w:r>
                    <w:rPr>
                      <w:rFonts w:hint="eastAsia"/>
                      <w:color w:val="auto"/>
                      <w:kern w:val="24"/>
                      <w:szCs w:val="20"/>
                      <w:highlight w:val="none"/>
                    </w:rPr>
                    <w:t>（</w:t>
                  </w:r>
                  <w:r>
                    <w:rPr>
                      <w:rFonts w:hint="default"/>
                      <w:color w:val="auto"/>
                      <w:kern w:val="24"/>
                      <w:szCs w:val="20"/>
                      <w:highlight w:val="none"/>
                    </w:rPr>
                    <w:t>mg/m</w:t>
                  </w:r>
                  <w:r>
                    <w:rPr>
                      <w:rFonts w:hint="default"/>
                      <w:color w:val="auto"/>
                      <w:kern w:val="24"/>
                      <w:szCs w:val="20"/>
                      <w:highlight w:val="none"/>
                      <w:vertAlign w:val="superscript"/>
                    </w:rPr>
                    <w:t>3</w:t>
                  </w:r>
                  <w:r>
                    <w:rPr>
                      <w:rFonts w:hint="eastAsia"/>
                      <w:color w:val="auto"/>
                      <w:kern w:val="24"/>
                      <w:szCs w:val="20"/>
                      <w:highlight w:val="none"/>
                    </w:rPr>
                    <w:t>）</w:t>
                  </w:r>
                </w:p>
              </w:tc>
              <w:tc>
                <w:tcPr>
                  <w:tcW w:w="1617" w:type="pct"/>
                  <w:vAlign w:val="center"/>
                </w:tcPr>
                <w:p w14:paraId="2AECCEC5">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执行标准</w:t>
                  </w:r>
                </w:p>
              </w:tc>
            </w:tr>
            <w:tr w14:paraId="4C9FB7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Align w:val="center"/>
                </w:tcPr>
                <w:p w14:paraId="3B97EEB3">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施工期</w:t>
                  </w:r>
                </w:p>
              </w:tc>
              <w:tc>
                <w:tcPr>
                  <w:tcW w:w="1439" w:type="pct"/>
                  <w:gridSpan w:val="2"/>
                  <w:vAlign w:val="center"/>
                </w:tcPr>
                <w:p w14:paraId="38E2D916">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TSP</w:t>
                  </w:r>
                </w:p>
              </w:tc>
              <w:tc>
                <w:tcPr>
                  <w:tcW w:w="1502" w:type="pct"/>
                  <w:gridSpan w:val="2"/>
                  <w:vAlign w:val="center"/>
                </w:tcPr>
                <w:p w14:paraId="30FD7564">
                  <w:pPr>
                    <w:pStyle w:val="65"/>
                    <w:keepNext w:val="0"/>
                    <w:keepLines w:val="0"/>
                    <w:widowControl/>
                    <w:suppressLineNumbers w:val="0"/>
                    <w:spacing w:before="0" w:beforeAutospacing="0" w:after="0" w:afterAutospacing="0"/>
                    <w:ind w:left="0" w:right="0"/>
                    <w:rPr>
                      <w:rFonts w:hint="default"/>
                      <w:bCs/>
                      <w:color w:val="auto"/>
                      <w:szCs w:val="21"/>
                      <w:highlight w:val="none"/>
                    </w:rPr>
                  </w:pPr>
                  <w:r>
                    <w:rPr>
                      <w:rFonts w:hint="default"/>
                      <w:bCs/>
                      <w:color w:val="auto"/>
                      <w:szCs w:val="21"/>
                      <w:highlight w:val="none"/>
                    </w:rPr>
                    <w:t>≤0.7</w:t>
                  </w:r>
                </w:p>
              </w:tc>
              <w:tc>
                <w:tcPr>
                  <w:tcW w:w="1617" w:type="pct"/>
                  <w:vAlign w:val="center"/>
                </w:tcPr>
                <w:p w14:paraId="736E8DC5">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《施工场界扬尘排放限值》（DB61/1078-2017）</w:t>
                  </w:r>
                </w:p>
              </w:tc>
            </w:tr>
            <w:tr w14:paraId="0C0A5A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Merge w:val="restart"/>
                  <w:vAlign w:val="center"/>
                </w:tcPr>
                <w:p w14:paraId="35391BE3">
                  <w:pPr>
                    <w:pStyle w:val="65"/>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运营期</w:t>
                  </w:r>
                </w:p>
              </w:tc>
              <w:tc>
                <w:tcPr>
                  <w:tcW w:w="313" w:type="pct"/>
                  <w:vMerge w:val="restart"/>
                  <w:vAlign w:val="center"/>
                </w:tcPr>
                <w:p w14:paraId="513B5ADC">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有</w:t>
                  </w:r>
                  <w:r>
                    <w:rPr>
                      <w:rFonts w:hint="eastAsia"/>
                      <w:color w:val="auto"/>
                      <w:szCs w:val="20"/>
                      <w:highlight w:val="none"/>
                    </w:rPr>
                    <w:t>组织</w:t>
                  </w:r>
                </w:p>
              </w:tc>
              <w:tc>
                <w:tcPr>
                  <w:tcW w:w="1125" w:type="pct"/>
                  <w:vMerge w:val="restart"/>
                  <w:vAlign w:val="center"/>
                </w:tcPr>
                <w:p w14:paraId="14983028">
                  <w:pPr>
                    <w:pStyle w:val="65"/>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非甲烷总烃</w:t>
                  </w:r>
                </w:p>
              </w:tc>
              <w:tc>
                <w:tcPr>
                  <w:tcW w:w="1043" w:type="pct"/>
                  <w:vAlign w:val="center"/>
                </w:tcPr>
                <w:p w14:paraId="53D510DB">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default"/>
                      <w:color w:val="auto"/>
                      <w:szCs w:val="20"/>
                      <w:highlight w:val="none"/>
                    </w:rPr>
                    <w:t>最高允许排放浓度</w:t>
                  </w:r>
                </w:p>
              </w:tc>
              <w:tc>
                <w:tcPr>
                  <w:tcW w:w="459" w:type="pct"/>
                  <w:vAlign w:val="center"/>
                </w:tcPr>
                <w:p w14:paraId="5E4DEF7C">
                  <w:pPr>
                    <w:pStyle w:val="65"/>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50</w:t>
                  </w:r>
                </w:p>
              </w:tc>
              <w:tc>
                <w:tcPr>
                  <w:tcW w:w="1617" w:type="pct"/>
                  <w:vMerge w:val="restart"/>
                  <w:vAlign w:val="center"/>
                </w:tcPr>
                <w:p w14:paraId="2FD35DAA">
                  <w:pPr>
                    <w:pStyle w:val="65"/>
                    <w:keepNext w:val="0"/>
                    <w:keepLines w:val="0"/>
                    <w:widowControl/>
                    <w:suppressLineNumbers w:val="0"/>
                    <w:spacing w:before="0" w:beforeAutospacing="0" w:after="0" w:afterAutospacing="0"/>
                    <w:ind w:left="0" w:right="0"/>
                    <w:rPr>
                      <w:rFonts w:hint="default"/>
                      <w:color w:val="FF0000"/>
                      <w:kern w:val="24"/>
                      <w:szCs w:val="20"/>
                      <w:highlight w:val="none"/>
                    </w:rPr>
                  </w:pPr>
                  <w:r>
                    <w:rPr>
                      <w:rFonts w:hint="default" w:ascii="Times New Roman" w:hAnsi="Times New Roman" w:eastAsia="宋体" w:cs="Times New Roman"/>
                      <w:color w:val="auto"/>
                      <w:szCs w:val="21"/>
                      <w:lang w:val="en-US" w:eastAsia="zh-CN"/>
                    </w:rPr>
                    <w:t>《挥发性有机物排放控制标准》（DB61/T1061-2017）中表1</w:t>
                  </w:r>
                  <w:r>
                    <w:rPr>
                      <w:rFonts w:hint="eastAsia" w:cs="Times New Roman"/>
                      <w:color w:val="auto"/>
                      <w:szCs w:val="21"/>
                      <w:lang w:val="en-US" w:eastAsia="zh-CN"/>
                    </w:rPr>
                    <w:t>印刷行业排放限值</w:t>
                  </w:r>
                </w:p>
              </w:tc>
            </w:tr>
            <w:tr w14:paraId="72E019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Merge w:val="continue"/>
                  <w:vAlign w:val="center"/>
                </w:tcPr>
                <w:p w14:paraId="57410D29">
                  <w:pPr>
                    <w:pStyle w:val="65"/>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313" w:type="pct"/>
                  <w:vMerge w:val="continue"/>
                  <w:vAlign w:val="center"/>
                </w:tcPr>
                <w:p w14:paraId="422D4646">
                  <w:pPr>
                    <w:pStyle w:val="65"/>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125" w:type="pct"/>
                  <w:vMerge w:val="continue"/>
                  <w:vAlign w:val="center"/>
                </w:tcPr>
                <w:p w14:paraId="0862DB1E">
                  <w:pPr>
                    <w:pStyle w:val="65"/>
                    <w:keepNext w:val="0"/>
                    <w:keepLines w:val="0"/>
                    <w:widowControl/>
                    <w:suppressLineNumbers w:val="0"/>
                    <w:spacing w:before="0" w:beforeAutospacing="0" w:after="0" w:afterAutospacing="0"/>
                    <w:ind w:left="0" w:right="0"/>
                    <w:rPr>
                      <w:rFonts w:hint="eastAsia"/>
                      <w:color w:val="auto"/>
                      <w:szCs w:val="20"/>
                      <w:highlight w:val="none"/>
                    </w:rPr>
                  </w:pPr>
                </w:p>
              </w:tc>
              <w:tc>
                <w:tcPr>
                  <w:tcW w:w="1043" w:type="pct"/>
                  <w:vAlign w:val="center"/>
                </w:tcPr>
                <w:p w14:paraId="7E5EC4E6">
                  <w:pPr>
                    <w:pStyle w:val="65"/>
                    <w:keepNext w:val="0"/>
                    <w:keepLines w:val="0"/>
                    <w:widowControl/>
                    <w:suppressLineNumbers w:val="0"/>
                    <w:spacing w:before="0" w:beforeAutospacing="0" w:after="0" w:afterAutospacing="0"/>
                    <w:ind w:left="0" w:right="0"/>
                    <w:rPr>
                      <w:rFonts w:hint="default" w:eastAsia="宋体"/>
                      <w:color w:val="auto"/>
                      <w:szCs w:val="20"/>
                      <w:highlight w:val="none"/>
                      <w:lang w:val="en-US" w:eastAsia="zh-CN"/>
                    </w:rPr>
                  </w:pPr>
                  <w:r>
                    <w:rPr>
                      <w:rFonts w:hint="eastAsia"/>
                      <w:color w:val="auto"/>
                      <w:szCs w:val="20"/>
                      <w:highlight w:val="none"/>
                      <w:lang w:val="en-US" w:eastAsia="zh-CN"/>
                    </w:rPr>
                    <w:t>最低去除率</w:t>
                  </w:r>
                </w:p>
              </w:tc>
              <w:tc>
                <w:tcPr>
                  <w:tcW w:w="459" w:type="pct"/>
                  <w:vAlign w:val="center"/>
                </w:tcPr>
                <w:p w14:paraId="18BD4BE8">
                  <w:pPr>
                    <w:pStyle w:val="65"/>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85%</w:t>
                  </w:r>
                </w:p>
              </w:tc>
              <w:tc>
                <w:tcPr>
                  <w:tcW w:w="1617" w:type="pct"/>
                  <w:vMerge w:val="continue"/>
                  <w:vAlign w:val="center"/>
                </w:tcPr>
                <w:p w14:paraId="6D47A7D2">
                  <w:pPr>
                    <w:pStyle w:val="65"/>
                    <w:keepNext w:val="0"/>
                    <w:keepLines w:val="0"/>
                    <w:widowControl/>
                    <w:suppressLineNumbers w:val="0"/>
                    <w:spacing w:before="0" w:beforeAutospacing="0" w:after="0" w:afterAutospacing="0"/>
                    <w:ind w:left="0" w:right="0"/>
                    <w:rPr>
                      <w:rFonts w:hint="default"/>
                      <w:color w:val="FF0000"/>
                      <w:kern w:val="24"/>
                      <w:szCs w:val="20"/>
                      <w:highlight w:val="none"/>
                    </w:rPr>
                  </w:pPr>
                </w:p>
              </w:tc>
            </w:tr>
            <w:tr w14:paraId="76818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Merge w:val="continue"/>
                  <w:vAlign w:val="center"/>
                </w:tcPr>
                <w:p w14:paraId="271CB806">
                  <w:pPr>
                    <w:pStyle w:val="65"/>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313" w:type="pct"/>
                  <w:vMerge w:val="restart"/>
                  <w:vAlign w:val="center"/>
                </w:tcPr>
                <w:p w14:paraId="6C5CF13F">
                  <w:pPr>
                    <w:pStyle w:val="65"/>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无组织</w:t>
                  </w:r>
                </w:p>
              </w:tc>
              <w:tc>
                <w:tcPr>
                  <w:tcW w:w="1125" w:type="pct"/>
                  <w:vMerge w:val="restart"/>
                  <w:vAlign w:val="center"/>
                </w:tcPr>
                <w:p w14:paraId="2A1EA7ED">
                  <w:pPr>
                    <w:pStyle w:val="65"/>
                    <w:keepNext w:val="0"/>
                    <w:keepLines w:val="0"/>
                    <w:widowControl/>
                    <w:suppressLineNumbers w:val="0"/>
                    <w:spacing w:before="0" w:beforeAutospacing="0" w:after="0" w:afterAutospacing="0"/>
                    <w:ind w:left="0" w:right="0"/>
                    <w:rPr>
                      <w:rFonts w:hint="eastAsia" w:eastAsia="宋体"/>
                      <w:color w:val="auto"/>
                      <w:szCs w:val="20"/>
                      <w:highlight w:val="none"/>
                      <w:lang w:val="en-US" w:eastAsia="zh-CN"/>
                    </w:rPr>
                  </w:pPr>
                  <w:r>
                    <w:rPr>
                      <w:rFonts w:hint="eastAsia"/>
                      <w:color w:val="auto"/>
                      <w:szCs w:val="20"/>
                      <w:highlight w:val="none"/>
                      <w:lang w:val="en-US" w:eastAsia="zh-CN"/>
                    </w:rPr>
                    <w:t>非甲烷总烃</w:t>
                  </w:r>
                </w:p>
              </w:tc>
              <w:tc>
                <w:tcPr>
                  <w:tcW w:w="1043" w:type="pct"/>
                  <w:vAlign w:val="center"/>
                </w:tcPr>
                <w:p w14:paraId="584FD03F">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s="Times New Roman"/>
                      <w:b w:val="0"/>
                      <w:bCs w:val="0"/>
                      <w:color w:val="auto"/>
                      <w:szCs w:val="21"/>
                      <w:lang w:val="en-US" w:eastAsia="zh-CN"/>
                    </w:rPr>
                    <w:t>厂区内</w:t>
                  </w:r>
                  <w:r>
                    <w:rPr>
                      <w:rFonts w:hint="default" w:ascii="Times New Roman" w:hAnsi="Times New Roman" w:cs="Times New Roman"/>
                      <w:b w:val="0"/>
                      <w:bCs w:val="0"/>
                      <w:color w:val="auto"/>
                      <w:szCs w:val="21"/>
                    </w:rPr>
                    <w:t>监控点</w:t>
                  </w:r>
                  <w:r>
                    <w:rPr>
                      <w:rFonts w:hint="eastAsia" w:cs="Times New Roman"/>
                      <w:b w:val="0"/>
                      <w:bCs w:val="0"/>
                      <w:color w:val="auto"/>
                      <w:szCs w:val="21"/>
                      <w:lang w:val="en-US" w:eastAsia="zh-CN"/>
                    </w:rPr>
                    <w:t>浓度限值</w:t>
                  </w:r>
                </w:p>
              </w:tc>
              <w:tc>
                <w:tcPr>
                  <w:tcW w:w="459" w:type="pct"/>
                  <w:vAlign w:val="center"/>
                </w:tcPr>
                <w:p w14:paraId="600AC9CC">
                  <w:pPr>
                    <w:pStyle w:val="65"/>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10</w:t>
                  </w:r>
                </w:p>
              </w:tc>
              <w:tc>
                <w:tcPr>
                  <w:tcW w:w="1617" w:type="pct"/>
                  <w:vAlign w:val="center"/>
                </w:tcPr>
                <w:p w14:paraId="1EBC2F3B">
                  <w:pPr>
                    <w:pStyle w:val="65"/>
                    <w:keepNext w:val="0"/>
                    <w:keepLines w:val="0"/>
                    <w:widowControl/>
                    <w:suppressLineNumbers w:val="0"/>
                    <w:spacing w:before="0" w:beforeAutospacing="0" w:after="0" w:afterAutospacing="0"/>
                    <w:ind w:left="0" w:right="0"/>
                    <w:rPr>
                      <w:rFonts w:hint="default"/>
                      <w:color w:val="FF0000"/>
                      <w:kern w:val="24"/>
                      <w:szCs w:val="20"/>
                      <w:highlight w:val="none"/>
                    </w:rPr>
                  </w:pPr>
                  <w:r>
                    <w:rPr>
                      <w:rFonts w:hint="default" w:ascii="Times New Roman" w:hAnsi="Times New Roman" w:eastAsia="宋体" w:cs="Times New Roman"/>
                      <w:color w:val="auto"/>
                      <w:szCs w:val="21"/>
                      <w:lang w:val="en-US" w:eastAsia="zh-CN"/>
                    </w:rPr>
                    <w:t>《挥发性有机物排放控制标准》（DB61/T1061-2017）</w:t>
                  </w:r>
                  <w:r>
                    <w:rPr>
                      <w:rFonts w:hint="eastAsia" w:ascii="Times New Roman" w:hAnsi="Times New Roman" w:eastAsia="宋体" w:cs="Times New Roman"/>
                      <w:color w:val="auto"/>
                      <w:szCs w:val="21"/>
                      <w:lang w:val="en-US" w:eastAsia="zh-CN"/>
                    </w:rPr>
                    <w:t>表2排放限值</w:t>
                  </w:r>
                </w:p>
              </w:tc>
            </w:tr>
            <w:tr w14:paraId="5AB7D3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Merge w:val="continue"/>
                  <w:vAlign w:val="center"/>
                </w:tcPr>
                <w:p w14:paraId="4957055E">
                  <w:pPr>
                    <w:pStyle w:val="65"/>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313" w:type="pct"/>
                  <w:vMerge w:val="continue"/>
                  <w:vAlign w:val="center"/>
                </w:tcPr>
                <w:p w14:paraId="1C598B8F">
                  <w:pPr>
                    <w:pStyle w:val="65"/>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125" w:type="pct"/>
                  <w:vMerge w:val="continue"/>
                  <w:vAlign w:val="center"/>
                </w:tcPr>
                <w:p w14:paraId="1AF4EC20">
                  <w:pPr>
                    <w:pStyle w:val="65"/>
                    <w:keepNext w:val="0"/>
                    <w:keepLines w:val="0"/>
                    <w:widowControl/>
                    <w:suppressLineNumbers w:val="0"/>
                    <w:spacing w:before="0" w:beforeAutospacing="0" w:after="0" w:afterAutospacing="0"/>
                    <w:ind w:left="0" w:right="0"/>
                    <w:rPr>
                      <w:rFonts w:hint="eastAsia"/>
                      <w:color w:val="auto"/>
                      <w:szCs w:val="20"/>
                      <w:highlight w:val="none"/>
                      <w:lang w:val="en-US" w:eastAsia="zh-CN"/>
                    </w:rPr>
                  </w:pPr>
                </w:p>
              </w:tc>
              <w:tc>
                <w:tcPr>
                  <w:tcW w:w="1043" w:type="pct"/>
                  <w:vAlign w:val="center"/>
                </w:tcPr>
                <w:p w14:paraId="7C450AB3">
                  <w:pPr>
                    <w:pStyle w:val="65"/>
                    <w:keepNext w:val="0"/>
                    <w:keepLines w:val="0"/>
                    <w:widowControl/>
                    <w:suppressLineNumbers w:val="0"/>
                    <w:spacing w:before="0" w:beforeAutospacing="0" w:after="0" w:afterAutospacing="0"/>
                    <w:ind w:left="0" w:right="0"/>
                    <w:rPr>
                      <w:rFonts w:hint="default"/>
                      <w:color w:val="auto"/>
                      <w:szCs w:val="21"/>
                      <w:highlight w:val="none"/>
                    </w:rPr>
                  </w:pPr>
                  <w:r>
                    <w:rPr>
                      <w:rFonts w:hint="eastAsia" w:cs="Times New Roman"/>
                      <w:b w:val="0"/>
                      <w:bCs w:val="0"/>
                      <w:color w:val="auto"/>
                      <w:szCs w:val="21"/>
                      <w:lang w:val="en-US" w:eastAsia="zh-CN"/>
                    </w:rPr>
                    <w:t>企业边界监控点浓度限值</w:t>
                  </w:r>
                </w:p>
              </w:tc>
              <w:tc>
                <w:tcPr>
                  <w:tcW w:w="459" w:type="pct"/>
                  <w:vAlign w:val="center"/>
                </w:tcPr>
                <w:p w14:paraId="559524B8">
                  <w:pPr>
                    <w:pStyle w:val="65"/>
                    <w:keepNext w:val="0"/>
                    <w:keepLines w:val="0"/>
                    <w:widowControl/>
                    <w:suppressLineNumbers w:val="0"/>
                    <w:spacing w:before="0" w:beforeAutospacing="0" w:after="0" w:afterAutospacing="0"/>
                    <w:ind w:left="0" w:right="0"/>
                    <w:rPr>
                      <w:rFonts w:hint="default"/>
                      <w:color w:val="auto"/>
                      <w:szCs w:val="20"/>
                      <w:highlight w:val="none"/>
                      <w:lang w:val="en-US" w:eastAsia="zh-CN"/>
                    </w:rPr>
                  </w:pPr>
                  <w:r>
                    <w:rPr>
                      <w:rFonts w:hint="eastAsia"/>
                      <w:color w:val="auto"/>
                      <w:szCs w:val="20"/>
                      <w:highlight w:val="none"/>
                      <w:lang w:val="en-US" w:eastAsia="zh-CN"/>
                    </w:rPr>
                    <w:t>3</w:t>
                  </w:r>
                </w:p>
              </w:tc>
              <w:tc>
                <w:tcPr>
                  <w:tcW w:w="1617" w:type="pct"/>
                  <w:vAlign w:val="center"/>
                </w:tcPr>
                <w:p w14:paraId="7EEB0C33">
                  <w:pPr>
                    <w:pStyle w:val="65"/>
                    <w:keepNext w:val="0"/>
                    <w:keepLines w:val="0"/>
                    <w:widowControl/>
                    <w:suppressLineNumbers w:val="0"/>
                    <w:spacing w:before="0" w:beforeAutospacing="0" w:after="0" w:afterAutospacing="0"/>
                    <w:ind w:left="0" w:right="0"/>
                    <w:rPr>
                      <w:rFonts w:hint="default"/>
                      <w:color w:val="FF0000"/>
                      <w:kern w:val="24"/>
                      <w:szCs w:val="20"/>
                      <w:highlight w:val="none"/>
                    </w:rPr>
                  </w:pPr>
                  <w:r>
                    <w:rPr>
                      <w:rFonts w:hint="default" w:ascii="Times New Roman" w:hAnsi="Times New Roman" w:eastAsia="宋体" w:cs="Times New Roman"/>
                      <w:color w:val="auto"/>
                      <w:szCs w:val="21"/>
                      <w:lang w:val="en-US" w:eastAsia="zh-CN"/>
                    </w:rPr>
                    <w:t>《挥发性有机物排放控制标准》（DB61/T1061-2017）</w:t>
                  </w:r>
                  <w:r>
                    <w:rPr>
                      <w:rFonts w:hint="eastAsia" w:ascii="Times New Roman" w:hAnsi="Times New Roman" w:eastAsia="宋体" w:cs="Times New Roman"/>
                      <w:color w:val="auto"/>
                      <w:szCs w:val="21"/>
                      <w:lang w:val="en-US" w:eastAsia="zh-CN"/>
                    </w:rPr>
                    <w:t>表3排放限值</w:t>
                  </w:r>
                </w:p>
              </w:tc>
            </w:tr>
            <w:tr w14:paraId="5B1EC9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Merge w:val="continue"/>
                  <w:vAlign w:val="center"/>
                </w:tcPr>
                <w:p w14:paraId="78EF49DD">
                  <w:pPr>
                    <w:pStyle w:val="65"/>
                    <w:keepNext w:val="0"/>
                    <w:keepLines w:val="0"/>
                    <w:widowControl/>
                    <w:suppressLineNumbers w:val="0"/>
                    <w:spacing w:before="0" w:beforeAutospacing="0" w:after="0" w:afterAutospacing="0"/>
                    <w:ind w:left="0" w:right="0"/>
                    <w:rPr>
                      <w:rFonts w:hint="default"/>
                      <w:color w:val="auto"/>
                      <w:szCs w:val="20"/>
                      <w:highlight w:val="none"/>
                    </w:rPr>
                  </w:pPr>
                </w:p>
              </w:tc>
              <w:tc>
                <w:tcPr>
                  <w:tcW w:w="313" w:type="pct"/>
                  <w:vMerge w:val="restart"/>
                  <w:vAlign w:val="center"/>
                </w:tcPr>
                <w:p w14:paraId="0993A4B8">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食堂油烟</w:t>
                  </w:r>
                </w:p>
              </w:tc>
              <w:tc>
                <w:tcPr>
                  <w:tcW w:w="1125" w:type="pct"/>
                  <w:vAlign w:val="center"/>
                </w:tcPr>
                <w:p w14:paraId="50D699EF">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基准灶头数</w:t>
                  </w:r>
                </w:p>
              </w:tc>
              <w:tc>
                <w:tcPr>
                  <w:tcW w:w="1502" w:type="pct"/>
                  <w:gridSpan w:val="2"/>
                  <w:vAlign w:val="center"/>
                </w:tcPr>
                <w:p w14:paraId="48D9A2C1">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lang w:val="en-US" w:eastAsia="zh-CN"/>
                    </w:rPr>
                    <w:t>2</w:t>
                  </w:r>
                  <w:r>
                    <w:rPr>
                      <w:rFonts w:hint="eastAsia"/>
                      <w:color w:val="auto"/>
                      <w:szCs w:val="20"/>
                      <w:highlight w:val="none"/>
                    </w:rPr>
                    <w:t>个</w:t>
                  </w:r>
                </w:p>
              </w:tc>
              <w:tc>
                <w:tcPr>
                  <w:tcW w:w="1617" w:type="pct"/>
                  <w:vMerge w:val="restart"/>
                  <w:vAlign w:val="center"/>
                </w:tcPr>
                <w:p w14:paraId="5E2FC485">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《饮食业油烟排放标准（试行）》</w:t>
                  </w:r>
                  <w:r>
                    <w:rPr>
                      <w:rFonts w:hint="eastAsia"/>
                      <w:color w:val="auto"/>
                      <w:szCs w:val="20"/>
                      <w:highlight w:val="none"/>
                      <w:lang w:val="en-US" w:eastAsia="zh-CN"/>
                    </w:rPr>
                    <w:t xml:space="preserve"> </w:t>
                  </w:r>
                  <w:r>
                    <w:rPr>
                      <w:rFonts w:hint="eastAsia"/>
                      <w:color w:val="auto"/>
                      <w:szCs w:val="20"/>
                      <w:highlight w:val="none"/>
                    </w:rPr>
                    <w:t>（GB18483-2001）</w:t>
                  </w:r>
                </w:p>
              </w:tc>
            </w:tr>
            <w:tr w14:paraId="4B5351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Merge w:val="continue"/>
                  <w:vAlign w:val="center"/>
                </w:tcPr>
                <w:p w14:paraId="68A1BD9D">
                  <w:pPr>
                    <w:pStyle w:val="65"/>
                    <w:keepNext w:val="0"/>
                    <w:keepLines w:val="0"/>
                    <w:widowControl/>
                    <w:suppressLineNumbers w:val="0"/>
                    <w:spacing w:before="0" w:beforeAutospacing="0" w:after="0" w:afterAutospacing="0"/>
                    <w:ind w:left="0" w:right="0"/>
                    <w:rPr>
                      <w:rFonts w:hint="default"/>
                      <w:color w:val="auto"/>
                      <w:szCs w:val="20"/>
                      <w:highlight w:val="none"/>
                    </w:rPr>
                  </w:pPr>
                </w:p>
              </w:tc>
              <w:tc>
                <w:tcPr>
                  <w:tcW w:w="313" w:type="pct"/>
                  <w:vMerge w:val="continue"/>
                  <w:vAlign w:val="center"/>
                </w:tcPr>
                <w:p w14:paraId="20DF7C5C">
                  <w:pPr>
                    <w:pStyle w:val="65"/>
                    <w:keepNext w:val="0"/>
                    <w:keepLines w:val="0"/>
                    <w:widowControl/>
                    <w:suppressLineNumbers w:val="0"/>
                    <w:spacing w:before="0" w:beforeAutospacing="0" w:after="0" w:afterAutospacing="0"/>
                    <w:ind w:left="0" w:right="0"/>
                    <w:rPr>
                      <w:rFonts w:hint="default"/>
                      <w:color w:val="auto"/>
                      <w:szCs w:val="20"/>
                      <w:highlight w:val="none"/>
                    </w:rPr>
                  </w:pPr>
                </w:p>
              </w:tc>
              <w:tc>
                <w:tcPr>
                  <w:tcW w:w="1125" w:type="pct"/>
                  <w:vAlign w:val="center"/>
                </w:tcPr>
                <w:p w14:paraId="1E2C3C5B">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规模</w:t>
                  </w:r>
                </w:p>
              </w:tc>
              <w:tc>
                <w:tcPr>
                  <w:tcW w:w="1502" w:type="pct"/>
                  <w:gridSpan w:val="2"/>
                  <w:vAlign w:val="center"/>
                </w:tcPr>
                <w:p w14:paraId="20630275">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小型</w:t>
                  </w:r>
                </w:p>
              </w:tc>
              <w:tc>
                <w:tcPr>
                  <w:tcW w:w="1617" w:type="pct"/>
                  <w:vMerge w:val="continue"/>
                  <w:vAlign w:val="center"/>
                </w:tcPr>
                <w:p w14:paraId="18D07E85">
                  <w:pPr>
                    <w:pStyle w:val="65"/>
                    <w:keepNext w:val="0"/>
                    <w:keepLines w:val="0"/>
                    <w:widowControl/>
                    <w:suppressLineNumbers w:val="0"/>
                    <w:spacing w:before="0" w:beforeAutospacing="0" w:after="0" w:afterAutospacing="0"/>
                    <w:ind w:left="0" w:right="0"/>
                    <w:rPr>
                      <w:rFonts w:hint="default"/>
                      <w:color w:val="auto"/>
                      <w:szCs w:val="20"/>
                      <w:highlight w:val="none"/>
                    </w:rPr>
                  </w:pPr>
                </w:p>
              </w:tc>
            </w:tr>
            <w:tr w14:paraId="1496CF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Merge w:val="continue"/>
                  <w:vAlign w:val="center"/>
                </w:tcPr>
                <w:p w14:paraId="3780B29A">
                  <w:pPr>
                    <w:pStyle w:val="65"/>
                    <w:keepNext w:val="0"/>
                    <w:keepLines w:val="0"/>
                    <w:widowControl/>
                    <w:suppressLineNumbers w:val="0"/>
                    <w:spacing w:before="0" w:beforeAutospacing="0" w:after="0" w:afterAutospacing="0"/>
                    <w:ind w:left="0" w:right="0"/>
                    <w:rPr>
                      <w:rFonts w:hint="default"/>
                      <w:color w:val="auto"/>
                      <w:szCs w:val="20"/>
                      <w:highlight w:val="none"/>
                    </w:rPr>
                  </w:pPr>
                </w:p>
              </w:tc>
              <w:tc>
                <w:tcPr>
                  <w:tcW w:w="313" w:type="pct"/>
                  <w:vMerge w:val="continue"/>
                  <w:vAlign w:val="center"/>
                </w:tcPr>
                <w:p w14:paraId="4D4DB57D">
                  <w:pPr>
                    <w:pStyle w:val="65"/>
                    <w:keepNext w:val="0"/>
                    <w:keepLines w:val="0"/>
                    <w:widowControl/>
                    <w:suppressLineNumbers w:val="0"/>
                    <w:spacing w:before="0" w:beforeAutospacing="0" w:after="0" w:afterAutospacing="0"/>
                    <w:ind w:left="0" w:right="0"/>
                    <w:rPr>
                      <w:rFonts w:hint="default"/>
                      <w:color w:val="auto"/>
                      <w:szCs w:val="20"/>
                      <w:highlight w:val="none"/>
                    </w:rPr>
                  </w:pPr>
                </w:p>
              </w:tc>
              <w:tc>
                <w:tcPr>
                  <w:tcW w:w="1125" w:type="pct"/>
                  <w:vAlign w:val="center"/>
                </w:tcPr>
                <w:p w14:paraId="0C0AA050">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排放限值</w:t>
                  </w:r>
                </w:p>
              </w:tc>
              <w:tc>
                <w:tcPr>
                  <w:tcW w:w="1502" w:type="pct"/>
                  <w:gridSpan w:val="2"/>
                  <w:vAlign w:val="center"/>
                </w:tcPr>
                <w:p w14:paraId="088137EC">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bCs/>
                      <w:color w:val="auto"/>
                      <w:szCs w:val="21"/>
                      <w:highlight w:val="none"/>
                      <w:lang w:val="en-US" w:eastAsia="zh-CN"/>
                    </w:rPr>
                    <w:t>≤</w:t>
                  </w:r>
                  <w:r>
                    <w:rPr>
                      <w:rFonts w:hint="eastAsia"/>
                      <w:bCs/>
                      <w:color w:val="auto"/>
                      <w:szCs w:val="21"/>
                      <w:highlight w:val="none"/>
                    </w:rPr>
                    <w:t>2.0</w:t>
                  </w:r>
                  <w:r>
                    <w:rPr>
                      <w:rFonts w:hint="default"/>
                      <w:color w:val="auto"/>
                      <w:kern w:val="24"/>
                      <w:szCs w:val="20"/>
                      <w:highlight w:val="none"/>
                    </w:rPr>
                    <w:t>mg/m</w:t>
                  </w:r>
                  <w:r>
                    <w:rPr>
                      <w:rFonts w:hint="default"/>
                      <w:color w:val="auto"/>
                      <w:kern w:val="24"/>
                      <w:szCs w:val="20"/>
                      <w:highlight w:val="none"/>
                      <w:vertAlign w:val="superscript"/>
                    </w:rPr>
                    <w:t>3</w:t>
                  </w:r>
                </w:p>
              </w:tc>
              <w:tc>
                <w:tcPr>
                  <w:tcW w:w="1617" w:type="pct"/>
                  <w:vMerge w:val="continue"/>
                  <w:vAlign w:val="center"/>
                </w:tcPr>
                <w:p w14:paraId="6229B8A1">
                  <w:pPr>
                    <w:pStyle w:val="65"/>
                    <w:keepNext w:val="0"/>
                    <w:keepLines w:val="0"/>
                    <w:widowControl/>
                    <w:suppressLineNumbers w:val="0"/>
                    <w:spacing w:before="0" w:beforeAutospacing="0" w:after="0" w:afterAutospacing="0"/>
                    <w:ind w:left="0" w:right="0"/>
                    <w:rPr>
                      <w:rFonts w:hint="default"/>
                      <w:color w:val="auto"/>
                      <w:szCs w:val="20"/>
                      <w:highlight w:val="none"/>
                    </w:rPr>
                  </w:pPr>
                </w:p>
              </w:tc>
            </w:tr>
            <w:tr w14:paraId="6031B9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9" w:type="pct"/>
                  <w:vMerge w:val="continue"/>
                  <w:vAlign w:val="center"/>
                </w:tcPr>
                <w:p w14:paraId="499A81C0">
                  <w:pPr>
                    <w:pStyle w:val="65"/>
                    <w:keepNext w:val="0"/>
                    <w:keepLines w:val="0"/>
                    <w:widowControl/>
                    <w:suppressLineNumbers w:val="0"/>
                    <w:spacing w:before="0" w:beforeAutospacing="0" w:after="0" w:afterAutospacing="0"/>
                    <w:ind w:left="0" w:right="0"/>
                    <w:rPr>
                      <w:rFonts w:hint="default"/>
                      <w:color w:val="auto"/>
                      <w:szCs w:val="20"/>
                      <w:highlight w:val="none"/>
                    </w:rPr>
                  </w:pPr>
                </w:p>
              </w:tc>
              <w:tc>
                <w:tcPr>
                  <w:tcW w:w="313" w:type="pct"/>
                  <w:vMerge w:val="continue"/>
                  <w:vAlign w:val="center"/>
                </w:tcPr>
                <w:p w14:paraId="59A647C7">
                  <w:pPr>
                    <w:pStyle w:val="65"/>
                    <w:keepNext w:val="0"/>
                    <w:keepLines w:val="0"/>
                    <w:widowControl/>
                    <w:suppressLineNumbers w:val="0"/>
                    <w:spacing w:before="0" w:beforeAutospacing="0" w:after="0" w:afterAutospacing="0"/>
                    <w:ind w:left="0" w:right="0"/>
                    <w:rPr>
                      <w:rFonts w:hint="default"/>
                      <w:color w:val="auto"/>
                      <w:szCs w:val="20"/>
                      <w:highlight w:val="none"/>
                    </w:rPr>
                  </w:pPr>
                </w:p>
              </w:tc>
              <w:tc>
                <w:tcPr>
                  <w:tcW w:w="1125" w:type="pct"/>
                  <w:vAlign w:val="center"/>
                </w:tcPr>
                <w:p w14:paraId="0DB51E33">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color w:val="auto"/>
                      <w:szCs w:val="20"/>
                      <w:highlight w:val="none"/>
                    </w:rPr>
                    <w:t>净化效率</w:t>
                  </w:r>
                </w:p>
              </w:tc>
              <w:tc>
                <w:tcPr>
                  <w:tcW w:w="1502" w:type="pct"/>
                  <w:gridSpan w:val="2"/>
                  <w:vAlign w:val="center"/>
                </w:tcPr>
                <w:p w14:paraId="385F571E">
                  <w:pPr>
                    <w:pStyle w:val="65"/>
                    <w:keepNext w:val="0"/>
                    <w:keepLines w:val="0"/>
                    <w:widowControl/>
                    <w:suppressLineNumbers w:val="0"/>
                    <w:spacing w:before="0" w:beforeAutospacing="0" w:after="0" w:afterAutospacing="0"/>
                    <w:ind w:left="0" w:right="0"/>
                    <w:rPr>
                      <w:rFonts w:hint="default"/>
                      <w:color w:val="auto"/>
                      <w:szCs w:val="20"/>
                      <w:highlight w:val="none"/>
                    </w:rPr>
                  </w:pPr>
                  <w:r>
                    <w:rPr>
                      <w:rFonts w:hint="eastAsia"/>
                      <w:bCs/>
                      <w:color w:val="auto"/>
                      <w:szCs w:val="21"/>
                      <w:highlight w:val="none"/>
                      <w:lang w:val="en-US" w:eastAsia="zh-CN"/>
                    </w:rPr>
                    <w:t>≥</w:t>
                  </w:r>
                  <w:r>
                    <w:rPr>
                      <w:rFonts w:hint="eastAsia"/>
                      <w:bCs/>
                      <w:color w:val="auto"/>
                      <w:szCs w:val="21"/>
                      <w:highlight w:val="none"/>
                    </w:rPr>
                    <w:t>60%</w:t>
                  </w:r>
                </w:p>
              </w:tc>
              <w:tc>
                <w:tcPr>
                  <w:tcW w:w="1617" w:type="pct"/>
                  <w:vMerge w:val="continue"/>
                  <w:vAlign w:val="center"/>
                </w:tcPr>
                <w:p w14:paraId="40A70039">
                  <w:pPr>
                    <w:pStyle w:val="65"/>
                    <w:keepNext w:val="0"/>
                    <w:keepLines w:val="0"/>
                    <w:widowControl/>
                    <w:suppressLineNumbers w:val="0"/>
                    <w:spacing w:before="0" w:beforeAutospacing="0" w:after="0" w:afterAutospacing="0"/>
                    <w:ind w:left="0" w:right="0"/>
                    <w:rPr>
                      <w:rFonts w:hint="default"/>
                      <w:color w:val="auto"/>
                      <w:szCs w:val="20"/>
                      <w:highlight w:val="none"/>
                    </w:rPr>
                  </w:pPr>
                </w:p>
              </w:tc>
            </w:tr>
          </w:tbl>
          <w:p w14:paraId="64BB7B9E">
            <w:pPr>
              <w:pStyle w:val="82"/>
              <w:keepNext w:val="0"/>
              <w:keepLines w:val="0"/>
              <w:suppressLineNumbers w:val="0"/>
              <w:adjustRightInd w:val="0"/>
              <w:snapToGrid w:val="0"/>
              <w:spacing w:before="0" w:beforeAutospacing="0" w:after="0" w:afterAutospacing="0"/>
              <w:ind w:left="0" w:right="0"/>
              <w:rPr>
                <w:rFonts w:hint="eastAsia" w:ascii="Times New Roman" w:hAnsi="Times New Roman" w:cs="Times New Roman"/>
              </w:rPr>
            </w:pPr>
            <w:r>
              <w:rPr>
                <w:rFonts w:hint="default" w:ascii="Times New Roman" w:hAnsi="Times New Roman" w:cs="Times New Roman"/>
                <w:color w:val="auto"/>
                <w:sz w:val="24"/>
              </w:rPr>
              <w:t>2、废水：</w:t>
            </w:r>
            <w:r>
              <w:rPr>
                <w:rFonts w:hint="default" w:ascii="Times New Roman" w:hAnsi="Times New Roman" w:cs="Times New Roman"/>
              </w:rPr>
              <w:t>废水执行《污水排入城镇下水道水质标准》（GB/T31962-2015）中的</w:t>
            </w:r>
            <w:r>
              <w:rPr>
                <w:rFonts w:hint="eastAsia" w:ascii="Times New Roman" w:hAnsi="Times New Roman" w:cs="Times New Roman"/>
              </w:rPr>
              <w:t>B</w:t>
            </w:r>
            <w:r>
              <w:rPr>
                <w:rFonts w:hint="default" w:ascii="Times New Roman" w:hAnsi="Times New Roman" w:cs="Times New Roman"/>
              </w:rPr>
              <w:t>标准</w:t>
            </w:r>
            <w:r>
              <w:rPr>
                <w:rFonts w:hint="eastAsia" w:ascii="Times New Roman" w:hAnsi="Times New Roman" w:cs="Times New Roman"/>
              </w:rPr>
              <w:t>及</w:t>
            </w:r>
            <w:r>
              <w:rPr>
                <w:rFonts w:hint="default" w:ascii="Times New Roman" w:hAnsi="Times New Roman" w:cs="Times New Roman"/>
              </w:rPr>
              <w:t>《污水综合排放标准》（GB8978-1996）中的三级标准</w:t>
            </w:r>
            <w:r>
              <w:rPr>
                <w:rFonts w:hint="eastAsia" w:ascii="Times New Roman" w:hAnsi="Times New Roman" w:cs="Times New Roman"/>
              </w:rPr>
              <w:t>。</w:t>
            </w:r>
          </w:p>
          <w:p w14:paraId="66782F0F">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auto"/>
                <w:kern w:val="21"/>
                <w:sz w:val="24"/>
                <w:szCs w:val="24"/>
                <w:lang w:val="en-US" w:eastAsia="zh-CN" w:bidi="ar-SA"/>
              </w:rPr>
            </w:pPr>
            <w:r>
              <w:rPr>
                <w:rFonts w:hint="default" w:ascii="Times New Roman" w:hAnsi="Times New Roman" w:eastAsia="宋体" w:cs="Times New Roman"/>
                <w:b/>
                <w:bCs/>
                <w:color w:val="auto"/>
                <w:kern w:val="21"/>
                <w:sz w:val="24"/>
                <w:szCs w:val="24"/>
                <w:lang w:val="en-US" w:eastAsia="zh-CN" w:bidi="ar-SA"/>
              </w:rPr>
              <w:t>表</w:t>
            </w:r>
            <w:r>
              <w:rPr>
                <w:rFonts w:hint="eastAsia" w:ascii="Times New Roman" w:hAnsi="Times New Roman" w:eastAsia="宋体" w:cs="Times New Roman"/>
                <w:b/>
                <w:bCs/>
                <w:color w:val="auto"/>
                <w:kern w:val="21"/>
                <w:sz w:val="24"/>
                <w:szCs w:val="24"/>
                <w:lang w:val="en-US" w:eastAsia="zh-CN" w:bidi="ar-SA"/>
              </w:rPr>
              <w:t xml:space="preserve">3-6  </w:t>
            </w:r>
            <w:r>
              <w:rPr>
                <w:rFonts w:hint="default" w:ascii="Times New Roman" w:hAnsi="Times New Roman" w:eastAsia="宋体" w:cs="Times New Roman"/>
                <w:b/>
                <w:bCs/>
                <w:color w:val="auto"/>
                <w:kern w:val="21"/>
                <w:sz w:val="24"/>
                <w:szCs w:val="24"/>
                <w:lang w:val="en-US" w:eastAsia="zh-CN" w:bidi="ar-SA"/>
              </w:rPr>
              <w:t>废水污染物排放标准    单位：mg/L</w:t>
            </w:r>
          </w:p>
          <w:tbl>
            <w:tblPr>
              <w:tblStyle w:val="26"/>
              <w:tblW w:w="4922"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17"/>
              <w:gridCol w:w="2442"/>
              <w:gridCol w:w="933"/>
              <w:gridCol w:w="1436"/>
              <w:gridCol w:w="946"/>
              <w:gridCol w:w="1176"/>
            </w:tblGrid>
            <w:tr w14:paraId="2B410A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584" w:type="pct"/>
                  <w:noWrap w:val="0"/>
                  <w:vAlign w:val="center"/>
                </w:tcPr>
                <w:p w14:paraId="35089660">
                  <w:pPr>
                    <w:keepNext w:val="0"/>
                    <w:keepLines w:val="0"/>
                    <w:suppressLineNumbers w:val="0"/>
                    <w:spacing w:before="0" w:beforeAutospacing="0" w:after="0" w:afterAutospacing="0"/>
                    <w:ind w:left="0" w:right="0"/>
                    <w:jc w:val="center"/>
                    <w:rPr>
                      <w:rFonts w:hint="default" w:ascii="Times New Roman" w:hAnsi="Times New Roman" w:cs="Times New Roman"/>
                      <w:b w:val="0"/>
                      <w:bCs w:val="0"/>
                    </w:rPr>
                  </w:pPr>
                  <w:r>
                    <w:rPr>
                      <w:rFonts w:hint="default" w:ascii="Times New Roman" w:hAnsi="Times New Roman" w:cs="Times New Roman"/>
                      <w:b w:val="0"/>
                      <w:bCs w:val="0"/>
                    </w:rPr>
                    <w:t>排放口</w:t>
                  </w:r>
                </w:p>
                <w:p w14:paraId="0BB19289">
                  <w:pPr>
                    <w:keepNext w:val="0"/>
                    <w:keepLines w:val="0"/>
                    <w:suppressLineNumbers w:val="0"/>
                    <w:spacing w:before="0" w:beforeAutospacing="0" w:after="0" w:afterAutospacing="0"/>
                    <w:ind w:left="0" w:right="0"/>
                    <w:jc w:val="center"/>
                    <w:rPr>
                      <w:rFonts w:hint="default" w:ascii="Times New Roman" w:hAnsi="Times New Roman" w:cs="Times New Roman"/>
                      <w:b w:val="0"/>
                      <w:bCs w:val="0"/>
                    </w:rPr>
                  </w:pPr>
                  <w:r>
                    <w:rPr>
                      <w:rFonts w:hint="default" w:ascii="Times New Roman" w:hAnsi="Times New Roman" w:cs="Times New Roman"/>
                      <w:b w:val="0"/>
                      <w:bCs w:val="0"/>
                    </w:rPr>
                    <w:t>名称</w:t>
                  </w:r>
                </w:p>
              </w:tc>
              <w:tc>
                <w:tcPr>
                  <w:tcW w:w="1555" w:type="pct"/>
                  <w:noWrap w:val="0"/>
                  <w:vAlign w:val="center"/>
                </w:tcPr>
                <w:p w14:paraId="2FDAD851">
                  <w:pPr>
                    <w:keepNext w:val="0"/>
                    <w:keepLines w:val="0"/>
                    <w:suppressLineNumbers w:val="0"/>
                    <w:spacing w:before="0" w:beforeAutospacing="0" w:after="0" w:afterAutospacing="0"/>
                    <w:ind w:left="0" w:right="0"/>
                    <w:jc w:val="center"/>
                    <w:rPr>
                      <w:rFonts w:hint="default" w:ascii="Times New Roman" w:hAnsi="Times New Roman" w:cs="Times New Roman"/>
                      <w:b w:val="0"/>
                      <w:bCs w:val="0"/>
                    </w:rPr>
                  </w:pPr>
                  <w:r>
                    <w:rPr>
                      <w:rFonts w:hint="default" w:ascii="Times New Roman" w:hAnsi="Times New Roman" w:cs="Times New Roman"/>
                      <w:b w:val="0"/>
                      <w:bCs w:val="0"/>
                    </w:rPr>
                    <w:t>执行标准</w:t>
                  </w:r>
                </w:p>
              </w:tc>
              <w:tc>
                <w:tcPr>
                  <w:tcW w:w="594" w:type="pct"/>
                  <w:noWrap w:val="0"/>
                  <w:vAlign w:val="center"/>
                </w:tcPr>
                <w:p w14:paraId="643C2437">
                  <w:pPr>
                    <w:keepNext w:val="0"/>
                    <w:keepLines w:val="0"/>
                    <w:suppressLineNumbers w:val="0"/>
                    <w:spacing w:before="0" w:beforeAutospacing="0" w:after="0" w:afterAutospacing="0"/>
                    <w:ind w:left="0" w:right="0"/>
                    <w:jc w:val="center"/>
                    <w:rPr>
                      <w:rFonts w:hint="default" w:ascii="Times New Roman" w:hAnsi="Times New Roman" w:cs="Times New Roman"/>
                      <w:b w:val="0"/>
                      <w:bCs w:val="0"/>
                    </w:rPr>
                  </w:pPr>
                  <w:r>
                    <w:rPr>
                      <w:rFonts w:hint="default" w:ascii="Times New Roman" w:hAnsi="Times New Roman" w:cs="Times New Roman"/>
                      <w:b w:val="0"/>
                      <w:bCs w:val="0"/>
                    </w:rPr>
                    <w:t>类别</w:t>
                  </w:r>
                </w:p>
              </w:tc>
              <w:tc>
                <w:tcPr>
                  <w:tcW w:w="914" w:type="pct"/>
                  <w:noWrap w:val="0"/>
                  <w:vAlign w:val="center"/>
                </w:tcPr>
                <w:p w14:paraId="6C1D3231">
                  <w:pPr>
                    <w:keepNext w:val="0"/>
                    <w:keepLines w:val="0"/>
                    <w:suppressLineNumbers w:val="0"/>
                    <w:spacing w:before="0" w:beforeAutospacing="0" w:after="0" w:afterAutospacing="0"/>
                    <w:ind w:left="0" w:right="0"/>
                    <w:jc w:val="center"/>
                    <w:rPr>
                      <w:rFonts w:hint="default" w:ascii="Times New Roman" w:hAnsi="Times New Roman" w:cs="Times New Roman"/>
                      <w:b w:val="0"/>
                      <w:bCs w:val="0"/>
                    </w:rPr>
                  </w:pPr>
                  <w:r>
                    <w:rPr>
                      <w:rFonts w:hint="default" w:ascii="Times New Roman" w:hAnsi="Times New Roman" w:cs="Times New Roman"/>
                      <w:b w:val="0"/>
                      <w:bCs w:val="0"/>
                    </w:rPr>
                    <w:t>污染物指标</w:t>
                  </w:r>
                </w:p>
              </w:tc>
              <w:tc>
                <w:tcPr>
                  <w:tcW w:w="602" w:type="pct"/>
                  <w:noWrap w:val="0"/>
                  <w:vAlign w:val="center"/>
                </w:tcPr>
                <w:p w14:paraId="46982703">
                  <w:pPr>
                    <w:keepNext w:val="0"/>
                    <w:keepLines w:val="0"/>
                    <w:suppressLineNumbers w:val="0"/>
                    <w:spacing w:before="0" w:beforeAutospacing="0" w:after="0" w:afterAutospacing="0"/>
                    <w:ind w:left="0" w:right="0"/>
                    <w:jc w:val="center"/>
                    <w:rPr>
                      <w:rFonts w:hint="default" w:ascii="Times New Roman" w:hAnsi="Times New Roman" w:cs="Times New Roman"/>
                      <w:b w:val="0"/>
                      <w:bCs w:val="0"/>
                    </w:rPr>
                  </w:pPr>
                  <w:r>
                    <w:rPr>
                      <w:rFonts w:hint="default" w:ascii="Times New Roman" w:hAnsi="Times New Roman" w:cs="Times New Roman"/>
                      <w:b w:val="0"/>
                      <w:bCs w:val="0"/>
                    </w:rPr>
                    <w:t>单位</w:t>
                  </w:r>
                </w:p>
              </w:tc>
              <w:tc>
                <w:tcPr>
                  <w:tcW w:w="749" w:type="pct"/>
                  <w:noWrap w:val="0"/>
                  <w:vAlign w:val="center"/>
                </w:tcPr>
                <w:p w14:paraId="774BD212">
                  <w:pPr>
                    <w:keepNext w:val="0"/>
                    <w:keepLines w:val="0"/>
                    <w:suppressLineNumbers w:val="0"/>
                    <w:spacing w:before="0" w:beforeAutospacing="0" w:after="0" w:afterAutospacing="0"/>
                    <w:ind w:left="0" w:right="0"/>
                    <w:jc w:val="center"/>
                    <w:rPr>
                      <w:rFonts w:hint="default" w:ascii="Times New Roman" w:hAnsi="Times New Roman" w:cs="Times New Roman"/>
                      <w:b w:val="0"/>
                      <w:bCs w:val="0"/>
                    </w:rPr>
                  </w:pPr>
                  <w:r>
                    <w:rPr>
                      <w:rFonts w:hint="default" w:ascii="Times New Roman" w:hAnsi="Times New Roman" w:cs="Times New Roman"/>
                      <w:b w:val="0"/>
                      <w:bCs w:val="0"/>
                    </w:rPr>
                    <w:t>标准限值</w:t>
                  </w:r>
                </w:p>
              </w:tc>
            </w:tr>
            <w:tr w14:paraId="4B091D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restart"/>
                  <w:noWrap w:val="0"/>
                  <w:vAlign w:val="center"/>
                </w:tcPr>
                <w:p w14:paraId="65ECA27F">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废水排放口</w:t>
                  </w:r>
                </w:p>
              </w:tc>
              <w:tc>
                <w:tcPr>
                  <w:tcW w:w="1555" w:type="pct"/>
                  <w:vMerge w:val="restart"/>
                  <w:noWrap w:val="0"/>
                  <w:vAlign w:val="center"/>
                </w:tcPr>
                <w:p w14:paraId="2FB38032">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《污水综合排放标准》（GB8978-1996）</w:t>
                  </w:r>
                </w:p>
              </w:tc>
              <w:tc>
                <w:tcPr>
                  <w:tcW w:w="594" w:type="pct"/>
                  <w:vMerge w:val="restart"/>
                  <w:noWrap w:val="0"/>
                  <w:vAlign w:val="center"/>
                </w:tcPr>
                <w:p w14:paraId="312C573A">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表4三级标准</w:t>
                  </w:r>
                </w:p>
              </w:tc>
              <w:tc>
                <w:tcPr>
                  <w:tcW w:w="914" w:type="pct"/>
                  <w:noWrap w:val="0"/>
                  <w:vAlign w:val="center"/>
                </w:tcPr>
                <w:p w14:paraId="38F4C6F0">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pH</w:t>
                  </w:r>
                </w:p>
              </w:tc>
              <w:tc>
                <w:tcPr>
                  <w:tcW w:w="602" w:type="pct"/>
                  <w:noWrap w:val="0"/>
                  <w:vAlign w:val="center"/>
                </w:tcPr>
                <w:p w14:paraId="7AF953CC">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无量纲</w:t>
                  </w:r>
                </w:p>
              </w:tc>
              <w:tc>
                <w:tcPr>
                  <w:tcW w:w="749" w:type="pct"/>
                  <w:noWrap w:val="0"/>
                  <w:vAlign w:val="center"/>
                </w:tcPr>
                <w:p w14:paraId="51C23ED4">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6-9</w:t>
                  </w:r>
                </w:p>
              </w:tc>
            </w:tr>
            <w:tr w14:paraId="55E0A6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noWrap w:val="0"/>
                  <w:vAlign w:val="center"/>
                </w:tcPr>
                <w:p w14:paraId="479A0B6C">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1555" w:type="pct"/>
                  <w:vMerge w:val="continue"/>
                  <w:noWrap w:val="0"/>
                  <w:vAlign w:val="center"/>
                </w:tcPr>
                <w:p w14:paraId="7AB833CF">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594" w:type="pct"/>
                  <w:vMerge w:val="continue"/>
                  <w:noWrap w:val="0"/>
                  <w:vAlign w:val="center"/>
                </w:tcPr>
                <w:p w14:paraId="57430AE1">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914" w:type="pct"/>
                  <w:noWrap w:val="0"/>
                  <w:vAlign w:val="center"/>
                </w:tcPr>
                <w:p w14:paraId="30C29F24">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COD</w:t>
                  </w:r>
                </w:p>
              </w:tc>
              <w:tc>
                <w:tcPr>
                  <w:tcW w:w="602" w:type="pct"/>
                  <w:vMerge w:val="restart"/>
                  <w:noWrap w:val="0"/>
                  <w:vAlign w:val="center"/>
                </w:tcPr>
                <w:p w14:paraId="493B6C85">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mg/L</w:t>
                  </w:r>
                </w:p>
              </w:tc>
              <w:tc>
                <w:tcPr>
                  <w:tcW w:w="749" w:type="pct"/>
                  <w:noWrap w:val="0"/>
                  <w:vAlign w:val="center"/>
                </w:tcPr>
                <w:p w14:paraId="124713DA">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500</w:t>
                  </w:r>
                </w:p>
              </w:tc>
            </w:tr>
            <w:tr w14:paraId="1CE539B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noWrap w:val="0"/>
                  <w:vAlign w:val="center"/>
                </w:tcPr>
                <w:p w14:paraId="332D18F0">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1555" w:type="pct"/>
                  <w:vMerge w:val="continue"/>
                  <w:noWrap w:val="0"/>
                  <w:vAlign w:val="center"/>
                </w:tcPr>
                <w:p w14:paraId="005D042F">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594" w:type="pct"/>
                  <w:vMerge w:val="continue"/>
                  <w:noWrap w:val="0"/>
                  <w:vAlign w:val="center"/>
                </w:tcPr>
                <w:p w14:paraId="4709738E">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914" w:type="pct"/>
                  <w:noWrap w:val="0"/>
                  <w:vAlign w:val="center"/>
                </w:tcPr>
                <w:p w14:paraId="479E863D">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SS</w:t>
                  </w:r>
                </w:p>
              </w:tc>
              <w:tc>
                <w:tcPr>
                  <w:tcW w:w="602" w:type="pct"/>
                  <w:vMerge w:val="continue"/>
                  <w:noWrap w:val="0"/>
                  <w:vAlign w:val="center"/>
                </w:tcPr>
                <w:p w14:paraId="506B2E6D">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749" w:type="pct"/>
                  <w:noWrap w:val="0"/>
                  <w:vAlign w:val="center"/>
                </w:tcPr>
                <w:p w14:paraId="42FD4A50">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400</w:t>
                  </w:r>
                </w:p>
              </w:tc>
            </w:tr>
            <w:tr w14:paraId="5A36EE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noWrap w:val="0"/>
                  <w:vAlign w:val="center"/>
                </w:tcPr>
                <w:p w14:paraId="2A328519">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1555" w:type="pct"/>
                  <w:vMerge w:val="continue"/>
                  <w:noWrap w:val="0"/>
                  <w:vAlign w:val="center"/>
                </w:tcPr>
                <w:p w14:paraId="54BA43B0">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594" w:type="pct"/>
                  <w:vMerge w:val="continue"/>
                  <w:noWrap w:val="0"/>
                  <w:vAlign w:val="center"/>
                </w:tcPr>
                <w:p w14:paraId="30CC1BC4">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914" w:type="pct"/>
                  <w:noWrap w:val="0"/>
                  <w:vAlign w:val="center"/>
                </w:tcPr>
                <w:p w14:paraId="02031BDF">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BOD</w:t>
                  </w:r>
                  <w:r>
                    <w:rPr>
                      <w:rFonts w:hint="default" w:ascii="Times New Roman" w:hAnsi="Times New Roman" w:cs="Times New Roman"/>
                      <w:vertAlign w:val="subscript"/>
                    </w:rPr>
                    <w:t>5</w:t>
                  </w:r>
                </w:p>
              </w:tc>
              <w:tc>
                <w:tcPr>
                  <w:tcW w:w="602" w:type="pct"/>
                  <w:vMerge w:val="continue"/>
                  <w:noWrap w:val="0"/>
                  <w:vAlign w:val="center"/>
                </w:tcPr>
                <w:p w14:paraId="3A092708">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749" w:type="pct"/>
                  <w:noWrap w:val="0"/>
                  <w:vAlign w:val="center"/>
                </w:tcPr>
                <w:p w14:paraId="4AE02ADD">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300</w:t>
                  </w:r>
                </w:p>
              </w:tc>
            </w:tr>
            <w:tr w14:paraId="4D4916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73" w:hRule="atLeast"/>
                <w:jc w:val="center"/>
              </w:trPr>
              <w:tc>
                <w:tcPr>
                  <w:tcW w:w="584" w:type="pct"/>
                  <w:vMerge w:val="continue"/>
                  <w:noWrap w:val="0"/>
                  <w:vAlign w:val="center"/>
                </w:tcPr>
                <w:p w14:paraId="3E2BF353">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1555" w:type="pct"/>
                  <w:vMerge w:val="continue"/>
                  <w:noWrap w:val="0"/>
                  <w:vAlign w:val="center"/>
                </w:tcPr>
                <w:p w14:paraId="38A0C9F9">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594" w:type="pct"/>
                  <w:vMerge w:val="continue"/>
                  <w:noWrap w:val="0"/>
                  <w:vAlign w:val="center"/>
                </w:tcPr>
                <w:p w14:paraId="5CAEA258">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914" w:type="pct"/>
                  <w:noWrap w:val="0"/>
                  <w:vAlign w:val="center"/>
                </w:tcPr>
                <w:p w14:paraId="765EBA5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cs="Times New Roman"/>
                      <w:lang w:val="en-US" w:eastAsia="zh-CN"/>
                    </w:rPr>
                    <w:t>动植物油</w:t>
                  </w:r>
                </w:p>
              </w:tc>
              <w:tc>
                <w:tcPr>
                  <w:tcW w:w="602" w:type="pct"/>
                  <w:vMerge w:val="continue"/>
                  <w:noWrap w:val="0"/>
                  <w:vAlign w:val="center"/>
                </w:tcPr>
                <w:p w14:paraId="3FCF1C7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p>
              </w:tc>
              <w:tc>
                <w:tcPr>
                  <w:tcW w:w="749" w:type="pct"/>
                  <w:noWrap w:val="0"/>
                  <w:vAlign w:val="center"/>
                </w:tcPr>
                <w:p w14:paraId="55C3313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cs="Times New Roman"/>
                      <w:lang w:val="en-US" w:eastAsia="zh-CN"/>
                    </w:rPr>
                    <w:t>100</w:t>
                  </w:r>
                </w:p>
              </w:tc>
            </w:tr>
            <w:tr w14:paraId="71EEAB0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584" w:type="pct"/>
                  <w:vMerge w:val="continue"/>
                  <w:noWrap w:val="0"/>
                  <w:vAlign w:val="center"/>
                </w:tcPr>
                <w:p w14:paraId="315536D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555" w:type="pct"/>
                  <w:vMerge w:val="restart"/>
                  <w:noWrap w:val="0"/>
                  <w:vAlign w:val="center"/>
                </w:tcPr>
                <w:p w14:paraId="2A3ADF9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《污水排入城镇下水道水质标准》（GB/T 31962-2015）</w:t>
                  </w:r>
                </w:p>
              </w:tc>
              <w:tc>
                <w:tcPr>
                  <w:tcW w:w="594" w:type="pct"/>
                  <w:vMerge w:val="restart"/>
                  <w:noWrap w:val="0"/>
                  <w:vAlign w:val="center"/>
                </w:tcPr>
                <w:p w14:paraId="41FA377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表1B级标准</w:t>
                  </w:r>
                </w:p>
              </w:tc>
              <w:tc>
                <w:tcPr>
                  <w:tcW w:w="914" w:type="pct"/>
                  <w:noWrap w:val="0"/>
                  <w:vAlign w:val="center"/>
                </w:tcPr>
                <w:p w14:paraId="192D6D7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氨氮</w:t>
                  </w:r>
                </w:p>
              </w:tc>
              <w:tc>
                <w:tcPr>
                  <w:tcW w:w="602" w:type="pct"/>
                  <w:vMerge w:val="continue"/>
                  <w:noWrap w:val="0"/>
                  <w:vAlign w:val="center"/>
                </w:tcPr>
                <w:p w14:paraId="708812E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749" w:type="pct"/>
                  <w:noWrap w:val="0"/>
                  <w:vAlign w:val="center"/>
                </w:tcPr>
                <w:p w14:paraId="07AF891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45</w:t>
                  </w:r>
                </w:p>
              </w:tc>
            </w:tr>
            <w:tr w14:paraId="38E7CD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584" w:type="pct"/>
                  <w:vMerge w:val="continue"/>
                  <w:noWrap w:val="0"/>
                  <w:vAlign w:val="center"/>
                </w:tcPr>
                <w:p w14:paraId="38AFA01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555" w:type="pct"/>
                  <w:vMerge w:val="continue"/>
                  <w:noWrap w:val="0"/>
                  <w:vAlign w:val="center"/>
                </w:tcPr>
                <w:p w14:paraId="5CAF23BF">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94" w:type="pct"/>
                  <w:vMerge w:val="continue"/>
                  <w:noWrap w:val="0"/>
                  <w:vAlign w:val="center"/>
                </w:tcPr>
                <w:p w14:paraId="75070C1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914" w:type="pct"/>
                  <w:noWrap w:val="0"/>
                  <w:vAlign w:val="center"/>
                </w:tcPr>
                <w:p w14:paraId="34C461B8">
                  <w:pPr>
                    <w:pStyle w:val="65"/>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TN</w:t>
                  </w:r>
                </w:p>
              </w:tc>
              <w:tc>
                <w:tcPr>
                  <w:tcW w:w="602" w:type="pct"/>
                  <w:vMerge w:val="continue"/>
                  <w:noWrap w:val="0"/>
                  <w:vAlign w:val="center"/>
                </w:tcPr>
                <w:p w14:paraId="6BADB63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749" w:type="pct"/>
                  <w:noWrap w:val="0"/>
                  <w:vAlign w:val="center"/>
                </w:tcPr>
                <w:p w14:paraId="67F461B8">
                  <w:pPr>
                    <w:pStyle w:val="65"/>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0"/>
                      <w:highlight w:val="none"/>
                      <w:lang w:val="en-US" w:eastAsia="zh-CN" w:bidi="ar-SA"/>
                      <w14:textFill>
                        <w14:solidFill>
                          <w14:schemeClr w14:val="tx1"/>
                        </w14:solidFill>
                      </w14:textFill>
                    </w:rPr>
                  </w:pPr>
                  <w:r>
                    <w:rPr>
                      <w:rFonts w:hint="eastAsia"/>
                      <w:color w:val="000000" w:themeColor="text1"/>
                      <w:szCs w:val="20"/>
                      <w:highlight w:val="none"/>
                      <w14:textFill>
                        <w14:solidFill>
                          <w14:schemeClr w14:val="tx1"/>
                        </w14:solidFill>
                      </w14:textFill>
                    </w:rPr>
                    <w:t>70</w:t>
                  </w:r>
                </w:p>
              </w:tc>
            </w:tr>
            <w:tr w14:paraId="072FC7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584" w:type="pct"/>
                  <w:vMerge w:val="continue"/>
                  <w:noWrap w:val="0"/>
                  <w:vAlign w:val="center"/>
                </w:tcPr>
                <w:p w14:paraId="4D2418D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555" w:type="pct"/>
                  <w:vMerge w:val="continue"/>
                  <w:noWrap w:val="0"/>
                  <w:vAlign w:val="center"/>
                </w:tcPr>
                <w:p w14:paraId="42B061B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594" w:type="pct"/>
                  <w:vMerge w:val="continue"/>
                  <w:noWrap w:val="0"/>
                  <w:vAlign w:val="center"/>
                </w:tcPr>
                <w:p w14:paraId="085D606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914" w:type="pct"/>
                  <w:noWrap w:val="0"/>
                  <w:vAlign w:val="center"/>
                </w:tcPr>
                <w:p w14:paraId="212889D9">
                  <w:pPr>
                    <w:pStyle w:val="65"/>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TP</w:t>
                  </w:r>
                </w:p>
              </w:tc>
              <w:tc>
                <w:tcPr>
                  <w:tcW w:w="602" w:type="pct"/>
                  <w:vMerge w:val="continue"/>
                  <w:noWrap w:val="0"/>
                  <w:vAlign w:val="center"/>
                </w:tcPr>
                <w:p w14:paraId="31F0A20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749" w:type="pct"/>
                  <w:noWrap w:val="0"/>
                  <w:vAlign w:val="center"/>
                </w:tcPr>
                <w:p w14:paraId="19FF3EDF">
                  <w:pPr>
                    <w:pStyle w:val="65"/>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0"/>
                      <w:highlight w:val="none"/>
                      <w:lang w:val="en-US" w:eastAsia="zh-CN" w:bidi="ar-SA"/>
                      <w14:textFill>
                        <w14:solidFill>
                          <w14:schemeClr w14:val="tx1"/>
                        </w14:solidFill>
                      </w14:textFill>
                    </w:rPr>
                  </w:pPr>
                  <w:r>
                    <w:rPr>
                      <w:rFonts w:hint="eastAsia"/>
                      <w:color w:val="000000" w:themeColor="text1"/>
                      <w:szCs w:val="20"/>
                      <w:highlight w:val="none"/>
                      <w14:textFill>
                        <w14:solidFill>
                          <w14:schemeClr w14:val="tx1"/>
                        </w14:solidFill>
                      </w14:textFill>
                    </w:rPr>
                    <w:t>8</w:t>
                  </w:r>
                </w:p>
              </w:tc>
            </w:tr>
          </w:tbl>
          <w:p w14:paraId="00D639A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000000" w:themeColor="text1"/>
                <w:sz w:val="24"/>
                <w14:textFill>
                  <w14:solidFill>
                    <w14:schemeClr w14:val="tx1"/>
                  </w14:solidFill>
                </w14:textFill>
              </w:rPr>
              <w:t>3、噪声：施工期噪声执行《建筑施工场界环境噪声排放标准》（GB12523-2011）中的相关要求；运营期厂界噪声执行《工业企</w:t>
            </w:r>
            <w:r>
              <w:rPr>
                <w:rFonts w:hint="default" w:ascii="Times New Roman" w:hAnsi="Times New Roman" w:cs="Times New Roman"/>
                <w:color w:val="auto"/>
                <w:sz w:val="24"/>
              </w:rPr>
              <w:t>业厂界环境噪声排放标准》（GB12348-2008）</w:t>
            </w:r>
            <w:r>
              <w:rPr>
                <w:rFonts w:hint="eastAsia" w:ascii="Times New Roman" w:hAnsi="Times New Roman" w:cs="Times New Roman"/>
                <w:color w:val="auto"/>
                <w:sz w:val="24"/>
              </w:rPr>
              <w:t>2</w:t>
            </w:r>
            <w:r>
              <w:rPr>
                <w:rFonts w:hint="default" w:ascii="Times New Roman" w:hAnsi="Times New Roman" w:cs="Times New Roman"/>
                <w:color w:val="auto"/>
                <w:sz w:val="24"/>
              </w:rPr>
              <w:t>类</w:t>
            </w:r>
            <w:r>
              <w:rPr>
                <w:rFonts w:hint="eastAsia" w:cs="Times New Roman"/>
                <w:color w:val="auto"/>
                <w:sz w:val="24"/>
                <w:lang w:val="en-US" w:eastAsia="zh-CN"/>
              </w:rPr>
              <w:t>和4类</w:t>
            </w:r>
            <w:r>
              <w:rPr>
                <w:rFonts w:hint="default" w:ascii="Times New Roman" w:hAnsi="Times New Roman" w:cs="Times New Roman"/>
                <w:color w:val="auto"/>
                <w:sz w:val="24"/>
              </w:rPr>
              <w:t>标准限值。</w:t>
            </w:r>
          </w:p>
          <w:p w14:paraId="3E6E9BE3">
            <w:pPr>
              <w:pStyle w:val="7"/>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表3-</w:t>
            </w:r>
            <w:r>
              <w:rPr>
                <w:rFonts w:hint="eastAsia" w:ascii="Times New Roman" w:hAnsi="Times New Roman" w:eastAsia="宋体" w:cs="Times New Roman"/>
                <w:b/>
                <w:color w:val="auto"/>
                <w:sz w:val="24"/>
              </w:rPr>
              <w:t>7</w:t>
            </w:r>
            <w:r>
              <w:rPr>
                <w:rFonts w:hint="default" w:ascii="Times New Roman" w:hAnsi="Times New Roman" w:eastAsia="宋体" w:cs="Times New Roman"/>
                <w:b/>
                <w:color w:val="auto"/>
                <w:sz w:val="24"/>
              </w:rPr>
              <w:t xml:space="preserve">  噪声排放标准</w:t>
            </w:r>
          </w:p>
          <w:tbl>
            <w:tblPr>
              <w:tblStyle w:val="26"/>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50"/>
              <w:gridCol w:w="1335"/>
              <w:gridCol w:w="1305"/>
              <w:gridCol w:w="1289"/>
              <w:gridCol w:w="2593"/>
            </w:tblGrid>
            <w:tr w14:paraId="6839B8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restart"/>
                  <w:noWrap w:val="0"/>
                  <w:tcMar>
                    <w:top w:w="0" w:type="dxa"/>
                    <w:left w:w="57" w:type="dxa"/>
                    <w:bottom w:w="0" w:type="dxa"/>
                    <w:right w:w="57" w:type="dxa"/>
                  </w:tcMar>
                  <w:vAlign w:val="center"/>
                </w:tcPr>
                <w:p w14:paraId="2CA21DC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项目阶段</w:t>
                  </w:r>
                </w:p>
              </w:tc>
              <w:tc>
                <w:tcPr>
                  <w:tcW w:w="837" w:type="pct"/>
                  <w:vMerge w:val="restart"/>
                  <w:noWrap w:val="0"/>
                  <w:vAlign w:val="center"/>
                </w:tcPr>
                <w:p w14:paraId="1F01886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功能类别</w:t>
                  </w:r>
                </w:p>
              </w:tc>
              <w:tc>
                <w:tcPr>
                  <w:tcW w:w="1626" w:type="pct"/>
                  <w:gridSpan w:val="2"/>
                  <w:noWrap w:val="0"/>
                  <w:vAlign w:val="center"/>
                </w:tcPr>
                <w:p w14:paraId="28ADCC4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限值</w:t>
                  </w:r>
                  <w:r>
                    <w:rPr>
                      <w:rFonts w:hint="default" w:ascii="Times New Roman" w:hAnsi="Times New Roman" w:cs="Times New Roman"/>
                      <w:b/>
                      <w:bCs/>
                      <w:color w:val="auto"/>
                      <w:kern w:val="0"/>
                      <w:szCs w:val="21"/>
                    </w:rPr>
                    <w:t>dB(A)</w:t>
                  </w:r>
                </w:p>
              </w:tc>
              <w:tc>
                <w:tcPr>
                  <w:tcW w:w="1626" w:type="pct"/>
                  <w:vMerge w:val="restart"/>
                  <w:noWrap w:val="0"/>
                  <w:vAlign w:val="center"/>
                </w:tcPr>
                <w:p w14:paraId="6FE14E8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color w:val="auto"/>
                      <w:kern w:val="0"/>
                      <w:szCs w:val="21"/>
                      <w:lang w:val="en-US" w:eastAsia="zh-CN"/>
                    </w:rPr>
                  </w:pPr>
                  <w:r>
                    <w:rPr>
                      <w:rFonts w:hint="eastAsia" w:cs="Times New Roman"/>
                      <w:b/>
                      <w:color w:val="auto"/>
                      <w:kern w:val="0"/>
                      <w:szCs w:val="21"/>
                      <w:lang w:val="en-US" w:eastAsia="zh-CN"/>
                    </w:rPr>
                    <w:t>位置</w:t>
                  </w:r>
                </w:p>
              </w:tc>
            </w:tr>
            <w:tr w14:paraId="4B4C6A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vMerge w:val="continue"/>
                  <w:noWrap w:val="0"/>
                  <w:tcMar>
                    <w:top w:w="0" w:type="dxa"/>
                    <w:left w:w="57" w:type="dxa"/>
                    <w:bottom w:w="0" w:type="dxa"/>
                    <w:right w:w="57" w:type="dxa"/>
                  </w:tcMar>
                  <w:vAlign w:val="center"/>
                </w:tcPr>
                <w:p w14:paraId="56576AE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rPr>
                  </w:pPr>
                </w:p>
              </w:tc>
              <w:tc>
                <w:tcPr>
                  <w:tcW w:w="837" w:type="pct"/>
                  <w:vMerge w:val="continue"/>
                  <w:noWrap w:val="0"/>
                  <w:vAlign w:val="center"/>
                </w:tcPr>
                <w:p w14:paraId="37D211D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rPr>
                  </w:pPr>
                </w:p>
              </w:tc>
              <w:tc>
                <w:tcPr>
                  <w:tcW w:w="818" w:type="pct"/>
                  <w:noWrap w:val="0"/>
                  <w:vAlign w:val="center"/>
                </w:tcPr>
                <w:p w14:paraId="4AC82B0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昼间</w:t>
                  </w:r>
                </w:p>
              </w:tc>
              <w:tc>
                <w:tcPr>
                  <w:tcW w:w="808" w:type="pct"/>
                  <w:noWrap w:val="0"/>
                  <w:vAlign w:val="center"/>
                </w:tcPr>
                <w:p w14:paraId="64C1044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夜间</w:t>
                  </w:r>
                </w:p>
              </w:tc>
              <w:tc>
                <w:tcPr>
                  <w:tcW w:w="1626" w:type="pct"/>
                  <w:vMerge w:val="continue"/>
                  <w:noWrap w:val="0"/>
                  <w:vAlign w:val="center"/>
                </w:tcPr>
                <w:p w14:paraId="57B055F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kern w:val="0"/>
                      <w:szCs w:val="21"/>
                    </w:rPr>
                  </w:pPr>
                </w:p>
              </w:tc>
            </w:tr>
            <w:tr w14:paraId="64428E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09" w:type="pct"/>
                  <w:noWrap w:val="0"/>
                  <w:tcMar>
                    <w:top w:w="0" w:type="dxa"/>
                    <w:left w:w="57" w:type="dxa"/>
                    <w:bottom w:w="0" w:type="dxa"/>
                    <w:right w:w="57" w:type="dxa"/>
                  </w:tcMar>
                  <w:vAlign w:val="center"/>
                </w:tcPr>
                <w:p w14:paraId="349E196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施工期</w:t>
                  </w:r>
                </w:p>
              </w:tc>
              <w:tc>
                <w:tcPr>
                  <w:tcW w:w="837" w:type="pct"/>
                  <w:noWrap w:val="0"/>
                  <w:vAlign w:val="center"/>
                </w:tcPr>
                <w:p w14:paraId="364956D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w:t>
                  </w:r>
                </w:p>
              </w:tc>
              <w:tc>
                <w:tcPr>
                  <w:tcW w:w="818" w:type="pct"/>
                  <w:noWrap w:val="0"/>
                  <w:vAlign w:val="center"/>
                </w:tcPr>
                <w:p w14:paraId="421C91F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70</w:t>
                  </w:r>
                </w:p>
              </w:tc>
              <w:tc>
                <w:tcPr>
                  <w:tcW w:w="808" w:type="pct"/>
                  <w:noWrap w:val="0"/>
                  <w:vAlign w:val="center"/>
                </w:tcPr>
                <w:p w14:paraId="73D286B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55</w:t>
                  </w:r>
                </w:p>
              </w:tc>
              <w:tc>
                <w:tcPr>
                  <w:tcW w:w="1626" w:type="pct"/>
                  <w:noWrap w:val="0"/>
                  <w:vAlign w:val="center"/>
                </w:tcPr>
                <w:p w14:paraId="318D0D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0"/>
                      <w:szCs w:val="21"/>
                      <w:lang w:val="en-US" w:eastAsia="zh-CN"/>
                    </w:rPr>
                  </w:pPr>
                  <w:r>
                    <w:rPr>
                      <w:rFonts w:hint="eastAsia" w:cs="Times New Roman"/>
                      <w:bCs/>
                      <w:color w:val="auto"/>
                      <w:kern w:val="0"/>
                      <w:szCs w:val="21"/>
                      <w:lang w:val="en-US" w:eastAsia="zh-CN"/>
                    </w:rPr>
                    <w:t>厂界四周</w:t>
                  </w:r>
                </w:p>
              </w:tc>
            </w:tr>
            <w:tr w14:paraId="2A3153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pct"/>
                  <w:vMerge w:val="restart"/>
                  <w:noWrap w:val="0"/>
                  <w:tcMar>
                    <w:top w:w="0" w:type="dxa"/>
                    <w:left w:w="57" w:type="dxa"/>
                    <w:bottom w:w="0" w:type="dxa"/>
                    <w:right w:w="57" w:type="dxa"/>
                  </w:tcMar>
                  <w:vAlign w:val="center"/>
                </w:tcPr>
                <w:p w14:paraId="04AE5A5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运营期</w:t>
                  </w:r>
                </w:p>
              </w:tc>
              <w:tc>
                <w:tcPr>
                  <w:tcW w:w="837" w:type="pct"/>
                  <w:noWrap w:val="0"/>
                  <w:vAlign w:val="center"/>
                </w:tcPr>
                <w:p w14:paraId="5569419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rPr>
                  </w:pPr>
                  <w:r>
                    <w:rPr>
                      <w:rFonts w:hint="eastAsia" w:ascii="Times New Roman" w:hAnsi="Times New Roman" w:cs="Times New Roman"/>
                      <w:color w:val="auto"/>
                      <w:kern w:val="0"/>
                      <w:szCs w:val="21"/>
                    </w:rPr>
                    <w:t>2</w:t>
                  </w:r>
                  <w:r>
                    <w:rPr>
                      <w:rFonts w:hint="default" w:ascii="Times New Roman" w:hAnsi="Times New Roman" w:cs="Times New Roman"/>
                      <w:color w:val="auto"/>
                      <w:kern w:val="0"/>
                      <w:szCs w:val="21"/>
                    </w:rPr>
                    <w:t>类</w:t>
                  </w:r>
                </w:p>
              </w:tc>
              <w:tc>
                <w:tcPr>
                  <w:tcW w:w="818" w:type="pct"/>
                  <w:noWrap w:val="0"/>
                  <w:vAlign w:val="center"/>
                </w:tcPr>
                <w:p w14:paraId="6D81864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6</w:t>
                  </w:r>
                  <w:r>
                    <w:rPr>
                      <w:rFonts w:hint="eastAsia" w:ascii="Times New Roman" w:hAnsi="Times New Roman" w:cs="Times New Roman"/>
                      <w:color w:val="auto"/>
                      <w:kern w:val="0"/>
                      <w:szCs w:val="21"/>
                    </w:rPr>
                    <w:t>0</w:t>
                  </w:r>
                </w:p>
              </w:tc>
              <w:tc>
                <w:tcPr>
                  <w:tcW w:w="808" w:type="pct"/>
                  <w:noWrap w:val="0"/>
                  <w:vAlign w:val="center"/>
                </w:tcPr>
                <w:p w14:paraId="5A2428B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5</w:t>
                  </w:r>
                  <w:r>
                    <w:rPr>
                      <w:rFonts w:hint="eastAsia" w:ascii="Times New Roman" w:hAnsi="Times New Roman" w:cs="Times New Roman"/>
                      <w:color w:val="auto"/>
                      <w:kern w:val="0"/>
                      <w:szCs w:val="21"/>
                    </w:rPr>
                    <w:t>0</w:t>
                  </w:r>
                </w:p>
              </w:tc>
              <w:tc>
                <w:tcPr>
                  <w:tcW w:w="1626" w:type="pct"/>
                  <w:noWrap w:val="0"/>
                  <w:vAlign w:val="center"/>
                </w:tcPr>
                <w:p w14:paraId="3D38D0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厂界北、厂界南、厂界西</w:t>
                  </w:r>
                </w:p>
              </w:tc>
            </w:tr>
            <w:tr w14:paraId="092C83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9" w:type="pct"/>
                  <w:vMerge w:val="continue"/>
                  <w:noWrap w:val="0"/>
                  <w:tcMar>
                    <w:top w:w="0" w:type="dxa"/>
                    <w:left w:w="57" w:type="dxa"/>
                    <w:bottom w:w="0" w:type="dxa"/>
                    <w:right w:w="57" w:type="dxa"/>
                  </w:tcMar>
                  <w:vAlign w:val="center"/>
                </w:tcPr>
                <w:p w14:paraId="3A9AAC6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Cs w:val="21"/>
                    </w:rPr>
                  </w:pPr>
                </w:p>
              </w:tc>
              <w:tc>
                <w:tcPr>
                  <w:tcW w:w="837" w:type="pct"/>
                  <w:noWrap w:val="0"/>
                  <w:vAlign w:val="center"/>
                </w:tcPr>
                <w:p w14:paraId="676F54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4类</w:t>
                  </w:r>
                </w:p>
              </w:tc>
              <w:tc>
                <w:tcPr>
                  <w:tcW w:w="818" w:type="pct"/>
                  <w:noWrap w:val="0"/>
                  <w:vAlign w:val="center"/>
                </w:tcPr>
                <w:p w14:paraId="440397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70</w:t>
                  </w:r>
                </w:p>
              </w:tc>
              <w:tc>
                <w:tcPr>
                  <w:tcW w:w="808" w:type="pct"/>
                  <w:noWrap w:val="0"/>
                  <w:vAlign w:val="center"/>
                </w:tcPr>
                <w:p w14:paraId="749957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r>
                    <w:rPr>
                      <w:rFonts w:hint="eastAsia" w:cs="Times New Roman"/>
                      <w:color w:val="auto"/>
                      <w:kern w:val="0"/>
                      <w:szCs w:val="21"/>
                      <w:lang w:val="en-US" w:eastAsia="zh-CN"/>
                    </w:rPr>
                    <w:t>55</w:t>
                  </w:r>
                </w:p>
              </w:tc>
              <w:tc>
                <w:tcPr>
                  <w:tcW w:w="1626" w:type="pct"/>
                  <w:noWrap w:val="0"/>
                  <w:vAlign w:val="center"/>
                </w:tcPr>
                <w:p w14:paraId="0E50FAA0">
                  <w:pPr>
                    <w:keepNext w:val="0"/>
                    <w:keepLines w:val="0"/>
                    <w:suppressLineNumbers w:val="0"/>
                    <w:adjustRightInd w:val="0"/>
                    <w:snapToGrid w:val="0"/>
                    <w:spacing w:before="0" w:beforeAutospacing="0" w:after="0" w:afterAutospacing="0"/>
                    <w:ind w:left="0" w:right="0"/>
                    <w:jc w:val="center"/>
                    <w:rPr>
                      <w:rFonts w:hint="default" w:cs="Times New Roman"/>
                      <w:color w:val="auto"/>
                      <w:kern w:val="0"/>
                      <w:szCs w:val="21"/>
                      <w:lang w:val="en-US" w:eastAsia="zh-CN"/>
                    </w:rPr>
                  </w:pPr>
                  <w:r>
                    <w:rPr>
                      <w:rFonts w:hint="eastAsia" w:cs="Times New Roman"/>
                      <w:color w:val="auto"/>
                      <w:kern w:val="0"/>
                      <w:szCs w:val="21"/>
                      <w:lang w:val="en-US" w:eastAsia="zh-CN"/>
                    </w:rPr>
                    <w:t>厂界东</w:t>
                  </w:r>
                </w:p>
              </w:tc>
            </w:tr>
          </w:tbl>
          <w:p w14:paraId="48A03A09">
            <w:pPr>
              <w:keepNext w:val="0"/>
              <w:keepLines w:val="0"/>
              <w:suppressLineNumbers w:val="0"/>
              <w:tabs>
                <w:tab w:val="left" w:pos="1680"/>
              </w:tabs>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kern w:val="0"/>
                <w:szCs w:val="21"/>
              </w:rPr>
            </w:pPr>
            <w:r>
              <w:rPr>
                <w:rFonts w:hint="default" w:ascii="Times New Roman" w:hAnsi="Times New Roman" w:cs="Times New Roman"/>
                <w:color w:val="auto"/>
                <w:sz w:val="24"/>
              </w:rPr>
              <w:t>4、固废：</w:t>
            </w:r>
            <w:r>
              <w:rPr>
                <w:rFonts w:hint="eastAsia" w:cs="Times New Roman"/>
                <w:color w:val="auto"/>
                <w:sz w:val="24"/>
                <w:lang w:val="en-US" w:eastAsia="zh-CN"/>
              </w:rPr>
              <w:t>一般固废执行</w:t>
            </w:r>
            <w:r>
              <w:rPr>
                <w:rFonts w:hint="default" w:ascii="Times New Roman" w:hAnsi="Times New Roman" w:cs="Times New Roman"/>
                <w:color w:val="auto"/>
                <w:sz w:val="24"/>
              </w:rPr>
              <w:t>《一般工业固体废物贮存和填埋污染控制标准》（GB18599-2020）、危险废物执行《危险废物贮存污染控制标准》（GB18597-2023）中相关规定。</w:t>
            </w:r>
          </w:p>
        </w:tc>
      </w:tr>
      <w:tr w14:paraId="683BED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30" w:hRule="atLeast"/>
          <w:jc w:val="center"/>
        </w:trPr>
        <w:tc>
          <w:tcPr>
            <w:tcW w:w="800" w:type="dxa"/>
            <w:noWrap w:val="0"/>
            <w:vAlign w:val="center"/>
          </w:tcPr>
          <w:p w14:paraId="3C8D568A">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总量</w:t>
            </w:r>
          </w:p>
          <w:p w14:paraId="6D7D60D7">
            <w:pPr>
              <w:keepNext w:val="0"/>
              <w:keepLines w:val="0"/>
              <w:suppressLineNumbers w:val="0"/>
              <w:adjustRightInd w:val="0"/>
              <w:snapToGrid w:val="0"/>
              <w:spacing w:before="0" w:beforeAutospacing="0" w:after="0" w:afterAutospacing="0"/>
              <w:ind w:left="0" w:right="0"/>
              <w:jc w:val="center"/>
              <w:rPr>
                <w:rFonts w:hint="eastAsia" w:ascii="宋体" w:hAnsi="宋体" w:cs="宋体"/>
                <w:color w:val="auto"/>
                <w:kern w:val="0"/>
                <w:szCs w:val="21"/>
              </w:rPr>
            </w:pPr>
            <w:r>
              <w:rPr>
                <w:rFonts w:hint="eastAsia" w:ascii="宋体" w:hAnsi="宋体" w:cs="宋体"/>
                <w:color w:val="auto"/>
                <w:kern w:val="0"/>
                <w:szCs w:val="21"/>
              </w:rPr>
              <w:t>控制</w:t>
            </w:r>
          </w:p>
          <w:p w14:paraId="39AAF7EA">
            <w:pPr>
              <w:keepNext w:val="0"/>
              <w:keepLines w:val="0"/>
              <w:suppressLineNumbers w:val="0"/>
              <w:adjustRightInd w:val="0"/>
              <w:snapToGrid w:val="0"/>
              <w:spacing w:before="0" w:beforeAutospacing="0" w:after="0" w:afterAutospacing="0"/>
              <w:ind w:left="0" w:right="0"/>
              <w:jc w:val="center"/>
              <w:rPr>
                <w:rFonts w:hint="default" w:ascii="宋体" w:hAnsi="宋体" w:cs="宋体"/>
                <w:color w:val="auto"/>
                <w:kern w:val="0"/>
                <w:szCs w:val="21"/>
              </w:rPr>
            </w:pPr>
            <w:r>
              <w:rPr>
                <w:rFonts w:hint="eastAsia" w:ascii="宋体" w:hAnsi="宋体" w:cs="宋体"/>
                <w:color w:val="auto"/>
                <w:kern w:val="0"/>
                <w:szCs w:val="21"/>
              </w:rPr>
              <w:t>指标</w:t>
            </w:r>
          </w:p>
        </w:tc>
        <w:tc>
          <w:tcPr>
            <w:tcW w:w="8190" w:type="dxa"/>
            <w:noWrap w:val="0"/>
            <w:vAlign w:val="center"/>
          </w:tcPr>
          <w:p w14:paraId="61042B1E">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根据“十四五”全国主要污染物排放总量控制中提出的全国主要污染物排放总量控制项目，结合本项目工艺特征和排污特点</w:t>
            </w:r>
            <w:r>
              <w:rPr>
                <w:rFonts w:hint="default" w:ascii="Times New Roman" w:hAnsi="Times New Roman" w:cs="Times New Roman"/>
                <w:color w:val="auto"/>
                <w:sz w:val="24"/>
                <w:lang w:val="en-US" w:eastAsia="zh-CN"/>
              </w:rPr>
              <w:t>及《陕西省生态环境厅关于解决企业申报污染物许可排放量与环评文件排放量不一致问题的通知》（陕环排管函〔2024〕18 号）中“三、新改扩建项目环评文件应明确污染物排放量核算符合排污许可规范等相关要求，同时增加该项目与已建成同类项目实际污染物达标排放量的比对分析内容（优先采用监测数据法，其次采用产排污系数法、物料衡算法核算），综合确定该项目污染物排放量。环评文件审批部门应将项目污染物排放量作为环评审查的主要内容，确保环评文件排放量同时满足环境影响评价和排污许可管理要求。”的要求。</w:t>
            </w:r>
          </w:p>
          <w:p w14:paraId="13821AC1">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本项目属于扩建项目，参考现有工程有组织废气自行监测报告（附件1</w:t>
            </w:r>
            <w:r>
              <w:rPr>
                <w:rFonts w:hint="eastAsia" w:cs="Times New Roman"/>
                <w:color w:val="auto"/>
                <w:sz w:val="24"/>
                <w:lang w:val="en-US" w:eastAsia="zh-CN"/>
              </w:rPr>
              <w:t>4</w:t>
            </w:r>
            <w:r>
              <w:rPr>
                <w:rFonts w:hint="eastAsia" w:ascii="Times New Roman" w:hAnsi="Times New Roman" w:cs="Times New Roman"/>
                <w:color w:val="auto"/>
                <w:sz w:val="24"/>
                <w:lang w:val="en-US" w:eastAsia="zh-CN"/>
              </w:rPr>
              <w:t>），现有项目</w:t>
            </w:r>
            <w:r>
              <w:rPr>
                <w:rFonts w:hint="eastAsia" w:cs="Times New Roman"/>
                <w:color w:val="auto"/>
                <w:sz w:val="24"/>
                <w:lang w:val="en-US" w:eastAsia="zh-CN"/>
              </w:rPr>
              <w:t>非甲烷总烃</w:t>
            </w:r>
            <w:r>
              <w:rPr>
                <w:rFonts w:hint="eastAsia" w:ascii="Times New Roman" w:hAnsi="Times New Roman" w:cs="Times New Roman"/>
                <w:color w:val="auto"/>
                <w:sz w:val="24"/>
                <w:lang w:val="en-US" w:eastAsia="zh-CN"/>
              </w:rPr>
              <w:t>排放速率为0.0</w:t>
            </w:r>
            <w:r>
              <w:rPr>
                <w:rFonts w:hint="eastAsia" w:cs="Times New Roman"/>
                <w:color w:val="auto"/>
                <w:sz w:val="24"/>
                <w:lang w:val="en-US" w:eastAsia="zh-CN"/>
              </w:rPr>
              <w:t>843</w:t>
            </w:r>
            <w:r>
              <w:rPr>
                <w:rFonts w:hint="eastAsia" w:ascii="Times New Roman" w:hAnsi="Times New Roman" w:cs="Times New Roman"/>
                <w:color w:val="auto"/>
                <w:sz w:val="24"/>
                <w:lang w:val="en-US" w:eastAsia="zh-CN"/>
              </w:rPr>
              <w:t>kg/h，</w:t>
            </w:r>
            <w:r>
              <w:rPr>
                <w:rFonts w:hint="eastAsia" w:cs="Times New Roman"/>
                <w:color w:val="auto"/>
                <w:sz w:val="24"/>
                <w:lang w:val="en-US" w:eastAsia="zh-CN"/>
              </w:rPr>
              <w:t>运行时间为6300h/a，则非甲烷总烃</w:t>
            </w:r>
            <w:r>
              <w:rPr>
                <w:rFonts w:hint="eastAsia" w:ascii="Times New Roman" w:hAnsi="Times New Roman" w:cs="Times New Roman"/>
                <w:color w:val="auto"/>
                <w:sz w:val="24"/>
                <w:lang w:val="en-US" w:eastAsia="zh-CN"/>
              </w:rPr>
              <w:t>排放量为0.</w:t>
            </w:r>
            <w:r>
              <w:rPr>
                <w:rFonts w:hint="eastAsia" w:cs="Times New Roman"/>
                <w:color w:val="auto"/>
                <w:sz w:val="24"/>
                <w:lang w:val="en-US" w:eastAsia="zh-CN"/>
              </w:rPr>
              <w:t>531</w:t>
            </w:r>
            <w:r>
              <w:rPr>
                <w:rFonts w:hint="eastAsia" w:ascii="Times New Roman" w:hAnsi="Times New Roman" w:cs="Times New Roman"/>
                <w:color w:val="auto"/>
                <w:sz w:val="24"/>
                <w:lang w:val="en-US" w:eastAsia="zh-CN"/>
              </w:rPr>
              <w:t>t/a，现有工程</w:t>
            </w:r>
            <w:r>
              <w:rPr>
                <w:rFonts w:hint="eastAsia" w:cs="Times New Roman"/>
                <w:color w:val="auto"/>
                <w:sz w:val="24"/>
                <w:lang w:val="en-US" w:eastAsia="zh-CN"/>
              </w:rPr>
              <w:t>油墨</w:t>
            </w:r>
            <w:r>
              <w:rPr>
                <w:rFonts w:hint="eastAsia" w:ascii="Times New Roman" w:hAnsi="Times New Roman" w:cs="Times New Roman"/>
                <w:color w:val="auto"/>
                <w:sz w:val="24"/>
                <w:lang w:val="en-US" w:eastAsia="zh-CN"/>
              </w:rPr>
              <w:t>使用量为</w:t>
            </w:r>
            <w:r>
              <w:rPr>
                <w:rFonts w:hint="eastAsia" w:cs="Times New Roman"/>
                <w:color w:val="auto"/>
                <w:sz w:val="24"/>
                <w:lang w:val="en-US" w:eastAsia="zh-CN"/>
              </w:rPr>
              <w:t>5</w:t>
            </w:r>
            <w:r>
              <w:rPr>
                <w:rFonts w:hint="eastAsia" w:ascii="Times New Roman" w:hAnsi="Times New Roman" w:cs="Times New Roman"/>
                <w:color w:val="auto"/>
                <w:sz w:val="24"/>
                <w:lang w:val="en-US" w:eastAsia="zh-CN"/>
              </w:rPr>
              <w:t>t/a，采用监测数据法核算后现有工程每吨</w:t>
            </w:r>
            <w:r>
              <w:rPr>
                <w:rFonts w:hint="eastAsia" w:cs="Times New Roman"/>
                <w:color w:val="auto"/>
                <w:sz w:val="24"/>
                <w:lang w:val="en-US" w:eastAsia="zh-CN"/>
              </w:rPr>
              <w:t>油墨产生的非甲烷总烃为0.106</w:t>
            </w:r>
            <w:r>
              <w:rPr>
                <w:rFonts w:hint="eastAsia" w:ascii="Times New Roman" w:hAnsi="Times New Roman" w:cs="Times New Roman"/>
                <w:color w:val="auto"/>
                <w:sz w:val="24"/>
                <w:lang w:val="en-US" w:eastAsia="zh-CN"/>
              </w:rPr>
              <w:t>t/a。本项目按照</w:t>
            </w:r>
            <w:r>
              <w:rPr>
                <w:rFonts w:hint="default" w:ascii="Times New Roman" w:hAnsi="Times New Roman" w:cs="Times New Roman"/>
                <w:color w:val="auto"/>
                <w:sz w:val="24"/>
                <w:lang w:val="en-US" w:eastAsia="zh-CN"/>
              </w:rPr>
              <w:t>产排污系数法</w:t>
            </w:r>
            <w:r>
              <w:rPr>
                <w:rFonts w:hint="eastAsia" w:ascii="Times New Roman" w:hAnsi="Times New Roman" w:cs="Times New Roman"/>
                <w:color w:val="auto"/>
                <w:sz w:val="24"/>
                <w:lang w:val="en-US" w:eastAsia="zh-CN"/>
              </w:rPr>
              <w:t>核算后扩建工程</w:t>
            </w:r>
            <w:r>
              <w:rPr>
                <w:rFonts w:hint="eastAsia" w:cs="Times New Roman"/>
                <w:color w:val="auto"/>
                <w:sz w:val="24"/>
                <w:lang w:val="en-US" w:eastAsia="zh-CN"/>
              </w:rPr>
              <w:t>油墨产生的非甲烷总烃</w:t>
            </w:r>
            <w:r>
              <w:rPr>
                <w:rFonts w:hint="eastAsia" w:ascii="Times New Roman" w:hAnsi="Times New Roman" w:cs="Times New Roman"/>
                <w:color w:val="auto"/>
                <w:sz w:val="24"/>
                <w:lang w:val="en-US" w:eastAsia="zh-CN"/>
              </w:rPr>
              <w:t>有组织排放量为</w:t>
            </w:r>
            <w:r>
              <w:rPr>
                <w:rFonts w:hint="eastAsia" w:cs="Times New Roman"/>
                <w:color w:val="auto"/>
                <w:sz w:val="24"/>
                <w:lang w:val="en-US" w:eastAsia="zh-CN"/>
              </w:rPr>
              <w:t>3.45</w:t>
            </w:r>
            <w:r>
              <w:rPr>
                <w:rFonts w:hint="eastAsia" w:ascii="Times New Roman" w:hAnsi="Times New Roman" w:cs="Times New Roman"/>
                <w:color w:val="auto"/>
                <w:sz w:val="24"/>
                <w:lang w:val="en-US" w:eastAsia="zh-CN"/>
              </w:rPr>
              <w:t>t/a，</w:t>
            </w:r>
            <w:r>
              <w:rPr>
                <w:rFonts w:hint="eastAsia" w:cs="Times New Roman"/>
                <w:color w:val="auto"/>
                <w:sz w:val="24"/>
                <w:lang w:val="en-US" w:eastAsia="zh-CN"/>
              </w:rPr>
              <w:t>年使用的油墨11.5t，则</w:t>
            </w:r>
            <w:r>
              <w:rPr>
                <w:rFonts w:hint="eastAsia" w:ascii="Times New Roman" w:hAnsi="Times New Roman" w:cs="Times New Roman"/>
                <w:color w:val="auto"/>
                <w:sz w:val="24"/>
                <w:lang w:val="en-US" w:eastAsia="zh-CN"/>
              </w:rPr>
              <w:t>每吨</w:t>
            </w:r>
            <w:r>
              <w:rPr>
                <w:rFonts w:hint="eastAsia" w:cs="Times New Roman"/>
                <w:color w:val="auto"/>
                <w:sz w:val="24"/>
                <w:lang w:val="en-US" w:eastAsia="zh-CN"/>
              </w:rPr>
              <w:t>油墨产生的非甲烷总烃</w:t>
            </w:r>
            <w:r>
              <w:rPr>
                <w:rFonts w:hint="eastAsia" w:ascii="Times New Roman" w:hAnsi="Times New Roman" w:cs="Times New Roman"/>
                <w:color w:val="auto"/>
                <w:sz w:val="24"/>
                <w:lang w:val="en-US" w:eastAsia="zh-CN"/>
              </w:rPr>
              <w:t>为</w:t>
            </w:r>
            <w:r>
              <w:rPr>
                <w:rFonts w:hint="eastAsia" w:cs="Times New Roman"/>
                <w:color w:val="auto"/>
                <w:sz w:val="24"/>
                <w:lang w:val="en-US" w:eastAsia="zh-CN"/>
              </w:rPr>
              <w:t>0.3</w:t>
            </w:r>
            <w:r>
              <w:rPr>
                <w:rFonts w:hint="eastAsia" w:ascii="Times New Roman" w:hAnsi="Times New Roman" w:cs="Times New Roman"/>
                <w:color w:val="auto"/>
                <w:sz w:val="24"/>
                <w:lang w:val="en-US" w:eastAsia="zh-CN"/>
              </w:rPr>
              <w:t>t/a。综合确定后本次环评总量指标按照</w:t>
            </w:r>
            <w:r>
              <w:rPr>
                <w:rFonts w:hint="default" w:ascii="Times New Roman" w:hAnsi="Times New Roman" w:cs="Times New Roman"/>
                <w:color w:val="auto"/>
                <w:sz w:val="24"/>
                <w:lang w:val="en-US" w:eastAsia="zh-CN"/>
              </w:rPr>
              <w:t>产排污系数法</w:t>
            </w:r>
            <w:r>
              <w:rPr>
                <w:rFonts w:hint="eastAsia" w:ascii="Times New Roman" w:hAnsi="Times New Roman" w:cs="Times New Roman"/>
                <w:color w:val="auto"/>
                <w:sz w:val="24"/>
                <w:lang w:val="en-US" w:eastAsia="zh-CN"/>
              </w:rPr>
              <w:t>计算结果进行申报。</w:t>
            </w:r>
          </w:p>
          <w:p w14:paraId="67163E2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kern w:val="0"/>
                <w:sz w:val="24"/>
                <w:lang w:val="en-US"/>
              </w:rPr>
            </w:pPr>
            <w:r>
              <w:rPr>
                <w:rFonts w:hint="eastAsia" w:ascii="Times New Roman" w:hAnsi="Times New Roman" w:cs="Times New Roman"/>
                <w:color w:val="auto"/>
                <w:sz w:val="24"/>
                <w:lang w:val="en-US" w:eastAsia="zh-CN"/>
              </w:rPr>
              <w:t>故</w:t>
            </w:r>
            <w:r>
              <w:rPr>
                <w:rFonts w:hint="eastAsia" w:ascii="Times New Roman" w:hAnsi="Times New Roman" w:cs="Times New Roman"/>
                <w:color w:val="auto"/>
                <w:sz w:val="24"/>
              </w:rPr>
              <w:t>本项目</w:t>
            </w:r>
            <w:r>
              <w:rPr>
                <w:rFonts w:hint="default" w:ascii="Times New Roman" w:hAnsi="Times New Roman" w:cs="Times New Roman"/>
                <w:color w:val="auto"/>
                <w:sz w:val="24"/>
              </w:rPr>
              <w:t>污染物控制指标为VOCs</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非甲烷总烃</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rPr>
              <w:t>：</w:t>
            </w:r>
            <w:r>
              <w:rPr>
                <w:rFonts w:hint="eastAsia" w:cs="Times New Roman"/>
                <w:color w:val="auto"/>
                <w:sz w:val="24"/>
                <w:lang w:val="en-US" w:eastAsia="zh-CN"/>
              </w:rPr>
              <w:t>1.126</w:t>
            </w:r>
            <w:r>
              <w:rPr>
                <w:rFonts w:hint="default" w:ascii="Times New Roman" w:hAnsi="Times New Roman" w:cs="Times New Roman"/>
                <w:color w:val="auto"/>
                <w:sz w:val="24"/>
              </w:rPr>
              <w:t>t/a</w:t>
            </w:r>
            <w:r>
              <w:rPr>
                <w:rFonts w:hint="eastAsia" w:cs="Times New Roman"/>
                <w:color w:val="auto"/>
                <w:sz w:val="24"/>
                <w:lang w:eastAsia="zh-CN"/>
              </w:rPr>
              <w:t>，</w:t>
            </w:r>
            <w:r>
              <w:rPr>
                <w:rFonts w:hint="default" w:ascii="Times New Roman" w:hAnsi="Times New Roman" w:cs="Times New Roman"/>
                <w:color w:val="auto"/>
                <w:sz w:val="24"/>
              </w:rPr>
              <w:t>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w:t>
            </w:r>
            <w:r>
              <w:rPr>
                <w:rFonts w:hint="eastAsia" w:ascii="Times New Roman" w:hAnsi="Times New Roman" w:cs="Times New Roman"/>
                <w:color w:val="auto"/>
                <w:sz w:val="24"/>
                <w:lang w:eastAsia="zh-CN"/>
              </w:rPr>
              <w:t>：</w:t>
            </w:r>
            <w:r>
              <w:rPr>
                <w:rFonts w:hint="eastAsia" w:cs="Times New Roman"/>
                <w:color w:val="auto"/>
                <w:sz w:val="24"/>
                <w:lang w:val="en-US" w:eastAsia="zh-CN"/>
              </w:rPr>
              <w:t>0.1455</w:t>
            </w:r>
            <w:r>
              <w:rPr>
                <w:rFonts w:hint="default" w:ascii="Times New Roman" w:hAnsi="Times New Roman" w:cs="Times New Roman"/>
                <w:color w:val="auto"/>
                <w:sz w:val="24"/>
              </w:rPr>
              <w:t>t/a</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COD</w:t>
            </w:r>
            <w:r>
              <w:rPr>
                <w:rFonts w:hint="eastAsia" w:ascii="Times New Roman" w:hAnsi="Times New Roman" w:cs="Times New Roman"/>
                <w:color w:val="auto"/>
                <w:sz w:val="24"/>
                <w:lang w:eastAsia="zh-CN"/>
              </w:rPr>
              <w:t>：</w:t>
            </w:r>
            <w:r>
              <w:rPr>
                <w:rFonts w:hint="eastAsia" w:cs="Times New Roman"/>
                <w:color w:val="auto"/>
                <w:sz w:val="24"/>
                <w:lang w:val="en-US" w:eastAsia="zh-CN"/>
              </w:rPr>
              <w:t>1.129</w:t>
            </w:r>
            <w:r>
              <w:rPr>
                <w:rFonts w:hint="default" w:ascii="Times New Roman" w:hAnsi="Times New Roman" w:cs="Times New Roman"/>
                <w:color w:val="auto"/>
                <w:sz w:val="24"/>
              </w:rPr>
              <w:t>t/a</w:t>
            </w:r>
            <w:r>
              <w:rPr>
                <w:rFonts w:hint="eastAsia" w:ascii="Times New Roman" w:hAnsi="Times New Roman" w:cs="Times New Roman"/>
                <w:color w:val="auto"/>
                <w:sz w:val="24"/>
                <w:lang w:eastAsia="zh-CN"/>
              </w:rPr>
              <w:t>，</w:t>
            </w:r>
            <w:r>
              <w:rPr>
                <w:rFonts w:hint="eastAsia" w:cs="Times New Roman"/>
                <w:color w:val="auto"/>
                <w:sz w:val="24"/>
                <w:lang w:val="en-US" w:eastAsia="zh-CN"/>
              </w:rPr>
              <w:t>因本项目生活污水经化粪池处理后排入市政管网中，故</w:t>
            </w:r>
            <w:r>
              <w:rPr>
                <w:rFonts w:hint="default" w:ascii="Times New Roman" w:hAnsi="Times New Roman" w:cs="Times New Roman"/>
                <w:color w:val="auto"/>
                <w:sz w:val="24"/>
              </w:rPr>
              <w:t>NH</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-N</w:t>
            </w:r>
            <w:r>
              <w:rPr>
                <w:rFonts w:hint="eastAsia" w:cs="Times New Roman"/>
                <w:color w:val="auto"/>
                <w:sz w:val="24"/>
                <w:lang w:val="en-US" w:eastAsia="zh-CN"/>
              </w:rPr>
              <w:t>和</w:t>
            </w:r>
            <w:r>
              <w:rPr>
                <w:rFonts w:hint="default" w:ascii="Times New Roman" w:hAnsi="Times New Roman" w:cs="Times New Roman"/>
                <w:color w:val="auto"/>
                <w:sz w:val="24"/>
              </w:rPr>
              <w:t>COD</w:t>
            </w:r>
            <w:r>
              <w:rPr>
                <w:rFonts w:hint="eastAsia" w:cs="Times New Roman"/>
                <w:color w:val="auto"/>
                <w:sz w:val="24"/>
                <w:lang w:val="en-US" w:eastAsia="zh-CN"/>
              </w:rPr>
              <w:t>纳入污水厂指标，不另行申请。</w:t>
            </w:r>
            <w:r>
              <w:rPr>
                <w:rFonts w:hint="default" w:ascii="Times New Roman" w:hAnsi="Times New Roman" w:cs="Times New Roman"/>
                <w:color w:val="auto"/>
                <w:sz w:val="24"/>
                <w:szCs w:val="32"/>
              </w:rPr>
              <w:t>项目具体总量指标以当地环保部门批准的指标为准。</w:t>
            </w:r>
          </w:p>
          <w:p w14:paraId="7400CFCF">
            <w:pPr>
              <w:pStyle w:val="44"/>
              <w:keepNext w:val="0"/>
              <w:keepLines w:val="0"/>
              <w:suppressLineNumbers w:val="0"/>
              <w:spacing w:before="0" w:beforeAutospacing="0" w:after="0" w:afterAutospacing="0"/>
              <w:ind w:left="0" w:right="0"/>
              <w:rPr>
                <w:rFonts w:hint="default" w:ascii="Times New Roman" w:cs="Times New Roman"/>
                <w:color w:val="auto"/>
                <w:kern w:val="0"/>
                <w:szCs w:val="20"/>
              </w:rPr>
            </w:pPr>
          </w:p>
        </w:tc>
      </w:tr>
    </w:tbl>
    <w:p w14:paraId="64CA5DA8">
      <w:pPr>
        <w:pStyle w:val="23"/>
        <w:jc w:val="center"/>
        <w:rPr>
          <w:rFonts w:ascii="黑体" w:hAnsi="黑体" w:eastAsia="黑体"/>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1F465E0C">
      <w:pPr>
        <w:pStyle w:val="23"/>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四、主要环境影响和保护措施</w:t>
      </w:r>
    </w:p>
    <w:tbl>
      <w:tblPr>
        <w:tblStyle w:val="26"/>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8239"/>
      </w:tblGrid>
      <w:tr w14:paraId="2F5B6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11" w:hRule="atLeast"/>
          <w:jc w:val="center"/>
        </w:trPr>
        <w:tc>
          <w:tcPr>
            <w:tcW w:w="742" w:type="dxa"/>
            <w:noWrap w:val="0"/>
            <w:tcMar>
              <w:left w:w="28" w:type="dxa"/>
              <w:right w:w="28" w:type="dxa"/>
            </w:tcMar>
            <w:vAlign w:val="center"/>
          </w:tcPr>
          <w:p w14:paraId="7E80491F">
            <w:pPr>
              <w:pStyle w:val="23"/>
              <w:keepNext w:val="0"/>
              <w:keepLines w:val="0"/>
              <w:suppressLineNumbers w:val="0"/>
              <w:adjustRightInd w:val="0"/>
              <w:snapToGrid w:val="0"/>
              <w:spacing w:before="0" w:beforeAutospacing="0" w:after="0" w:afterAutospacing="0"/>
              <w:ind w:left="0" w:right="0"/>
              <w:jc w:val="center"/>
              <w:rPr>
                <w:rFonts w:hint="eastAsia" w:cs="宋体"/>
                <w:color w:val="auto"/>
                <w:kern w:val="2"/>
                <w:sz w:val="21"/>
                <w:szCs w:val="21"/>
              </w:rPr>
            </w:pPr>
            <w:r>
              <w:rPr>
                <w:rFonts w:hint="eastAsia" w:cs="宋体"/>
                <w:color w:val="auto"/>
                <w:kern w:val="2"/>
                <w:sz w:val="21"/>
                <w:szCs w:val="21"/>
              </w:rPr>
              <w:t>施工</w:t>
            </w:r>
          </w:p>
          <w:p w14:paraId="67D56F85">
            <w:pPr>
              <w:pStyle w:val="23"/>
              <w:keepNext w:val="0"/>
              <w:keepLines w:val="0"/>
              <w:suppressLineNumbers w:val="0"/>
              <w:adjustRightInd w:val="0"/>
              <w:snapToGrid w:val="0"/>
              <w:spacing w:before="0" w:beforeAutospacing="0" w:after="0" w:afterAutospacing="0"/>
              <w:ind w:left="0" w:right="0"/>
              <w:jc w:val="center"/>
              <w:rPr>
                <w:rFonts w:hint="eastAsia" w:cs="宋体"/>
                <w:color w:val="auto"/>
                <w:kern w:val="2"/>
                <w:sz w:val="21"/>
                <w:szCs w:val="21"/>
              </w:rPr>
            </w:pPr>
            <w:r>
              <w:rPr>
                <w:rFonts w:hint="eastAsia" w:cs="宋体"/>
                <w:color w:val="auto"/>
                <w:kern w:val="2"/>
                <w:sz w:val="21"/>
                <w:szCs w:val="21"/>
              </w:rPr>
              <w:t>期环</w:t>
            </w:r>
          </w:p>
          <w:p w14:paraId="62B48989">
            <w:pPr>
              <w:pStyle w:val="23"/>
              <w:keepNext w:val="0"/>
              <w:keepLines w:val="0"/>
              <w:suppressLineNumbers w:val="0"/>
              <w:adjustRightInd w:val="0"/>
              <w:snapToGrid w:val="0"/>
              <w:spacing w:before="0" w:beforeAutospacing="0" w:after="0" w:afterAutospacing="0"/>
              <w:ind w:left="0" w:right="0"/>
              <w:jc w:val="center"/>
              <w:rPr>
                <w:rFonts w:hint="eastAsia" w:cs="宋体"/>
                <w:color w:val="auto"/>
                <w:kern w:val="2"/>
                <w:sz w:val="21"/>
                <w:szCs w:val="21"/>
              </w:rPr>
            </w:pPr>
            <w:r>
              <w:rPr>
                <w:rFonts w:hint="eastAsia" w:cs="宋体"/>
                <w:color w:val="auto"/>
                <w:kern w:val="2"/>
                <w:sz w:val="21"/>
                <w:szCs w:val="21"/>
              </w:rPr>
              <w:t>境保</w:t>
            </w:r>
          </w:p>
          <w:p w14:paraId="64284E11">
            <w:pPr>
              <w:pStyle w:val="23"/>
              <w:keepNext w:val="0"/>
              <w:keepLines w:val="0"/>
              <w:suppressLineNumbers w:val="0"/>
              <w:adjustRightInd w:val="0"/>
              <w:snapToGrid w:val="0"/>
              <w:spacing w:before="0" w:beforeAutospacing="0" w:after="0" w:afterAutospacing="0"/>
              <w:ind w:left="0" w:right="0"/>
              <w:jc w:val="center"/>
              <w:rPr>
                <w:rFonts w:hint="eastAsia" w:cs="宋体"/>
                <w:color w:val="auto"/>
                <w:kern w:val="2"/>
                <w:sz w:val="21"/>
                <w:szCs w:val="21"/>
              </w:rPr>
            </w:pPr>
            <w:r>
              <w:rPr>
                <w:rFonts w:hint="eastAsia" w:cs="宋体"/>
                <w:color w:val="auto"/>
                <w:kern w:val="2"/>
                <w:sz w:val="21"/>
                <w:szCs w:val="21"/>
              </w:rPr>
              <w:t>护措</w:t>
            </w:r>
          </w:p>
          <w:p w14:paraId="79982A30">
            <w:pPr>
              <w:pStyle w:val="23"/>
              <w:keepNext w:val="0"/>
              <w:keepLines w:val="0"/>
              <w:suppressLineNumbers w:val="0"/>
              <w:adjustRightInd w:val="0"/>
              <w:snapToGrid w:val="0"/>
              <w:spacing w:before="0" w:beforeAutospacing="0" w:after="0" w:afterAutospacing="0"/>
              <w:ind w:left="0" w:right="0"/>
              <w:jc w:val="center"/>
              <w:rPr>
                <w:rFonts w:hint="eastAsia" w:cs="宋体"/>
                <w:bCs/>
                <w:color w:val="auto"/>
                <w:kern w:val="2"/>
                <w:sz w:val="21"/>
                <w:szCs w:val="21"/>
              </w:rPr>
            </w:pPr>
            <w:r>
              <w:rPr>
                <w:rFonts w:hint="eastAsia" w:cs="宋体"/>
                <w:color w:val="auto"/>
                <w:kern w:val="2"/>
                <w:sz w:val="21"/>
                <w:szCs w:val="21"/>
              </w:rPr>
              <w:t>施</w:t>
            </w:r>
          </w:p>
        </w:tc>
        <w:tc>
          <w:tcPr>
            <w:tcW w:w="8239" w:type="dxa"/>
            <w:noWrap w:val="0"/>
            <w:vAlign w:val="center"/>
          </w:tcPr>
          <w:p w14:paraId="3D9104A5">
            <w:pPr>
              <w:pStyle w:val="3"/>
              <w:keepNext w:val="0"/>
              <w:keepLines w:val="0"/>
              <w:suppressLineNumbers w:val="0"/>
              <w:adjustRightInd w:val="0"/>
              <w:snapToGrid w:val="0"/>
              <w:spacing w:before="0" w:beforeAutospacing="0" w:after="0" w:afterAutospacing="0" w:line="360" w:lineRule="auto"/>
              <w:ind w:left="0" w:leftChars="0" w:right="0" w:firstLine="480" w:firstLineChars="200"/>
              <w:jc w:val="left"/>
              <w:rPr>
                <w:rFonts w:hint="default" w:ascii="Times New Roman" w:hAnsi="Times New Roman" w:eastAsia="宋体" w:cs="Times New Roman"/>
                <w:bCs/>
                <w:color w:val="auto"/>
                <w:szCs w:val="24"/>
                <w:lang w:val="en-US" w:eastAsia="zh-CN"/>
              </w:rPr>
            </w:pPr>
            <w:r>
              <w:rPr>
                <w:rFonts w:hint="default" w:ascii="Times New Roman" w:hAnsi="Times New Roman" w:cs="Times New Roman"/>
                <w:bCs/>
                <w:color w:val="auto"/>
                <w:szCs w:val="24"/>
              </w:rPr>
              <w:t>本项目为</w:t>
            </w:r>
            <w:r>
              <w:rPr>
                <w:rFonts w:hint="eastAsia" w:ascii="Times New Roman" w:hAnsi="Times New Roman" w:cs="Times New Roman"/>
                <w:bCs/>
                <w:color w:val="auto"/>
                <w:szCs w:val="24"/>
              </w:rPr>
              <w:t>扩建</w:t>
            </w:r>
            <w:r>
              <w:rPr>
                <w:rFonts w:hint="default" w:ascii="Times New Roman" w:hAnsi="Times New Roman" w:cs="Times New Roman"/>
                <w:bCs/>
                <w:color w:val="auto"/>
                <w:szCs w:val="24"/>
              </w:rPr>
              <w:t>项目，利用现有厂区，进行生产车间、</w:t>
            </w:r>
            <w:r>
              <w:rPr>
                <w:rFonts w:hint="default" w:ascii="Times New Roman" w:hAnsi="Times New Roman" w:cs="Times New Roman"/>
                <w:color w:val="auto"/>
                <w:szCs w:val="24"/>
              </w:rPr>
              <w:t>生产设备的安装、调试等作业</w:t>
            </w:r>
            <w:r>
              <w:rPr>
                <w:rFonts w:hint="default" w:ascii="Times New Roman" w:hAnsi="Times New Roman" w:cs="Times New Roman"/>
                <w:bCs/>
                <w:color w:val="auto"/>
                <w:szCs w:val="24"/>
              </w:rPr>
              <w:t>。</w:t>
            </w:r>
            <w:r>
              <w:rPr>
                <w:rFonts w:hint="eastAsia" w:cs="Times New Roman"/>
                <w:bCs/>
                <w:color w:val="auto"/>
                <w:szCs w:val="24"/>
                <w:lang w:val="en-US" w:eastAsia="zh-CN"/>
              </w:rPr>
              <w:t>根据现场踏勘，本项目3号和5号闲置厂房已完成改造，所有车间设备已完成安装、调试工作，废气处理设施未更换。</w:t>
            </w:r>
          </w:p>
          <w:p w14:paraId="0832D425">
            <w:pPr>
              <w:pStyle w:val="56"/>
              <w:keepNext w:val="0"/>
              <w:keepLines w:val="0"/>
              <w:suppressLineNumbers w:val="0"/>
              <w:adjustRightInd w:val="0"/>
              <w:snapToGrid w:val="0"/>
              <w:spacing w:before="0" w:beforeAutospacing="0" w:after="0" w:afterAutospacing="0" w:line="360" w:lineRule="auto"/>
              <w:ind w:left="0" w:right="0" w:firstLine="498"/>
              <w:rPr>
                <w:rFonts w:hint="default" w:ascii="Times New Roman" w:hAnsi="Times New Roman" w:cs="Times New Roman"/>
                <w:b/>
                <w:color w:val="auto"/>
                <w:spacing w:val="4"/>
                <w:szCs w:val="24"/>
              </w:rPr>
            </w:pPr>
            <w:r>
              <w:rPr>
                <w:rFonts w:hint="default" w:ascii="Times New Roman" w:hAnsi="Times New Roman" w:cs="Times New Roman"/>
                <w:b/>
                <w:color w:val="auto"/>
                <w:spacing w:val="4"/>
                <w:szCs w:val="24"/>
              </w:rPr>
              <w:t>1、</w:t>
            </w:r>
            <w:r>
              <w:rPr>
                <w:rFonts w:hint="default" w:ascii="Times New Roman" w:hAnsi="Times New Roman" w:cs="Times New Roman"/>
                <w:b/>
                <w:bCs/>
                <w:color w:val="auto"/>
                <w:szCs w:val="24"/>
              </w:rPr>
              <w:t>施工期大气污染保护措施</w:t>
            </w:r>
          </w:p>
          <w:p w14:paraId="09662193">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rPr>
              <w:t>施工过程中产生的废气主要为施工机械</w:t>
            </w:r>
            <w:r>
              <w:rPr>
                <w:rFonts w:hint="eastAsia" w:cs="Times New Roman"/>
                <w:color w:val="auto"/>
                <w:sz w:val="24"/>
                <w:lang w:val="en-US" w:eastAsia="zh-CN"/>
              </w:rPr>
              <w:t>和</w:t>
            </w:r>
            <w:r>
              <w:rPr>
                <w:rFonts w:hint="default" w:ascii="Times New Roman" w:hAnsi="Times New Roman" w:cs="Times New Roman"/>
                <w:color w:val="auto"/>
                <w:sz w:val="24"/>
              </w:rPr>
              <w:t>汽车尾气。</w:t>
            </w:r>
          </w:p>
          <w:p w14:paraId="63E6584D">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lang w:bidi="ar"/>
              </w:rPr>
              <w:t>本项目为减小施工期施工机械、材料运输车辆尾气对周围环境的影响，要求拟采取如下控制措施：</w:t>
            </w:r>
          </w:p>
          <w:p w14:paraId="34F2AEE2">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lang w:bidi="ar"/>
              </w:rPr>
              <w:t>①选用符合国家标准的施工机械设备和运输车辆；</w:t>
            </w:r>
          </w:p>
          <w:p w14:paraId="52B1AD8F">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lang w:bidi="ar"/>
              </w:rPr>
              <w:t>②加强对施工机械及施工车辆的检修和维护，严禁使用超期服役和尾气超标的施工机械及车辆；</w:t>
            </w:r>
          </w:p>
          <w:p w14:paraId="26154988">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sz w:val="24"/>
                <w:lang w:bidi="ar"/>
              </w:rPr>
              <w:t>③尽可能使用气动和电动设备及机械，或使用优质燃油，以减少机械和车辆有害气体的排放。采取以上措施后，可有效减少施工机械、车辆尾气对周围环境的影响，排放废气可满足非道路移动机械相关标准要求。</w:t>
            </w:r>
          </w:p>
          <w:p w14:paraId="2B8EC58B">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本项目施工场地位于已建成的厂区内，项目施工期短，</w:t>
            </w:r>
            <w:r>
              <w:rPr>
                <w:rFonts w:hint="eastAsia" w:cs="Times New Roman"/>
                <w:color w:val="auto"/>
                <w:sz w:val="24"/>
                <w:lang w:val="en-US" w:eastAsia="zh-CN"/>
              </w:rPr>
              <w:t>无扬尘产生</w:t>
            </w:r>
            <w:r>
              <w:rPr>
                <w:rFonts w:hint="default" w:ascii="Times New Roman" w:hAnsi="Times New Roman" w:cs="Times New Roman"/>
                <w:color w:val="auto"/>
                <w:sz w:val="24"/>
              </w:rPr>
              <w:t>，不会对项目周边产生较大的影响</w:t>
            </w:r>
            <w:r>
              <w:rPr>
                <w:rFonts w:hint="default" w:ascii="Times New Roman" w:hAnsi="Times New Roman" w:cs="Times New Roman"/>
                <w:bCs/>
                <w:color w:val="auto"/>
                <w:sz w:val="24"/>
              </w:rPr>
              <w:t>。</w:t>
            </w:r>
          </w:p>
          <w:p w14:paraId="7E2FE046">
            <w:pPr>
              <w:pStyle w:val="56"/>
              <w:keepNext w:val="0"/>
              <w:keepLines w:val="0"/>
              <w:suppressLineNumbers w:val="0"/>
              <w:adjustRightInd w:val="0"/>
              <w:snapToGrid w:val="0"/>
              <w:spacing w:before="0" w:beforeAutospacing="0" w:after="0" w:afterAutospacing="0" w:line="360" w:lineRule="auto"/>
              <w:ind w:left="0" w:right="0" w:firstLine="498"/>
              <w:rPr>
                <w:rFonts w:hint="default" w:ascii="Times New Roman" w:hAnsi="Times New Roman" w:cs="Times New Roman"/>
                <w:b/>
                <w:color w:val="auto"/>
                <w:spacing w:val="4"/>
                <w:szCs w:val="24"/>
              </w:rPr>
            </w:pPr>
            <w:r>
              <w:rPr>
                <w:rFonts w:hint="default" w:ascii="Times New Roman" w:hAnsi="Times New Roman" w:cs="Times New Roman"/>
                <w:b/>
                <w:color w:val="auto"/>
                <w:spacing w:val="4"/>
                <w:szCs w:val="24"/>
              </w:rPr>
              <w:t>2、</w:t>
            </w:r>
            <w:r>
              <w:rPr>
                <w:rFonts w:hint="default" w:ascii="Times New Roman" w:hAnsi="Times New Roman" w:cs="Times New Roman"/>
                <w:b/>
                <w:bCs/>
                <w:color w:val="auto"/>
                <w:szCs w:val="24"/>
              </w:rPr>
              <w:t>施工期声环境污染保护措施</w:t>
            </w:r>
          </w:p>
          <w:p w14:paraId="49D3CF55">
            <w:pPr>
              <w:pStyle w:val="57"/>
              <w:keepNext w:val="0"/>
              <w:keepLines w:val="0"/>
              <w:suppressLineNumbers w:val="0"/>
              <w:adjustRightInd w:val="0"/>
              <w:snapToGrid w:val="0"/>
              <w:spacing w:before="0" w:beforeAutospacing="0" w:after="0" w:afterAutospacing="0"/>
              <w:ind w:left="0" w:right="0"/>
              <w:rPr>
                <w:rFonts w:hint="default" w:ascii="Times New Roman" w:hAnsi="Times New Roman" w:cs="Times New Roman"/>
                <w:bCs/>
                <w:color w:val="auto"/>
              </w:rPr>
            </w:pPr>
            <w:r>
              <w:rPr>
                <w:rFonts w:hint="default" w:ascii="Times New Roman" w:hAnsi="Times New Roman" w:cs="Times New Roman"/>
                <w:color w:val="auto"/>
              </w:rPr>
              <w:t>装修期间噪声主要为施工时产生的机械噪声和运输车辆产生的噪声。通过严格控制高噪声设备的作业时间、禁止夜间进行施工作业、尽量采取低噪声机械进行作业、加强环境管理</w:t>
            </w:r>
            <w:r>
              <w:rPr>
                <w:rFonts w:hint="eastAsia" w:ascii="Times New Roman" w:hAnsi="Times New Roman" w:cs="Times New Roman"/>
                <w:color w:val="auto"/>
              </w:rPr>
              <w:t>、</w:t>
            </w:r>
            <w:r>
              <w:rPr>
                <w:rFonts w:hint="default" w:ascii="Times New Roman" w:hAnsi="Times New Roman" w:cs="Times New Roman"/>
                <w:color w:val="auto"/>
              </w:rPr>
              <w:t>运输车辆在进入施工区附近区域后，要适当降低车速，避免或杜绝鸣笛等方法最大限度的减少噪声对环境的影响</w:t>
            </w:r>
            <w:r>
              <w:rPr>
                <w:rFonts w:hint="default" w:ascii="Times New Roman" w:hAnsi="Times New Roman" w:cs="Times New Roman"/>
                <w:bCs/>
                <w:color w:val="auto"/>
              </w:rPr>
              <w:t>。</w:t>
            </w:r>
          </w:p>
          <w:p w14:paraId="374878FF">
            <w:pPr>
              <w:pStyle w:val="56"/>
              <w:keepNext w:val="0"/>
              <w:keepLines w:val="0"/>
              <w:suppressLineNumbers w:val="0"/>
              <w:adjustRightInd w:val="0"/>
              <w:snapToGrid w:val="0"/>
              <w:spacing w:before="0" w:beforeAutospacing="0" w:after="0" w:afterAutospacing="0" w:line="360" w:lineRule="auto"/>
              <w:ind w:left="0" w:right="0" w:firstLine="498"/>
              <w:rPr>
                <w:rFonts w:hint="default" w:ascii="Times New Roman" w:hAnsi="Times New Roman" w:cs="Times New Roman"/>
                <w:b/>
                <w:color w:val="auto"/>
                <w:spacing w:val="4"/>
                <w:szCs w:val="24"/>
              </w:rPr>
            </w:pPr>
            <w:r>
              <w:rPr>
                <w:rFonts w:hint="default" w:ascii="Times New Roman" w:hAnsi="Times New Roman" w:cs="Times New Roman"/>
                <w:b/>
                <w:color w:val="auto"/>
                <w:spacing w:val="4"/>
                <w:szCs w:val="24"/>
              </w:rPr>
              <w:t>3、</w:t>
            </w:r>
            <w:r>
              <w:rPr>
                <w:rFonts w:hint="default" w:ascii="Times New Roman" w:hAnsi="Times New Roman" w:cs="Times New Roman"/>
                <w:b/>
                <w:bCs/>
                <w:color w:val="auto"/>
                <w:szCs w:val="24"/>
              </w:rPr>
              <w:t>施工期水污染保护措施</w:t>
            </w:r>
          </w:p>
          <w:p w14:paraId="33565E2A">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施工过程中产生的废水主要为施工人员排放的生活污水。</w:t>
            </w:r>
          </w:p>
          <w:p w14:paraId="5ACA9063">
            <w:pPr>
              <w:pStyle w:val="56"/>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pacing w:val="-4"/>
                <w:szCs w:val="24"/>
              </w:rPr>
            </w:pPr>
            <w:r>
              <w:rPr>
                <w:rFonts w:hint="default" w:ascii="Times New Roman" w:hAnsi="Times New Roman" w:cs="Times New Roman"/>
                <w:color w:val="auto"/>
                <w:szCs w:val="24"/>
              </w:rPr>
              <w:t>本项目施工场地内无施工人员临时住所，项目施工期短，依托厂区已有的卫生设施。</w:t>
            </w:r>
          </w:p>
          <w:p w14:paraId="45A5C685">
            <w:pPr>
              <w:keepNext w:val="0"/>
              <w:keepLines w:val="0"/>
              <w:suppressLineNumbers w:val="0"/>
              <w:adjustRightInd w:val="0"/>
              <w:snapToGrid w:val="0"/>
              <w:spacing w:before="0" w:beforeAutospacing="0" w:after="0" w:afterAutospacing="0" w:line="360" w:lineRule="auto"/>
              <w:ind w:left="0" w:right="0" w:firstLine="498" w:firstLineChars="200"/>
              <w:rPr>
                <w:rFonts w:hint="default" w:ascii="Times New Roman" w:hAnsi="Times New Roman" w:cs="Times New Roman"/>
                <w:b/>
                <w:color w:val="auto"/>
                <w:spacing w:val="4"/>
                <w:sz w:val="24"/>
              </w:rPr>
            </w:pPr>
            <w:r>
              <w:rPr>
                <w:rFonts w:hint="default" w:ascii="Times New Roman" w:hAnsi="Times New Roman" w:cs="Times New Roman"/>
                <w:b/>
                <w:color w:val="auto"/>
                <w:spacing w:val="4"/>
                <w:sz w:val="24"/>
              </w:rPr>
              <w:t>4、</w:t>
            </w:r>
            <w:r>
              <w:rPr>
                <w:rFonts w:hint="default" w:ascii="Times New Roman" w:hAnsi="Times New Roman" w:cs="Times New Roman"/>
                <w:b/>
                <w:bCs/>
                <w:color w:val="auto"/>
                <w:sz w:val="24"/>
              </w:rPr>
              <w:t>固体废物污染防治措施</w:t>
            </w:r>
          </w:p>
          <w:p w14:paraId="4D41322A">
            <w:pPr>
              <w:pStyle w:val="56"/>
              <w:keepNext w:val="0"/>
              <w:keepLines w:val="0"/>
              <w:suppressLineNumbers w:val="0"/>
              <w:adjustRightInd w:val="0"/>
              <w:snapToGrid w:val="0"/>
              <w:spacing w:before="0" w:beforeAutospacing="0" w:after="0" w:afterAutospacing="0" w:line="360" w:lineRule="auto"/>
              <w:ind w:left="0" w:right="0"/>
              <w:rPr>
                <w:rFonts w:hint="default" w:ascii="Times New Roman" w:hAnsi="Times New Roman" w:cs="Times New Roman"/>
                <w:color w:val="auto"/>
                <w:szCs w:val="24"/>
              </w:rPr>
            </w:pPr>
            <w:r>
              <w:rPr>
                <w:rFonts w:hint="default" w:ascii="Times New Roman" w:hAnsi="Times New Roman" w:cs="Times New Roman"/>
                <w:color w:val="auto"/>
                <w:szCs w:val="24"/>
              </w:rPr>
              <w:t>本项目施工期产生的固体废物主要为建筑垃圾及施工人员的生活垃圾等。施工期建筑垃圾收集后统一堆放于指定地点，由施工方统一清运；生活垃圾依托现有工程处理措施。</w:t>
            </w:r>
          </w:p>
          <w:p w14:paraId="6D8255D6">
            <w:pPr>
              <w:pStyle w:val="56"/>
              <w:keepNext w:val="0"/>
              <w:keepLines w:val="0"/>
              <w:suppressLineNumbers w:val="0"/>
              <w:adjustRightInd w:val="0"/>
              <w:snapToGrid w:val="0"/>
              <w:spacing w:before="0" w:beforeAutospacing="0" w:after="0" w:afterAutospacing="0" w:line="360" w:lineRule="auto"/>
              <w:ind w:left="0" w:right="0"/>
              <w:rPr>
                <w:rFonts w:hint="eastAsia" w:ascii="Times New Roman"/>
                <w:color w:val="auto"/>
              </w:rPr>
            </w:pPr>
            <w:r>
              <w:rPr>
                <w:rFonts w:hint="default" w:ascii="Times New Roman" w:hAnsi="Times New Roman" w:cs="Times New Roman"/>
                <w:color w:val="auto"/>
                <w:szCs w:val="24"/>
              </w:rPr>
              <w:t>本项目施工期时间较短，施工期结束后，产生的少量污染物随之消散，对外环境无明显影响。</w:t>
            </w:r>
          </w:p>
        </w:tc>
      </w:tr>
    </w:tbl>
    <w:p w14:paraId="72884C2E">
      <w:pPr>
        <w:rPr>
          <w:color w:val="auto"/>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2480"/>
      </w:tblGrid>
      <w:tr w14:paraId="262F0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1" w:hRule="atLeast"/>
        </w:trPr>
        <w:tc>
          <w:tcPr>
            <w:tcW w:w="281" w:type="pct"/>
            <w:noWrap w:val="0"/>
            <w:vAlign w:val="top"/>
          </w:tcPr>
          <w:p w14:paraId="00E136A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kern w:val="21"/>
                <w:szCs w:val="21"/>
              </w:rPr>
            </w:pPr>
            <w:r>
              <w:rPr>
                <w:rFonts w:hint="default" w:ascii="Times New Roman" w:hAnsi="Times New Roman" w:cs="Times New Roman"/>
                <w:bCs/>
                <w:color w:val="auto"/>
                <w:kern w:val="21"/>
                <w:szCs w:val="21"/>
              </w:rPr>
              <w:t>运营期环</w:t>
            </w:r>
          </w:p>
          <w:p w14:paraId="08EA960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kern w:val="21"/>
                <w:szCs w:val="21"/>
              </w:rPr>
            </w:pPr>
            <w:r>
              <w:rPr>
                <w:rFonts w:hint="default" w:ascii="Times New Roman" w:hAnsi="Times New Roman" w:cs="Times New Roman"/>
                <w:bCs/>
                <w:color w:val="auto"/>
                <w:kern w:val="21"/>
                <w:szCs w:val="21"/>
              </w:rPr>
              <w:t>境影响和</w:t>
            </w:r>
          </w:p>
          <w:p w14:paraId="02C60DA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bCs/>
                <w:color w:val="auto"/>
                <w:kern w:val="21"/>
                <w:szCs w:val="21"/>
              </w:rPr>
              <w:t>保护措施</w:t>
            </w:r>
          </w:p>
        </w:tc>
        <w:tc>
          <w:tcPr>
            <w:tcW w:w="4718" w:type="pct"/>
            <w:noWrap w:val="0"/>
            <w:vAlign w:val="top"/>
          </w:tcPr>
          <w:p w14:paraId="385B580D">
            <w:pPr>
              <w:keepNext w:val="0"/>
              <w:keepLines w:val="0"/>
              <w:suppressLineNumbers w:val="0"/>
              <w:adjustRightInd w:val="0"/>
              <w:snapToGrid w:val="0"/>
              <w:spacing w:before="0" w:beforeAutospacing="0" w:after="0" w:afterAutospacing="0" w:line="360" w:lineRule="auto"/>
              <w:ind w:left="0" w:right="0" w:firstLine="482" w:firstLineChars="200"/>
              <w:rPr>
                <w:rFonts w:hint="eastAsia" w:ascii="Times New Roman" w:hAnsi="Times New Roman" w:cs="Times New Roman"/>
                <w:b/>
                <w:color w:val="auto"/>
                <w:sz w:val="24"/>
              </w:rPr>
            </w:pPr>
            <w:r>
              <w:rPr>
                <w:rFonts w:hint="eastAsia" w:ascii="Times New Roman" w:hAnsi="Times New Roman" w:cs="Times New Roman"/>
                <w:b/>
                <w:color w:val="auto"/>
                <w:sz w:val="24"/>
              </w:rPr>
              <w:t>1、废气</w:t>
            </w:r>
          </w:p>
          <w:p w14:paraId="58C809DA">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bCs/>
                <w:color w:val="auto"/>
                <w:sz w:val="24"/>
              </w:rPr>
            </w:pPr>
            <w:r>
              <w:rPr>
                <w:rFonts w:hint="eastAsia" w:ascii="Times New Roman" w:hAnsi="Times New Roman" w:cs="Times New Roman"/>
                <w:bCs/>
                <w:color w:val="auto"/>
                <w:sz w:val="24"/>
              </w:rPr>
              <w:t>（1）产排污环节</w:t>
            </w:r>
          </w:p>
          <w:p w14:paraId="4B860B53">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
                <w:color w:val="auto"/>
                <w:sz w:val="24"/>
              </w:rPr>
            </w:pPr>
            <w:r>
              <w:rPr>
                <w:rFonts w:hint="default" w:ascii="Times New Roman" w:hAnsi="Times New Roman" w:cs="Times New Roman"/>
                <w:bCs/>
                <w:color w:val="auto"/>
                <w:sz w:val="24"/>
              </w:rPr>
              <w:t>本项目产生废气的主要污染物为</w:t>
            </w:r>
            <w:r>
              <w:rPr>
                <w:rFonts w:hint="eastAsia" w:cs="Times New Roman"/>
                <w:bCs/>
                <w:color w:val="auto"/>
                <w:sz w:val="24"/>
                <w:lang w:val="en-US" w:eastAsia="zh-CN"/>
              </w:rPr>
              <w:t>非甲烷总烃</w:t>
            </w:r>
            <w:r>
              <w:rPr>
                <w:rFonts w:hint="default" w:ascii="Times New Roman" w:hAnsi="Times New Roman" w:cs="Times New Roman"/>
                <w:bCs/>
                <w:color w:val="auto"/>
                <w:sz w:val="24"/>
              </w:rPr>
              <w:t>。产排污环节</w:t>
            </w:r>
            <w:r>
              <w:rPr>
                <w:rFonts w:hint="eastAsia" w:ascii="Times New Roman" w:hAnsi="Times New Roman" w:cs="Times New Roman"/>
                <w:bCs/>
                <w:color w:val="auto"/>
                <w:sz w:val="24"/>
              </w:rPr>
              <w:t>等情况</w:t>
            </w:r>
            <w:r>
              <w:rPr>
                <w:rFonts w:hint="default" w:ascii="Times New Roman" w:hAnsi="Times New Roman" w:cs="Times New Roman"/>
                <w:bCs/>
                <w:color w:val="auto"/>
                <w:sz w:val="24"/>
              </w:rPr>
              <w:t>见</w:t>
            </w:r>
            <w:r>
              <w:rPr>
                <w:rFonts w:hint="eastAsia" w:cs="Times New Roman"/>
                <w:bCs/>
                <w:color w:val="auto"/>
                <w:sz w:val="24"/>
                <w:lang w:val="en-US" w:eastAsia="zh-CN"/>
              </w:rPr>
              <w:t>下表</w:t>
            </w:r>
            <w:r>
              <w:rPr>
                <w:rFonts w:hint="default" w:ascii="Times New Roman" w:hAnsi="Times New Roman" w:cs="Times New Roman"/>
                <w:bCs/>
                <w:color w:val="auto"/>
                <w:sz w:val="24"/>
              </w:rPr>
              <w:t>。</w:t>
            </w:r>
          </w:p>
          <w:p w14:paraId="5586F6B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4"/>
              </w:rPr>
            </w:pPr>
            <w:r>
              <w:rPr>
                <w:rFonts w:hint="default" w:ascii="Times New Roman" w:hAnsi="Times New Roman" w:cs="Times New Roman"/>
                <w:b/>
                <w:color w:val="auto"/>
                <w:sz w:val="24"/>
              </w:rPr>
              <w:t>表4-1</w:t>
            </w:r>
            <w:r>
              <w:rPr>
                <w:rFonts w:hint="default" w:ascii="Times New Roman" w:hAnsi="Times New Roman" w:cs="Times New Roman"/>
                <w:b/>
                <w:bCs/>
                <w:color w:val="auto"/>
                <w:sz w:val="24"/>
              </w:rPr>
              <w:t xml:space="preserve">  废气污染源源强核算结果及相关参数一览表</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36"/>
              <w:gridCol w:w="705"/>
              <w:gridCol w:w="955"/>
              <w:gridCol w:w="830"/>
              <w:gridCol w:w="915"/>
              <w:gridCol w:w="780"/>
              <w:gridCol w:w="1020"/>
              <w:gridCol w:w="750"/>
              <w:gridCol w:w="887"/>
              <w:gridCol w:w="1090"/>
              <w:gridCol w:w="1037"/>
              <w:gridCol w:w="641"/>
              <w:gridCol w:w="682"/>
              <w:gridCol w:w="431"/>
            </w:tblGrid>
            <w:tr w14:paraId="57220B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6" w:type="pct"/>
                  <w:vMerge w:val="restart"/>
                  <w:noWrap w:val="0"/>
                  <w:vAlign w:val="center"/>
                </w:tcPr>
                <w:p w14:paraId="46F581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排放源</w:t>
                  </w:r>
                </w:p>
              </w:tc>
              <w:tc>
                <w:tcPr>
                  <w:tcW w:w="287" w:type="pct"/>
                  <w:vMerge w:val="restart"/>
                  <w:noWrap w:val="0"/>
                  <w:vAlign w:val="center"/>
                </w:tcPr>
                <w:p w14:paraId="4EF221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污染物种类</w:t>
                  </w:r>
                </w:p>
              </w:tc>
              <w:tc>
                <w:tcPr>
                  <w:tcW w:w="1419" w:type="pct"/>
                  <w:gridSpan w:val="4"/>
                  <w:noWrap w:val="0"/>
                  <w:vAlign w:val="center"/>
                </w:tcPr>
                <w:p w14:paraId="2A2A34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污染物产生</w:t>
                  </w:r>
                </w:p>
              </w:tc>
              <w:tc>
                <w:tcPr>
                  <w:tcW w:w="721" w:type="pct"/>
                  <w:gridSpan w:val="2"/>
                  <w:noWrap w:val="0"/>
                  <w:vAlign w:val="center"/>
                </w:tcPr>
                <w:p w14:paraId="7852F9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治理措施</w:t>
                  </w:r>
                </w:p>
              </w:tc>
              <w:tc>
                <w:tcPr>
                  <w:tcW w:w="1229" w:type="pct"/>
                  <w:gridSpan w:val="3"/>
                  <w:noWrap w:val="0"/>
                  <w:vAlign w:val="center"/>
                </w:tcPr>
                <w:p w14:paraId="6FCAA6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污染物排放</w:t>
                  </w:r>
                </w:p>
              </w:tc>
              <w:tc>
                <w:tcPr>
                  <w:tcW w:w="261" w:type="pct"/>
                  <w:vMerge w:val="restart"/>
                  <w:noWrap w:val="0"/>
                  <w:vAlign w:val="center"/>
                </w:tcPr>
                <w:p w14:paraId="5F23204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排放时间/h/a</w:t>
                  </w:r>
                </w:p>
              </w:tc>
              <w:tc>
                <w:tcPr>
                  <w:tcW w:w="453" w:type="pct"/>
                  <w:gridSpan w:val="2"/>
                  <w:vMerge w:val="restart"/>
                  <w:noWrap w:val="0"/>
                  <w:vAlign w:val="center"/>
                </w:tcPr>
                <w:p w14:paraId="5ED98B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排放标准值（mg/m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w:t>
                  </w:r>
                </w:p>
              </w:tc>
            </w:tr>
            <w:tr w14:paraId="6CA346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6" w:type="pct"/>
                  <w:vMerge w:val="continue"/>
                  <w:noWrap w:val="0"/>
                  <w:vAlign w:val="center"/>
                </w:tcPr>
                <w:p w14:paraId="32F80E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287" w:type="pct"/>
                  <w:vMerge w:val="continue"/>
                  <w:noWrap w:val="0"/>
                  <w:vAlign w:val="center"/>
                </w:tcPr>
                <w:p w14:paraId="76BA52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389" w:type="pct"/>
                  <w:noWrap w:val="0"/>
                  <w:vAlign w:val="center"/>
                </w:tcPr>
                <w:p w14:paraId="2E42B8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排放方式</w:t>
                  </w:r>
                </w:p>
              </w:tc>
              <w:tc>
                <w:tcPr>
                  <w:tcW w:w="338" w:type="pct"/>
                  <w:tcBorders>
                    <w:right w:val="single" w:color="000000" w:sz="8" w:space="0"/>
                  </w:tcBorders>
                  <w:noWrap w:val="0"/>
                  <w:vAlign w:val="center"/>
                </w:tcPr>
                <w:p w14:paraId="78588470">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highlight w:val="none"/>
                    </w:rPr>
                    <w:t>产生量t/a</w:t>
                  </w:r>
                </w:p>
              </w:tc>
              <w:tc>
                <w:tcPr>
                  <w:tcW w:w="373" w:type="pct"/>
                  <w:tcBorders>
                    <w:left w:val="single" w:color="000000" w:sz="8" w:space="0"/>
                  </w:tcBorders>
                  <w:noWrap w:val="0"/>
                  <w:vAlign w:val="center"/>
                </w:tcPr>
                <w:p w14:paraId="3F9F8E88">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b w:val="0"/>
                      <w:bCs w:val="0"/>
                      <w:color w:val="auto"/>
                      <w:sz w:val="21"/>
                      <w:szCs w:val="21"/>
                      <w:highlight w:val="none"/>
                      <w:lang w:val="en-US" w:eastAsia="zh-CN"/>
                    </w:rPr>
                    <w:t>产生</w:t>
                  </w:r>
                  <w:r>
                    <w:rPr>
                      <w:rFonts w:hint="default" w:ascii="Times New Roman" w:hAnsi="Times New Roman" w:cs="Times New Roman"/>
                      <w:b w:val="0"/>
                      <w:bCs w:val="0"/>
                      <w:color w:val="auto"/>
                      <w:sz w:val="21"/>
                      <w:szCs w:val="21"/>
                      <w:highlight w:val="none"/>
                    </w:rPr>
                    <w:t>速率kg/h</w:t>
                  </w:r>
                </w:p>
              </w:tc>
              <w:tc>
                <w:tcPr>
                  <w:tcW w:w="318" w:type="pct"/>
                  <w:tcBorders>
                    <w:left w:val="single" w:color="auto" w:sz="4" w:space="0"/>
                  </w:tcBorders>
                  <w:noWrap w:val="0"/>
                  <w:vAlign w:val="center"/>
                </w:tcPr>
                <w:p w14:paraId="349B7A40">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highlight w:val="none"/>
                      <w:lang w:val="en-US" w:eastAsia="zh-CN"/>
                    </w:rPr>
                    <w:t>产生浓度mg/m</w:t>
                  </w:r>
                  <w:r>
                    <w:rPr>
                      <w:rFonts w:hint="default" w:ascii="Times New Roman" w:hAnsi="Times New Roman" w:cs="Times New Roman"/>
                      <w:b w:val="0"/>
                      <w:bCs w:val="0"/>
                      <w:color w:val="auto"/>
                      <w:sz w:val="21"/>
                      <w:szCs w:val="21"/>
                      <w:highlight w:val="none"/>
                      <w:vertAlign w:val="superscript"/>
                      <w:lang w:val="en-US" w:eastAsia="zh-CN"/>
                    </w:rPr>
                    <w:t>3</w:t>
                  </w:r>
                </w:p>
              </w:tc>
              <w:tc>
                <w:tcPr>
                  <w:tcW w:w="416" w:type="pct"/>
                  <w:noWrap w:val="0"/>
                  <w:vAlign w:val="center"/>
                </w:tcPr>
                <w:p w14:paraId="759B9B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工艺</w:t>
                  </w:r>
                </w:p>
              </w:tc>
              <w:tc>
                <w:tcPr>
                  <w:tcW w:w="305" w:type="pct"/>
                  <w:tcBorders>
                    <w:right w:val="single" w:color="auto" w:sz="4" w:space="0"/>
                  </w:tcBorders>
                  <w:noWrap w:val="0"/>
                  <w:vAlign w:val="center"/>
                </w:tcPr>
                <w:p w14:paraId="40F9CB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效率/%</w:t>
                  </w:r>
                </w:p>
              </w:tc>
              <w:tc>
                <w:tcPr>
                  <w:tcW w:w="361" w:type="pct"/>
                  <w:noWrap w:val="0"/>
                  <w:vAlign w:val="center"/>
                </w:tcPr>
                <w:p w14:paraId="0E0A6ADC">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highlight w:val="none"/>
                    </w:rPr>
                    <w:t>排放量t/a</w:t>
                  </w:r>
                </w:p>
              </w:tc>
              <w:tc>
                <w:tcPr>
                  <w:tcW w:w="444" w:type="pct"/>
                  <w:noWrap w:val="0"/>
                  <w:vAlign w:val="center"/>
                </w:tcPr>
                <w:p w14:paraId="098E11DC">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b w:val="0"/>
                      <w:bCs w:val="0"/>
                      <w:color w:val="auto"/>
                      <w:sz w:val="21"/>
                      <w:szCs w:val="21"/>
                      <w:highlight w:val="none"/>
                      <w:lang w:val="en-US" w:eastAsia="zh-CN"/>
                    </w:rPr>
                    <w:t>排放</w:t>
                  </w:r>
                  <w:r>
                    <w:rPr>
                      <w:rFonts w:hint="default" w:ascii="Times New Roman" w:hAnsi="Times New Roman" w:cs="Times New Roman"/>
                      <w:b w:val="0"/>
                      <w:bCs w:val="0"/>
                      <w:color w:val="auto"/>
                      <w:sz w:val="21"/>
                      <w:szCs w:val="21"/>
                      <w:highlight w:val="none"/>
                    </w:rPr>
                    <w:t>速率kg/h</w:t>
                  </w:r>
                </w:p>
              </w:tc>
              <w:tc>
                <w:tcPr>
                  <w:tcW w:w="422" w:type="pct"/>
                  <w:noWrap w:val="0"/>
                  <w:vAlign w:val="center"/>
                </w:tcPr>
                <w:p w14:paraId="71066EFE">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highlight w:val="none"/>
                      <w:lang w:val="en-US" w:eastAsia="zh-CN"/>
                    </w:rPr>
                    <w:t>排放浓度mg/m</w:t>
                  </w:r>
                  <w:r>
                    <w:rPr>
                      <w:rFonts w:hint="default" w:ascii="Times New Roman" w:hAnsi="Times New Roman" w:cs="Times New Roman"/>
                      <w:b w:val="0"/>
                      <w:bCs w:val="0"/>
                      <w:color w:val="auto"/>
                      <w:sz w:val="21"/>
                      <w:szCs w:val="21"/>
                      <w:highlight w:val="none"/>
                      <w:vertAlign w:val="superscript"/>
                      <w:lang w:val="en-US" w:eastAsia="zh-CN"/>
                    </w:rPr>
                    <w:t>3</w:t>
                  </w:r>
                </w:p>
              </w:tc>
              <w:tc>
                <w:tcPr>
                  <w:tcW w:w="261" w:type="pct"/>
                  <w:vMerge w:val="continue"/>
                  <w:noWrap w:val="0"/>
                  <w:vAlign w:val="center"/>
                </w:tcPr>
                <w:p w14:paraId="0CF9F3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p>
              </w:tc>
              <w:tc>
                <w:tcPr>
                  <w:tcW w:w="453" w:type="pct"/>
                  <w:gridSpan w:val="2"/>
                  <w:vMerge w:val="continue"/>
                  <w:noWrap w:val="0"/>
                  <w:vAlign w:val="center"/>
                </w:tcPr>
                <w:p w14:paraId="461A21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p>
              </w:tc>
            </w:tr>
            <w:tr w14:paraId="5FE3E7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626" w:type="pct"/>
                  <w:noWrap w:val="0"/>
                  <w:vAlign w:val="center"/>
                </w:tcPr>
                <w:p w14:paraId="3041E825">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DA001</w:t>
                  </w:r>
                </w:p>
              </w:tc>
              <w:tc>
                <w:tcPr>
                  <w:tcW w:w="287" w:type="pct"/>
                  <w:noWrap w:val="0"/>
                  <w:vAlign w:val="center"/>
                </w:tcPr>
                <w:p w14:paraId="29C034AA">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非甲烷总烃</w:t>
                  </w:r>
                </w:p>
              </w:tc>
              <w:tc>
                <w:tcPr>
                  <w:tcW w:w="389" w:type="pct"/>
                  <w:noWrap w:val="0"/>
                  <w:vAlign w:val="center"/>
                </w:tcPr>
                <w:p w14:paraId="6FDCE90E">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有组织</w:t>
                  </w:r>
                </w:p>
              </w:tc>
              <w:tc>
                <w:tcPr>
                  <w:tcW w:w="338" w:type="pct"/>
                  <w:tcBorders>
                    <w:right w:val="single" w:color="000000" w:sz="8" w:space="0"/>
                  </w:tcBorders>
                  <w:noWrap w:val="0"/>
                  <w:vAlign w:val="center"/>
                </w:tcPr>
                <w:p w14:paraId="35A469E6">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2.048</w:t>
                  </w:r>
                </w:p>
              </w:tc>
              <w:tc>
                <w:tcPr>
                  <w:tcW w:w="373" w:type="pct"/>
                  <w:tcBorders>
                    <w:left w:val="single" w:color="000000" w:sz="8" w:space="0"/>
                  </w:tcBorders>
                  <w:noWrap w:val="0"/>
                  <w:vAlign w:val="center"/>
                </w:tcPr>
                <w:p w14:paraId="7708DFC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0.325</w:t>
                  </w:r>
                </w:p>
              </w:tc>
              <w:tc>
                <w:tcPr>
                  <w:tcW w:w="318" w:type="pct"/>
                  <w:tcBorders>
                    <w:left w:val="single" w:color="auto" w:sz="4" w:space="0"/>
                  </w:tcBorders>
                  <w:noWrap w:val="0"/>
                  <w:vAlign w:val="center"/>
                </w:tcPr>
                <w:p w14:paraId="136527E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54.17</w:t>
                  </w:r>
                </w:p>
              </w:tc>
              <w:tc>
                <w:tcPr>
                  <w:tcW w:w="416" w:type="pct"/>
                  <w:noWrap w:val="0"/>
                  <w:vAlign w:val="center"/>
                </w:tcPr>
                <w:p w14:paraId="06656C8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集气罩+</w:t>
                  </w:r>
                  <w:r>
                    <w:rPr>
                      <w:rFonts w:hint="eastAsia" w:cs="Times New Roman"/>
                      <w:color w:val="auto"/>
                      <w:highlight w:val="none"/>
                      <w:lang w:val="en-US" w:eastAsia="zh-CN"/>
                    </w:rPr>
                    <w:t>二级</w:t>
                  </w:r>
                  <w:r>
                    <w:rPr>
                      <w:rFonts w:hint="default" w:ascii="Times New Roman" w:hAnsi="Times New Roman" w:eastAsia="宋体" w:cs="Times New Roman"/>
                      <w:color w:val="auto"/>
                      <w:highlight w:val="none"/>
                      <w:lang w:val="en-US" w:eastAsia="zh-CN"/>
                    </w:rPr>
                    <w:t>活性炭吸附</w:t>
                  </w:r>
                </w:p>
              </w:tc>
              <w:tc>
                <w:tcPr>
                  <w:tcW w:w="305" w:type="pct"/>
                  <w:tcBorders>
                    <w:right w:val="single" w:color="000000" w:sz="8" w:space="0"/>
                  </w:tcBorders>
                  <w:noWrap w:val="0"/>
                  <w:vAlign w:val="center"/>
                </w:tcPr>
                <w:p w14:paraId="5DC1AED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收集85%，处理85%</w:t>
                  </w:r>
                </w:p>
              </w:tc>
              <w:tc>
                <w:tcPr>
                  <w:tcW w:w="361" w:type="pct"/>
                  <w:noWrap w:val="0"/>
                  <w:vAlign w:val="center"/>
                </w:tcPr>
                <w:p w14:paraId="289A5EE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0.26</w:t>
                  </w:r>
                </w:p>
              </w:tc>
              <w:tc>
                <w:tcPr>
                  <w:tcW w:w="444" w:type="pct"/>
                  <w:noWrap w:val="0"/>
                  <w:vAlign w:val="center"/>
                </w:tcPr>
                <w:p w14:paraId="507BD8E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0.041</w:t>
                  </w:r>
                </w:p>
              </w:tc>
              <w:tc>
                <w:tcPr>
                  <w:tcW w:w="422" w:type="pct"/>
                  <w:noWrap w:val="0"/>
                  <w:vAlign w:val="center"/>
                </w:tcPr>
                <w:p w14:paraId="4F1ED96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6.91</w:t>
                  </w:r>
                </w:p>
              </w:tc>
              <w:tc>
                <w:tcPr>
                  <w:tcW w:w="261" w:type="pct"/>
                  <w:noWrap w:val="0"/>
                  <w:vAlign w:val="center"/>
                </w:tcPr>
                <w:p w14:paraId="1F523A6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6300</w:t>
                  </w:r>
                </w:p>
              </w:tc>
              <w:tc>
                <w:tcPr>
                  <w:tcW w:w="453" w:type="pct"/>
                  <w:gridSpan w:val="2"/>
                  <w:noWrap w:val="0"/>
                  <w:vAlign w:val="center"/>
                </w:tcPr>
                <w:p w14:paraId="323DF01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50</w:t>
                  </w:r>
                </w:p>
              </w:tc>
            </w:tr>
            <w:tr w14:paraId="1F2A8A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6" w:type="pct"/>
                  <w:noWrap w:val="0"/>
                  <w:vAlign w:val="center"/>
                </w:tcPr>
                <w:p w14:paraId="7A3D395F">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DA002</w:t>
                  </w:r>
                </w:p>
              </w:tc>
              <w:tc>
                <w:tcPr>
                  <w:tcW w:w="287" w:type="pct"/>
                  <w:noWrap w:val="0"/>
                  <w:vAlign w:val="center"/>
                </w:tcPr>
                <w:p w14:paraId="11C122FC">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非甲烷总烃</w:t>
                  </w:r>
                </w:p>
              </w:tc>
              <w:tc>
                <w:tcPr>
                  <w:tcW w:w="389" w:type="pct"/>
                  <w:noWrap w:val="0"/>
                  <w:vAlign w:val="center"/>
                </w:tcPr>
                <w:p w14:paraId="6F19121B">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有组织</w:t>
                  </w:r>
                </w:p>
              </w:tc>
              <w:tc>
                <w:tcPr>
                  <w:tcW w:w="338" w:type="pct"/>
                  <w:tcBorders>
                    <w:right w:val="single" w:color="000000" w:sz="8" w:space="0"/>
                  </w:tcBorders>
                  <w:noWrap w:val="0"/>
                  <w:vAlign w:val="center"/>
                </w:tcPr>
                <w:p w14:paraId="2B5D9CD2">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1.932</w:t>
                  </w:r>
                </w:p>
              </w:tc>
              <w:tc>
                <w:tcPr>
                  <w:tcW w:w="373" w:type="pct"/>
                  <w:tcBorders>
                    <w:left w:val="single" w:color="000000" w:sz="8" w:space="0"/>
                  </w:tcBorders>
                  <w:noWrap w:val="0"/>
                  <w:vAlign w:val="center"/>
                </w:tcPr>
                <w:p w14:paraId="7AED880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0.31</w:t>
                  </w:r>
                </w:p>
              </w:tc>
              <w:tc>
                <w:tcPr>
                  <w:tcW w:w="318" w:type="pct"/>
                  <w:tcBorders>
                    <w:left w:val="single" w:color="auto" w:sz="4" w:space="0"/>
                  </w:tcBorders>
                  <w:noWrap w:val="0"/>
                  <w:vAlign w:val="center"/>
                </w:tcPr>
                <w:p w14:paraId="2BCE0CB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51.67</w:t>
                  </w:r>
                </w:p>
              </w:tc>
              <w:tc>
                <w:tcPr>
                  <w:tcW w:w="416" w:type="pct"/>
                  <w:noWrap w:val="0"/>
                  <w:vAlign w:val="center"/>
                </w:tcPr>
                <w:p w14:paraId="481B728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color w:val="auto"/>
                      <w:highlight w:val="none"/>
                      <w:lang w:val="en-US" w:eastAsia="zh-CN"/>
                    </w:rPr>
                    <w:t>集气罩+</w:t>
                  </w:r>
                  <w:r>
                    <w:rPr>
                      <w:rFonts w:hint="eastAsia" w:cs="Times New Roman"/>
                      <w:color w:val="auto"/>
                      <w:highlight w:val="none"/>
                      <w:lang w:val="en-US" w:eastAsia="zh-CN"/>
                    </w:rPr>
                    <w:t>二级</w:t>
                  </w:r>
                  <w:r>
                    <w:rPr>
                      <w:rFonts w:hint="default" w:ascii="Times New Roman" w:hAnsi="Times New Roman" w:eastAsia="宋体" w:cs="Times New Roman"/>
                      <w:color w:val="auto"/>
                      <w:highlight w:val="none"/>
                      <w:lang w:val="en-US" w:eastAsia="zh-CN"/>
                    </w:rPr>
                    <w:t>活性炭吸附</w:t>
                  </w:r>
                </w:p>
              </w:tc>
              <w:tc>
                <w:tcPr>
                  <w:tcW w:w="305" w:type="pct"/>
                  <w:tcBorders>
                    <w:right w:val="single" w:color="000000" w:sz="8" w:space="0"/>
                  </w:tcBorders>
                  <w:noWrap w:val="0"/>
                  <w:vAlign w:val="center"/>
                </w:tcPr>
                <w:p w14:paraId="10658A0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收集85%，处理85%</w:t>
                  </w:r>
                </w:p>
              </w:tc>
              <w:tc>
                <w:tcPr>
                  <w:tcW w:w="361" w:type="pct"/>
                  <w:noWrap w:val="0"/>
                  <w:vAlign w:val="center"/>
                </w:tcPr>
                <w:p w14:paraId="7EBDD5F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0.246</w:t>
                  </w:r>
                </w:p>
              </w:tc>
              <w:tc>
                <w:tcPr>
                  <w:tcW w:w="444" w:type="pct"/>
                  <w:noWrap w:val="0"/>
                  <w:vAlign w:val="center"/>
                </w:tcPr>
                <w:p w14:paraId="13B4F3E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0.04</w:t>
                  </w:r>
                </w:p>
              </w:tc>
              <w:tc>
                <w:tcPr>
                  <w:tcW w:w="422" w:type="pct"/>
                  <w:noWrap w:val="0"/>
                  <w:vAlign w:val="center"/>
                </w:tcPr>
                <w:p w14:paraId="3DDCF72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6.59</w:t>
                  </w:r>
                </w:p>
              </w:tc>
              <w:tc>
                <w:tcPr>
                  <w:tcW w:w="261" w:type="pct"/>
                  <w:noWrap w:val="0"/>
                  <w:vAlign w:val="center"/>
                </w:tcPr>
                <w:p w14:paraId="0B28BC3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6300</w:t>
                  </w:r>
                </w:p>
              </w:tc>
              <w:tc>
                <w:tcPr>
                  <w:tcW w:w="453" w:type="pct"/>
                  <w:gridSpan w:val="2"/>
                  <w:noWrap w:val="0"/>
                  <w:vAlign w:val="center"/>
                </w:tcPr>
                <w:p w14:paraId="1681BF7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50</w:t>
                  </w:r>
                </w:p>
              </w:tc>
            </w:tr>
            <w:tr w14:paraId="66A628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626" w:type="pct"/>
                  <w:noWrap w:val="0"/>
                  <w:vAlign w:val="center"/>
                </w:tcPr>
                <w:p w14:paraId="622F0DBD">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DA003</w:t>
                  </w:r>
                </w:p>
              </w:tc>
              <w:tc>
                <w:tcPr>
                  <w:tcW w:w="287" w:type="pct"/>
                  <w:noWrap w:val="0"/>
                  <w:vAlign w:val="center"/>
                </w:tcPr>
                <w:p w14:paraId="1C3E0EF9">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非甲烷总烃</w:t>
                  </w:r>
                </w:p>
              </w:tc>
              <w:tc>
                <w:tcPr>
                  <w:tcW w:w="389" w:type="pct"/>
                  <w:noWrap w:val="0"/>
                  <w:vAlign w:val="center"/>
                </w:tcPr>
                <w:p w14:paraId="7BBE3AA2">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有组织</w:t>
                  </w:r>
                </w:p>
              </w:tc>
              <w:tc>
                <w:tcPr>
                  <w:tcW w:w="338" w:type="pct"/>
                  <w:tcBorders>
                    <w:right w:val="single" w:color="000000" w:sz="8" w:space="0"/>
                  </w:tcBorders>
                  <w:noWrap w:val="0"/>
                  <w:vAlign w:val="center"/>
                </w:tcPr>
                <w:p w14:paraId="146D0C0C">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0.09</w:t>
                  </w:r>
                </w:p>
              </w:tc>
              <w:tc>
                <w:tcPr>
                  <w:tcW w:w="373" w:type="pct"/>
                  <w:tcBorders>
                    <w:left w:val="single" w:color="000000" w:sz="8" w:space="0"/>
                  </w:tcBorders>
                  <w:noWrap w:val="0"/>
                  <w:vAlign w:val="center"/>
                </w:tcPr>
                <w:p w14:paraId="6AE48184">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0.014</w:t>
                  </w:r>
                </w:p>
              </w:tc>
              <w:tc>
                <w:tcPr>
                  <w:tcW w:w="318" w:type="pct"/>
                  <w:tcBorders>
                    <w:left w:val="single" w:color="auto" w:sz="4" w:space="0"/>
                  </w:tcBorders>
                  <w:noWrap w:val="0"/>
                  <w:vAlign w:val="center"/>
                </w:tcPr>
                <w:p w14:paraId="5A169639">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2.33</w:t>
                  </w:r>
                </w:p>
              </w:tc>
              <w:tc>
                <w:tcPr>
                  <w:tcW w:w="416" w:type="pct"/>
                  <w:noWrap w:val="0"/>
                  <w:vAlign w:val="center"/>
                </w:tcPr>
                <w:p w14:paraId="30D1C56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color w:val="auto"/>
                      <w:highlight w:val="none"/>
                      <w:lang w:val="en-US" w:eastAsia="zh-CN"/>
                    </w:rPr>
                    <w:t>集气罩+</w:t>
                  </w:r>
                  <w:r>
                    <w:rPr>
                      <w:rFonts w:hint="eastAsia" w:cs="Times New Roman"/>
                      <w:color w:val="auto"/>
                      <w:highlight w:val="none"/>
                      <w:lang w:val="en-US" w:eastAsia="zh-CN"/>
                    </w:rPr>
                    <w:t>二级</w:t>
                  </w:r>
                  <w:r>
                    <w:rPr>
                      <w:rFonts w:hint="default" w:ascii="Times New Roman" w:hAnsi="Times New Roman" w:eastAsia="宋体" w:cs="Times New Roman"/>
                      <w:color w:val="auto"/>
                      <w:highlight w:val="none"/>
                      <w:lang w:val="en-US" w:eastAsia="zh-CN"/>
                    </w:rPr>
                    <w:t>活性炭吸附</w:t>
                  </w:r>
                </w:p>
              </w:tc>
              <w:tc>
                <w:tcPr>
                  <w:tcW w:w="305" w:type="pct"/>
                  <w:tcBorders>
                    <w:right w:val="single" w:color="000000" w:sz="8" w:space="0"/>
                  </w:tcBorders>
                  <w:noWrap w:val="0"/>
                  <w:vAlign w:val="center"/>
                </w:tcPr>
                <w:p w14:paraId="046B6F1C">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收集85%，处理85%</w:t>
                  </w:r>
                </w:p>
              </w:tc>
              <w:tc>
                <w:tcPr>
                  <w:tcW w:w="361" w:type="pct"/>
                  <w:noWrap w:val="0"/>
                  <w:vAlign w:val="center"/>
                </w:tcPr>
                <w:p w14:paraId="1919E6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0.011</w:t>
                  </w:r>
                </w:p>
              </w:tc>
              <w:tc>
                <w:tcPr>
                  <w:tcW w:w="444" w:type="pct"/>
                  <w:noWrap w:val="0"/>
                  <w:vAlign w:val="center"/>
                </w:tcPr>
                <w:p w14:paraId="0AF000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0.0017</w:t>
                  </w:r>
                </w:p>
              </w:tc>
              <w:tc>
                <w:tcPr>
                  <w:tcW w:w="422" w:type="pct"/>
                  <w:noWrap w:val="0"/>
                  <w:vAlign w:val="center"/>
                </w:tcPr>
                <w:p w14:paraId="3D08DE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0.28</w:t>
                  </w:r>
                </w:p>
              </w:tc>
              <w:tc>
                <w:tcPr>
                  <w:tcW w:w="261" w:type="pct"/>
                  <w:noWrap w:val="0"/>
                  <w:vAlign w:val="center"/>
                </w:tcPr>
                <w:p w14:paraId="4FC27040">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6300</w:t>
                  </w:r>
                </w:p>
              </w:tc>
              <w:tc>
                <w:tcPr>
                  <w:tcW w:w="453" w:type="pct"/>
                  <w:gridSpan w:val="2"/>
                  <w:noWrap w:val="0"/>
                  <w:vAlign w:val="center"/>
                </w:tcPr>
                <w:p w14:paraId="64B1A7A6">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50</w:t>
                  </w:r>
                </w:p>
              </w:tc>
            </w:tr>
            <w:tr w14:paraId="317BDE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626" w:type="pct"/>
                  <w:noWrap w:val="0"/>
                  <w:vAlign w:val="center"/>
                </w:tcPr>
                <w:p w14:paraId="28BF3FAC">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DA004</w:t>
                  </w:r>
                </w:p>
              </w:tc>
              <w:tc>
                <w:tcPr>
                  <w:tcW w:w="287" w:type="pct"/>
                  <w:noWrap w:val="0"/>
                  <w:vAlign w:val="center"/>
                </w:tcPr>
                <w:p w14:paraId="0F521C44">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油烟</w:t>
                  </w:r>
                </w:p>
              </w:tc>
              <w:tc>
                <w:tcPr>
                  <w:tcW w:w="389" w:type="pct"/>
                  <w:noWrap w:val="0"/>
                  <w:vAlign w:val="center"/>
                </w:tcPr>
                <w:p w14:paraId="38289C0D">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有组织</w:t>
                  </w:r>
                </w:p>
              </w:tc>
              <w:tc>
                <w:tcPr>
                  <w:tcW w:w="338" w:type="pct"/>
                  <w:tcBorders>
                    <w:right w:val="single" w:color="000000" w:sz="8" w:space="0"/>
                  </w:tcBorders>
                  <w:noWrap w:val="0"/>
                  <w:vAlign w:val="center"/>
                </w:tcPr>
                <w:p w14:paraId="3D2D7A2A">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0.011</w:t>
                  </w:r>
                </w:p>
              </w:tc>
              <w:tc>
                <w:tcPr>
                  <w:tcW w:w="373" w:type="pct"/>
                  <w:tcBorders>
                    <w:left w:val="single" w:color="000000" w:sz="8" w:space="0"/>
                  </w:tcBorders>
                  <w:noWrap w:val="0"/>
                  <w:vAlign w:val="center"/>
                </w:tcPr>
                <w:p w14:paraId="42484E79">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0.0073</w:t>
                  </w:r>
                </w:p>
              </w:tc>
              <w:tc>
                <w:tcPr>
                  <w:tcW w:w="318" w:type="pct"/>
                  <w:tcBorders>
                    <w:left w:val="single" w:color="auto" w:sz="4" w:space="0"/>
                  </w:tcBorders>
                  <w:noWrap w:val="0"/>
                  <w:vAlign w:val="center"/>
                </w:tcPr>
                <w:p w14:paraId="4989AD1F">
                  <w:pPr>
                    <w:keepNext w:val="0"/>
                    <w:keepLines w:val="0"/>
                    <w:suppressLineNumbers w:val="0"/>
                    <w:adjustRightInd w:val="0"/>
                    <w:snapToGrid w:val="0"/>
                    <w:spacing w:before="0" w:beforeAutospacing="0" w:after="0" w:afterAutospacing="0"/>
                    <w:ind w:left="0" w:right="0"/>
                    <w:jc w:val="center"/>
                    <w:rPr>
                      <w:rFonts w:hint="default"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1.83</w:t>
                  </w:r>
                </w:p>
              </w:tc>
              <w:tc>
                <w:tcPr>
                  <w:tcW w:w="416" w:type="pct"/>
                  <w:noWrap w:val="0"/>
                  <w:vAlign w:val="center"/>
                </w:tcPr>
                <w:p w14:paraId="3C331E2E">
                  <w:pPr>
                    <w:keepNext w:val="0"/>
                    <w:keepLines w:val="0"/>
                    <w:suppressLineNumbers w:val="0"/>
                    <w:adjustRightInd w:val="0"/>
                    <w:snapToGrid w:val="0"/>
                    <w:spacing w:before="0" w:beforeAutospacing="0" w:after="0" w:afterAutospacing="0"/>
                    <w:ind w:left="0" w:right="0"/>
                    <w:jc w:val="center"/>
                    <w:rPr>
                      <w:rFonts w:hint="default" w:eastAsia="宋体" w:cs="Times New Roman"/>
                      <w:color w:val="auto"/>
                      <w:highlight w:val="none"/>
                      <w:lang w:val="en-US" w:eastAsia="zh-CN"/>
                    </w:rPr>
                  </w:pPr>
                  <w:r>
                    <w:rPr>
                      <w:rFonts w:hint="eastAsia" w:eastAsia="宋体" w:cs="Times New Roman"/>
                      <w:color w:val="auto"/>
                      <w:highlight w:val="none"/>
                      <w:lang w:val="en-US" w:eastAsia="zh-CN"/>
                    </w:rPr>
                    <w:t>油烟净化器</w:t>
                  </w:r>
                </w:p>
              </w:tc>
              <w:tc>
                <w:tcPr>
                  <w:tcW w:w="305" w:type="pct"/>
                  <w:tcBorders>
                    <w:right w:val="single" w:color="000000" w:sz="8" w:space="0"/>
                  </w:tcBorders>
                  <w:noWrap w:val="0"/>
                  <w:vAlign w:val="center"/>
                </w:tcPr>
                <w:p w14:paraId="132652F6">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处理80%</w:t>
                  </w:r>
                </w:p>
              </w:tc>
              <w:tc>
                <w:tcPr>
                  <w:tcW w:w="361" w:type="pct"/>
                  <w:noWrap w:val="0"/>
                  <w:vAlign w:val="center"/>
                </w:tcPr>
                <w:p w14:paraId="005CF835">
                  <w:pPr>
                    <w:keepNext w:val="0"/>
                    <w:keepLines w:val="0"/>
                    <w:suppressLineNumbers w:val="0"/>
                    <w:adjustRightInd w:val="0"/>
                    <w:snapToGrid w:val="0"/>
                    <w:spacing w:before="0" w:beforeAutospacing="0" w:after="0" w:afterAutospacing="0"/>
                    <w:ind w:left="0" w:leftChars="0" w:right="0" w:rightChars="0"/>
                    <w:jc w:val="center"/>
                    <w:rPr>
                      <w:rFonts w:hint="default" w:cs="Times New Roman"/>
                      <w:color w:val="auto"/>
                      <w:highlight w:val="none"/>
                      <w:lang w:val="en-US" w:eastAsia="zh-CN"/>
                    </w:rPr>
                  </w:pPr>
                  <w:r>
                    <w:rPr>
                      <w:rFonts w:hint="eastAsia" w:cs="Times New Roman"/>
                      <w:color w:val="auto"/>
                      <w:highlight w:val="none"/>
                      <w:lang w:val="en-US" w:eastAsia="zh-CN"/>
                    </w:rPr>
                    <w:t>0.0022</w:t>
                  </w:r>
                </w:p>
              </w:tc>
              <w:tc>
                <w:tcPr>
                  <w:tcW w:w="444" w:type="pct"/>
                  <w:noWrap w:val="0"/>
                  <w:vAlign w:val="center"/>
                </w:tcPr>
                <w:p w14:paraId="1A1C0AC3">
                  <w:pPr>
                    <w:keepNext w:val="0"/>
                    <w:keepLines w:val="0"/>
                    <w:suppressLineNumbers w:val="0"/>
                    <w:adjustRightInd w:val="0"/>
                    <w:snapToGrid w:val="0"/>
                    <w:spacing w:before="0" w:beforeAutospacing="0" w:after="0" w:afterAutospacing="0"/>
                    <w:ind w:left="0" w:leftChars="0" w:right="0" w:rightChars="0"/>
                    <w:jc w:val="center"/>
                    <w:rPr>
                      <w:rFonts w:hint="default" w:cs="Times New Roman"/>
                      <w:color w:val="auto"/>
                      <w:highlight w:val="none"/>
                      <w:lang w:val="en-US" w:eastAsia="zh-CN"/>
                    </w:rPr>
                  </w:pPr>
                  <w:r>
                    <w:rPr>
                      <w:rFonts w:hint="eastAsia" w:cs="Times New Roman"/>
                      <w:color w:val="auto"/>
                      <w:highlight w:val="none"/>
                      <w:lang w:val="en-US" w:eastAsia="zh-CN"/>
                    </w:rPr>
                    <w:t>0.0015</w:t>
                  </w:r>
                </w:p>
              </w:tc>
              <w:tc>
                <w:tcPr>
                  <w:tcW w:w="422" w:type="pct"/>
                  <w:noWrap w:val="0"/>
                  <w:vAlign w:val="center"/>
                </w:tcPr>
                <w:p w14:paraId="2DA1EBEB">
                  <w:pPr>
                    <w:keepNext w:val="0"/>
                    <w:keepLines w:val="0"/>
                    <w:suppressLineNumbers w:val="0"/>
                    <w:adjustRightInd w:val="0"/>
                    <w:snapToGrid w:val="0"/>
                    <w:spacing w:before="0" w:beforeAutospacing="0" w:after="0" w:afterAutospacing="0"/>
                    <w:ind w:left="0" w:right="0"/>
                    <w:jc w:val="center"/>
                    <w:rPr>
                      <w:rFonts w:hint="default"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0.375</w:t>
                  </w:r>
                </w:p>
              </w:tc>
              <w:tc>
                <w:tcPr>
                  <w:tcW w:w="261" w:type="pct"/>
                  <w:noWrap w:val="0"/>
                  <w:vAlign w:val="center"/>
                </w:tcPr>
                <w:p w14:paraId="5B6D5CD2">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1500</w:t>
                  </w:r>
                </w:p>
              </w:tc>
              <w:tc>
                <w:tcPr>
                  <w:tcW w:w="453" w:type="pct"/>
                  <w:gridSpan w:val="2"/>
                  <w:noWrap w:val="0"/>
                  <w:vAlign w:val="center"/>
                </w:tcPr>
                <w:p w14:paraId="59340D1D">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2.0</w:t>
                  </w:r>
                </w:p>
              </w:tc>
            </w:tr>
            <w:tr w14:paraId="1AEF05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626" w:type="pct"/>
                  <w:noWrap w:val="0"/>
                  <w:vAlign w:val="center"/>
                </w:tcPr>
                <w:p w14:paraId="5D6827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水性印刷废气</w:t>
                  </w:r>
                </w:p>
              </w:tc>
              <w:tc>
                <w:tcPr>
                  <w:tcW w:w="287" w:type="pct"/>
                  <w:vMerge w:val="restart"/>
                  <w:noWrap w:val="0"/>
                  <w:vAlign w:val="center"/>
                </w:tcPr>
                <w:p w14:paraId="024130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非甲烷总烃</w:t>
                  </w:r>
                </w:p>
              </w:tc>
              <w:tc>
                <w:tcPr>
                  <w:tcW w:w="389" w:type="pct"/>
                  <w:vMerge w:val="restart"/>
                  <w:noWrap w:val="0"/>
                  <w:vAlign w:val="center"/>
                </w:tcPr>
                <w:p w14:paraId="7BA7AD23">
                  <w:pPr>
                    <w:keepNext w:val="0"/>
                    <w:keepLines w:val="0"/>
                    <w:suppressLineNumbers w:val="0"/>
                    <w:adjustRightInd w:val="0"/>
                    <w:snapToGrid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无组织</w:t>
                  </w:r>
                </w:p>
                <w:p w14:paraId="75A5070B">
                  <w:pPr>
                    <w:keepNext w:val="0"/>
                    <w:keepLines w:val="0"/>
                    <w:suppressLineNumbers w:val="0"/>
                    <w:adjustRightInd w:val="0"/>
                    <w:snapToGrid w:val="0"/>
                    <w:spacing w:before="0" w:beforeAutospacing="0" w:after="0" w:afterAutospacing="0"/>
                    <w:ind w:left="0" w:right="0"/>
                    <w:jc w:val="center"/>
                    <w:rPr>
                      <w:rFonts w:hint="eastAsia" w:cs="Times New Roman"/>
                      <w:color w:val="auto"/>
                      <w:highlight w:val="none"/>
                      <w:lang w:val="en-US" w:eastAsia="zh-CN"/>
                    </w:rPr>
                  </w:pPr>
                </w:p>
              </w:tc>
              <w:tc>
                <w:tcPr>
                  <w:tcW w:w="338" w:type="pct"/>
                  <w:tcBorders>
                    <w:right w:val="single" w:color="000000" w:sz="8" w:space="0"/>
                  </w:tcBorders>
                  <w:noWrap w:val="0"/>
                  <w:vAlign w:val="center"/>
                </w:tcPr>
                <w:p w14:paraId="370365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0.315</w:t>
                  </w:r>
                </w:p>
              </w:tc>
              <w:tc>
                <w:tcPr>
                  <w:tcW w:w="373" w:type="pct"/>
                  <w:tcBorders>
                    <w:left w:val="single" w:color="000000" w:sz="8" w:space="0"/>
                  </w:tcBorders>
                  <w:noWrap w:val="0"/>
                  <w:vAlign w:val="center"/>
                </w:tcPr>
                <w:p w14:paraId="661696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0.05</w:t>
                  </w:r>
                </w:p>
              </w:tc>
              <w:tc>
                <w:tcPr>
                  <w:tcW w:w="318" w:type="pct"/>
                  <w:vMerge w:val="restart"/>
                  <w:tcBorders>
                    <w:left w:val="single" w:color="auto" w:sz="4" w:space="0"/>
                  </w:tcBorders>
                  <w:noWrap w:val="0"/>
                  <w:vAlign w:val="center"/>
                </w:tcPr>
                <w:p w14:paraId="675A49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w:t>
                  </w:r>
                </w:p>
              </w:tc>
              <w:tc>
                <w:tcPr>
                  <w:tcW w:w="416" w:type="pct"/>
                  <w:vMerge w:val="restart"/>
                  <w:noWrap w:val="0"/>
                  <w:vAlign w:val="center"/>
                </w:tcPr>
                <w:p w14:paraId="742DBE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车间通风，无组织排出</w:t>
                  </w:r>
                </w:p>
              </w:tc>
              <w:tc>
                <w:tcPr>
                  <w:tcW w:w="305" w:type="pct"/>
                  <w:vMerge w:val="restart"/>
                  <w:tcBorders>
                    <w:right w:val="single" w:color="000000" w:sz="8" w:space="0"/>
                  </w:tcBorders>
                  <w:noWrap w:val="0"/>
                  <w:vAlign w:val="center"/>
                </w:tcPr>
                <w:p w14:paraId="7BA7C9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w:t>
                  </w:r>
                </w:p>
              </w:tc>
              <w:tc>
                <w:tcPr>
                  <w:tcW w:w="361" w:type="pct"/>
                  <w:noWrap w:val="0"/>
                  <w:vAlign w:val="center"/>
                </w:tcPr>
                <w:p w14:paraId="3C68E0B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0.315</w:t>
                  </w:r>
                </w:p>
              </w:tc>
              <w:tc>
                <w:tcPr>
                  <w:tcW w:w="444" w:type="pct"/>
                  <w:noWrap w:val="0"/>
                  <w:vAlign w:val="center"/>
                </w:tcPr>
                <w:p w14:paraId="7438B2A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0.05</w:t>
                  </w:r>
                </w:p>
              </w:tc>
              <w:tc>
                <w:tcPr>
                  <w:tcW w:w="422" w:type="pct"/>
                  <w:vMerge w:val="restart"/>
                  <w:noWrap w:val="0"/>
                  <w:vAlign w:val="center"/>
                </w:tcPr>
                <w:p w14:paraId="70AD7D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w:t>
                  </w:r>
                </w:p>
              </w:tc>
              <w:tc>
                <w:tcPr>
                  <w:tcW w:w="261" w:type="pct"/>
                  <w:vMerge w:val="restart"/>
                  <w:noWrap w:val="0"/>
                  <w:vAlign w:val="center"/>
                </w:tcPr>
                <w:p w14:paraId="37878C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6300</w:t>
                  </w:r>
                </w:p>
              </w:tc>
              <w:tc>
                <w:tcPr>
                  <w:tcW w:w="278" w:type="pct"/>
                  <w:vMerge w:val="restart"/>
                  <w:noWrap w:val="0"/>
                  <w:vAlign w:val="center"/>
                </w:tcPr>
                <w:p w14:paraId="03B6BB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b w:val="0"/>
                      <w:bCs w:val="0"/>
                      <w:color w:val="auto"/>
                      <w:szCs w:val="21"/>
                      <w:lang w:val="en-US" w:eastAsia="zh-CN"/>
                    </w:rPr>
                    <w:t>厂区内</w:t>
                  </w:r>
                  <w:r>
                    <w:rPr>
                      <w:rFonts w:hint="default" w:ascii="Times New Roman" w:hAnsi="Times New Roman" w:cs="Times New Roman"/>
                      <w:b w:val="0"/>
                      <w:bCs w:val="0"/>
                      <w:color w:val="auto"/>
                      <w:szCs w:val="21"/>
                    </w:rPr>
                    <w:t>监控点</w:t>
                  </w:r>
                </w:p>
              </w:tc>
              <w:tc>
                <w:tcPr>
                  <w:tcW w:w="175" w:type="pct"/>
                  <w:vMerge w:val="restart"/>
                  <w:noWrap w:val="0"/>
                  <w:vAlign w:val="center"/>
                </w:tcPr>
                <w:p w14:paraId="3EE137DC">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10</w:t>
                  </w:r>
                </w:p>
              </w:tc>
            </w:tr>
            <w:tr w14:paraId="5D22CE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626" w:type="pct"/>
                  <w:noWrap w:val="0"/>
                  <w:vAlign w:val="center"/>
                </w:tcPr>
                <w:p w14:paraId="3EA182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胶印印刷废气</w:t>
                  </w:r>
                </w:p>
              </w:tc>
              <w:tc>
                <w:tcPr>
                  <w:tcW w:w="287" w:type="pct"/>
                  <w:vMerge w:val="continue"/>
                  <w:noWrap w:val="0"/>
                  <w:vAlign w:val="center"/>
                </w:tcPr>
                <w:p w14:paraId="3D6FB0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89" w:type="pct"/>
                  <w:vMerge w:val="continue"/>
                  <w:noWrap w:val="0"/>
                  <w:vAlign w:val="center"/>
                </w:tcPr>
                <w:p w14:paraId="7E8226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38" w:type="pct"/>
                  <w:tcBorders>
                    <w:right w:val="single" w:color="000000" w:sz="8" w:space="0"/>
                  </w:tcBorders>
                  <w:noWrap w:val="0"/>
                  <w:vAlign w:val="center"/>
                </w:tcPr>
                <w:p w14:paraId="27FEC7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0.2</w:t>
                  </w:r>
                </w:p>
              </w:tc>
              <w:tc>
                <w:tcPr>
                  <w:tcW w:w="373" w:type="pct"/>
                  <w:tcBorders>
                    <w:left w:val="single" w:color="000000" w:sz="8" w:space="0"/>
                  </w:tcBorders>
                  <w:noWrap w:val="0"/>
                  <w:vAlign w:val="center"/>
                </w:tcPr>
                <w:p w14:paraId="3E06EA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0.032</w:t>
                  </w:r>
                </w:p>
              </w:tc>
              <w:tc>
                <w:tcPr>
                  <w:tcW w:w="318" w:type="pct"/>
                  <w:vMerge w:val="continue"/>
                  <w:tcBorders>
                    <w:left w:val="single" w:color="auto" w:sz="4" w:space="0"/>
                  </w:tcBorders>
                  <w:noWrap w:val="0"/>
                  <w:vAlign w:val="center"/>
                </w:tcPr>
                <w:p w14:paraId="2DFAC0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416" w:type="pct"/>
                  <w:vMerge w:val="continue"/>
                  <w:noWrap w:val="0"/>
                  <w:vAlign w:val="center"/>
                </w:tcPr>
                <w:p w14:paraId="18C87C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05" w:type="pct"/>
                  <w:vMerge w:val="continue"/>
                  <w:tcBorders>
                    <w:right w:val="single" w:color="000000" w:sz="8" w:space="0"/>
                  </w:tcBorders>
                  <w:noWrap w:val="0"/>
                  <w:vAlign w:val="center"/>
                </w:tcPr>
                <w:p w14:paraId="10BB2D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61" w:type="pct"/>
                  <w:noWrap w:val="0"/>
                  <w:vAlign w:val="center"/>
                </w:tcPr>
                <w:p w14:paraId="1D131AD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0.2</w:t>
                  </w:r>
                </w:p>
              </w:tc>
              <w:tc>
                <w:tcPr>
                  <w:tcW w:w="444" w:type="pct"/>
                  <w:noWrap w:val="0"/>
                  <w:vAlign w:val="center"/>
                </w:tcPr>
                <w:p w14:paraId="228AC36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0.032</w:t>
                  </w:r>
                </w:p>
              </w:tc>
              <w:tc>
                <w:tcPr>
                  <w:tcW w:w="422" w:type="pct"/>
                  <w:vMerge w:val="continue"/>
                  <w:noWrap w:val="0"/>
                  <w:vAlign w:val="center"/>
                </w:tcPr>
                <w:p w14:paraId="4F0B5D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261" w:type="pct"/>
                  <w:vMerge w:val="continue"/>
                  <w:noWrap w:val="0"/>
                  <w:vAlign w:val="center"/>
                </w:tcPr>
                <w:p w14:paraId="375386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278" w:type="pct"/>
                  <w:vMerge w:val="continue"/>
                  <w:noWrap w:val="0"/>
                  <w:vAlign w:val="center"/>
                </w:tcPr>
                <w:p w14:paraId="22904E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175" w:type="pct"/>
                  <w:vMerge w:val="continue"/>
                  <w:noWrap w:val="0"/>
                  <w:vAlign w:val="center"/>
                </w:tcPr>
                <w:p w14:paraId="223558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r>
            <w:tr w14:paraId="37C7E3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426" w:hRule="atLeast"/>
                <w:jc w:val="center"/>
              </w:trPr>
              <w:tc>
                <w:tcPr>
                  <w:tcW w:w="626" w:type="pct"/>
                  <w:noWrap w:val="0"/>
                  <w:vAlign w:val="center"/>
                </w:tcPr>
                <w:p w14:paraId="1FC468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覆膜/亮油废气</w:t>
                  </w:r>
                </w:p>
              </w:tc>
              <w:tc>
                <w:tcPr>
                  <w:tcW w:w="287" w:type="pct"/>
                  <w:vMerge w:val="continue"/>
                  <w:noWrap w:val="0"/>
                  <w:vAlign w:val="center"/>
                </w:tcPr>
                <w:p w14:paraId="141FAF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89" w:type="pct"/>
                  <w:vMerge w:val="continue"/>
                  <w:noWrap w:val="0"/>
                  <w:vAlign w:val="center"/>
                </w:tcPr>
                <w:p w14:paraId="62E2B1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38" w:type="pct"/>
                  <w:tcBorders>
                    <w:right w:val="single" w:color="000000" w:sz="8" w:space="0"/>
                  </w:tcBorders>
                  <w:noWrap w:val="0"/>
                  <w:vAlign w:val="center"/>
                </w:tcPr>
                <w:p w14:paraId="310C07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0.068</w:t>
                  </w:r>
                </w:p>
              </w:tc>
              <w:tc>
                <w:tcPr>
                  <w:tcW w:w="373" w:type="pct"/>
                  <w:tcBorders>
                    <w:left w:val="single" w:color="000000" w:sz="8" w:space="0"/>
                  </w:tcBorders>
                  <w:noWrap w:val="0"/>
                  <w:vAlign w:val="center"/>
                </w:tcPr>
                <w:p w14:paraId="1D6923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0.01</w:t>
                  </w:r>
                </w:p>
              </w:tc>
              <w:tc>
                <w:tcPr>
                  <w:tcW w:w="318" w:type="pct"/>
                  <w:vMerge w:val="continue"/>
                  <w:tcBorders>
                    <w:left w:val="single" w:color="auto" w:sz="4" w:space="0"/>
                  </w:tcBorders>
                  <w:noWrap w:val="0"/>
                  <w:vAlign w:val="center"/>
                </w:tcPr>
                <w:p w14:paraId="3C9D73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416" w:type="pct"/>
                  <w:vMerge w:val="continue"/>
                  <w:noWrap w:val="0"/>
                  <w:vAlign w:val="center"/>
                </w:tcPr>
                <w:p w14:paraId="360D14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05" w:type="pct"/>
                  <w:vMerge w:val="continue"/>
                  <w:tcBorders>
                    <w:right w:val="single" w:color="000000" w:sz="8" w:space="0"/>
                  </w:tcBorders>
                  <w:noWrap w:val="0"/>
                  <w:vAlign w:val="center"/>
                </w:tcPr>
                <w:p w14:paraId="79DE2D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61" w:type="pct"/>
                  <w:noWrap w:val="0"/>
                  <w:vAlign w:val="center"/>
                </w:tcPr>
                <w:p w14:paraId="4354B0E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0.068</w:t>
                  </w:r>
                </w:p>
              </w:tc>
              <w:tc>
                <w:tcPr>
                  <w:tcW w:w="444" w:type="pct"/>
                  <w:noWrap w:val="0"/>
                  <w:vAlign w:val="center"/>
                </w:tcPr>
                <w:p w14:paraId="2A8A651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0.01</w:t>
                  </w:r>
                </w:p>
              </w:tc>
              <w:tc>
                <w:tcPr>
                  <w:tcW w:w="422" w:type="pct"/>
                  <w:vMerge w:val="continue"/>
                  <w:noWrap w:val="0"/>
                  <w:vAlign w:val="center"/>
                </w:tcPr>
                <w:p w14:paraId="08F266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261" w:type="pct"/>
                  <w:vMerge w:val="continue"/>
                  <w:noWrap w:val="0"/>
                  <w:vAlign w:val="center"/>
                </w:tcPr>
                <w:p w14:paraId="1ACD29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278" w:type="pct"/>
                  <w:vMerge w:val="restart"/>
                  <w:noWrap w:val="0"/>
                  <w:vAlign w:val="center"/>
                </w:tcPr>
                <w:p w14:paraId="1C4C24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b w:val="0"/>
                      <w:bCs w:val="0"/>
                      <w:color w:val="auto"/>
                      <w:szCs w:val="21"/>
                      <w:lang w:val="en-US" w:eastAsia="zh-CN"/>
                    </w:rPr>
                    <w:t>边界监控点</w:t>
                  </w:r>
                </w:p>
              </w:tc>
              <w:tc>
                <w:tcPr>
                  <w:tcW w:w="175" w:type="pct"/>
                  <w:vMerge w:val="restart"/>
                  <w:noWrap w:val="0"/>
                  <w:vAlign w:val="center"/>
                </w:tcPr>
                <w:p w14:paraId="135232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w:t>
                  </w:r>
                </w:p>
              </w:tc>
            </w:tr>
            <w:tr w14:paraId="7F6BAA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626" w:type="pct"/>
                  <w:noWrap w:val="0"/>
                  <w:vAlign w:val="center"/>
                </w:tcPr>
                <w:p w14:paraId="22834E39">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胶装废气</w:t>
                  </w:r>
                </w:p>
              </w:tc>
              <w:tc>
                <w:tcPr>
                  <w:tcW w:w="287" w:type="pct"/>
                  <w:vMerge w:val="continue"/>
                  <w:noWrap w:val="0"/>
                  <w:vAlign w:val="center"/>
                </w:tcPr>
                <w:p w14:paraId="72E311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89" w:type="pct"/>
                  <w:vMerge w:val="continue"/>
                  <w:noWrap w:val="0"/>
                  <w:vAlign w:val="center"/>
                </w:tcPr>
                <w:p w14:paraId="029826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38" w:type="pct"/>
                  <w:tcBorders>
                    <w:right w:val="single" w:color="000000" w:sz="8" w:space="0"/>
                  </w:tcBorders>
                  <w:noWrap w:val="0"/>
                  <w:vAlign w:val="center"/>
                </w:tcPr>
                <w:p w14:paraId="615FFB81">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0.026</w:t>
                  </w:r>
                </w:p>
              </w:tc>
              <w:tc>
                <w:tcPr>
                  <w:tcW w:w="373" w:type="pct"/>
                  <w:tcBorders>
                    <w:left w:val="single" w:color="000000" w:sz="8" w:space="0"/>
                  </w:tcBorders>
                  <w:noWrap w:val="0"/>
                  <w:vAlign w:val="center"/>
                </w:tcPr>
                <w:p w14:paraId="40CDF5CF">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0.0041</w:t>
                  </w:r>
                </w:p>
              </w:tc>
              <w:tc>
                <w:tcPr>
                  <w:tcW w:w="318" w:type="pct"/>
                  <w:vMerge w:val="continue"/>
                  <w:tcBorders>
                    <w:left w:val="single" w:color="auto" w:sz="4" w:space="0"/>
                  </w:tcBorders>
                  <w:noWrap w:val="0"/>
                  <w:vAlign w:val="center"/>
                </w:tcPr>
                <w:p w14:paraId="414B8D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416" w:type="pct"/>
                  <w:vMerge w:val="continue"/>
                  <w:noWrap w:val="0"/>
                  <w:vAlign w:val="center"/>
                </w:tcPr>
                <w:p w14:paraId="2BD7F7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05" w:type="pct"/>
                  <w:vMerge w:val="continue"/>
                  <w:tcBorders>
                    <w:right w:val="single" w:color="000000" w:sz="8" w:space="0"/>
                  </w:tcBorders>
                  <w:noWrap w:val="0"/>
                  <w:vAlign w:val="center"/>
                </w:tcPr>
                <w:p w14:paraId="355648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361" w:type="pct"/>
                  <w:noWrap w:val="0"/>
                  <w:vAlign w:val="center"/>
                </w:tcPr>
                <w:p w14:paraId="1B81FD4C">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0.026</w:t>
                  </w:r>
                </w:p>
              </w:tc>
              <w:tc>
                <w:tcPr>
                  <w:tcW w:w="444" w:type="pct"/>
                  <w:noWrap w:val="0"/>
                  <w:vAlign w:val="center"/>
                </w:tcPr>
                <w:p w14:paraId="4FBFF75C">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0.0041</w:t>
                  </w:r>
                </w:p>
              </w:tc>
              <w:tc>
                <w:tcPr>
                  <w:tcW w:w="422" w:type="pct"/>
                  <w:vMerge w:val="continue"/>
                  <w:noWrap w:val="0"/>
                  <w:vAlign w:val="center"/>
                </w:tcPr>
                <w:p w14:paraId="31BFBF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261" w:type="pct"/>
                  <w:vMerge w:val="continue"/>
                  <w:noWrap w:val="0"/>
                  <w:vAlign w:val="center"/>
                </w:tcPr>
                <w:p w14:paraId="4AC8929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278" w:type="pct"/>
                  <w:vMerge w:val="continue"/>
                  <w:noWrap w:val="0"/>
                  <w:vAlign w:val="center"/>
                </w:tcPr>
                <w:p w14:paraId="0A0C16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c>
                <w:tcPr>
                  <w:tcW w:w="175" w:type="pct"/>
                  <w:vMerge w:val="continue"/>
                  <w:noWrap w:val="0"/>
                  <w:vAlign w:val="center"/>
                </w:tcPr>
                <w:p w14:paraId="255CFB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p>
              </w:tc>
            </w:tr>
          </w:tbl>
          <w:p w14:paraId="38342F0F">
            <w:pPr>
              <w:pStyle w:val="16"/>
              <w:keepNext w:val="0"/>
              <w:keepLines w:val="0"/>
              <w:suppressLineNumbers w:val="0"/>
              <w:spacing w:before="0" w:beforeAutospacing="0" w:after="0" w:afterAutospacing="0"/>
              <w:ind w:left="0" w:right="0"/>
              <w:rPr>
                <w:rFonts w:hint="default" w:ascii="Times New Roman" w:hAnsi="Times New Roman" w:cs="Times New Roman"/>
                <w:color w:val="auto"/>
              </w:rPr>
            </w:pPr>
          </w:p>
        </w:tc>
      </w:tr>
    </w:tbl>
    <w:p w14:paraId="331C8EBD">
      <w:pPr>
        <w:rPr>
          <w:color w:val="auto"/>
        </w:rPr>
        <w:sectPr>
          <w:pgSz w:w="16840" w:h="11907" w:orient="landscape"/>
          <w:pgMar w:top="1531" w:right="1701" w:bottom="1531" w:left="2127" w:header="851" w:footer="850" w:gutter="0"/>
          <w:pgBorders>
            <w:top w:val="none" w:sz="0" w:space="0"/>
            <w:left w:val="none" w:sz="0" w:space="0"/>
            <w:bottom w:val="none" w:sz="0" w:space="0"/>
            <w:right w:val="none" w:sz="0" w:space="0"/>
          </w:pgBorders>
          <w:pgNumType w:fmt="decimal"/>
          <w:cols w:space="720" w:num="1"/>
          <w:docGrid w:linePitch="312" w:charSpace="0"/>
        </w:sectPr>
      </w:pPr>
    </w:p>
    <w:tbl>
      <w:tblPr>
        <w:tblStyle w:val="26"/>
        <w:tblW w:w="508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0"/>
        <w:gridCol w:w="8649"/>
      </w:tblGrid>
      <w:tr w14:paraId="6D8AF4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929" w:hRule="atLeast"/>
          <w:jc w:val="center"/>
        </w:trPr>
        <w:tc>
          <w:tcPr>
            <w:tcW w:w="268" w:type="pct"/>
            <w:noWrap w:val="0"/>
            <w:tcMar>
              <w:left w:w="28" w:type="dxa"/>
              <w:right w:w="28" w:type="dxa"/>
            </w:tcMar>
            <w:vAlign w:val="center"/>
          </w:tcPr>
          <w:p w14:paraId="59E3CCD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运营</w:t>
            </w:r>
          </w:p>
          <w:p w14:paraId="192C952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期环</w:t>
            </w:r>
          </w:p>
          <w:p w14:paraId="5995F75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境影</w:t>
            </w:r>
          </w:p>
          <w:p w14:paraId="7C5B2D9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响和</w:t>
            </w:r>
          </w:p>
          <w:p w14:paraId="18C9101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保护</w:t>
            </w:r>
          </w:p>
          <w:p w14:paraId="436B60F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措施</w:t>
            </w:r>
          </w:p>
        </w:tc>
        <w:tc>
          <w:tcPr>
            <w:tcW w:w="4731" w:type="pct"/>
            <w:noWrap w:val="0"/>
            <w:vAlign w:val="center"/>
          </w:tcPr>
          <w:p w14:paraId="1757ECF3">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eastAsia" w:ascii="Times New Roman" w:hAnsi="Times New Roman" w:cs="Times New Roman"/>
                <w:bCs/>
                <w:color w:val="auto"/>
                <w:sz w:val="24"/>
              </w:rPr>
              <w:t>（2）</w:t>
            </w:r>
            <w:r>
              <w:rPr>
                <w:rFonts w:hint="default" w:ascii="Times New Roman" w:hAnsi="Times New Roman" w:cs="Times New Roman"/>
                <w:bCs/>
                <w:color w:val="auto"/>
                <w:sz w:val="24"/>
              </w:rPr>
              <w:t>废气排放源强核算</w:t>
            </w:r>
          </w:p>
          <w:p w14:paraId="28BBECDF">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本次改扩建项目产生的废气主要是食堂油烟废气和</w:t>
            </w:r>
            <w:r>
              <w:rPr>
                <w:rFonts w:hint="eastAsia" w:cs="Times New Roman"/>
                <w:color w:val="auto"/>
                <w:sz w:val="24"/>
                <w:lang w:val="en-US" w:eastAsia="zh-CN"/>
              </w:rPr>
              <w:t>有机</w:t>
            </w:r>
            <w:r>
              <w:rPr>
                <w:rFonts w:hint="eastAsia" w:ascii="Times New Roman" w:hAnsi="Times New Roman" w:eastAsia="宋体" w:cs="Times New Roman"/>
                <w:color w:val="auto"/>
                <w:sz w:val="24"/>
                <w:lang w:val="en-US" w:eastAsia="zh-CN"/>
              </w:rPr>
              <w:t xml:space="preserve">废气。 </w:t>
            </w:r>
          </w:p>
          <w:p w14:paraId="656019B1">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val="en-US" w:eastAsia="zh-CN"/>
              </w:rPr>
              <w:t xml:space="preserve">）食堂油烟废气 </w:t>
            </w:r>
          </w:p>
          <w:p w14:paraId="740E1D58">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auto"/>
                <w:sz w:val="24"/>
                <w:lang w:val="en-US" w:eastAsia="zh-CN"/>
              </w:rPr>
              <w:t>本项目职工食堂设</w:t>
            </w:r>
            <w:r>
              <w:rPr>
                <w:rFonts w:hint="default"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val="en-US" w:eastAsia="zh-CN"/>
              </w:rPr>
              <w:t>个基准灶头，规模为小型，以提供每日</w:t>
            </w:r>
            <w:r>
              <w:rPr>
                <w:rFonts w:hint="default"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val="en-US" w:eastAsia="zh-CN"/>
              </w:rPr>
              <w:t>餐，灶头日煎炒时间约</w:t>
            </w:r>
            <w:r>
              <w:rPr>
                <w:rFonts w:hint="default" w:ascii="Times New Roman" w:hAnsi="Times New Roman" w:eastAsia="宋体" w:cs="Times New Roman"/>
                <w:color w:val="auto"/>
                <w:sz w:val="24"/>
                <w:lang w:val="en-US" w:eastAsia="zh-CN"/>
              </w:rPr>
              <w:t>5h</w:t>
            </w:r>
            <w:r>
              <w:rPr>
                <w:rFonts w:hint="eastAsia" w:ascii="Times New Roman" w:hAnsi="Times New Roman" w:eastAsia="宋体" w:cs="Times New Roman"/>
                <w:color w:val="auto"/>
                <w:sz w:val="24"/>
                <w:lang w:val="en-US" w:eastAsia="zh-CN"/>
              </w:rPr>
              <w:t>。平均耗油量按</w:t>
            </w:r>
            <w:r>
              <w:rPr>
                <w:rFonts w:hint="default" w:ascii="Times New Roman" w:hAnsi="Times New Roman" w:eastAsia="宋体" w:cs="Times New Roman"/>
                <w:color w:val="auto"/>
                <w:sz w:val="24"/>
                <w:lang w:val="en-US" w:eastAsia="zh-CN"/>
              </w:rPr>
              <w:t>30</w:t>
            </w:r>
            <w:r>
              <w:rPr>
                <w:rFonts w:hint="default" w:ascii="Times New Roman" w:hAnsi="Times New Roman" w:eastAsia="宋体" w:cs="Times New Roman"/>
                <w:color w:val="000000" w:themeColor="text1"/>
                <w:sz w:val="24"/>
                <w:lang w:val="en-US" w:eastAsia="zh-CN"/>
                <w14:textFill>
                  <w14:solidFill>
                    <w14:schemeClr w14:val="tx1"/>
                  </w14:solidFill>
                </w14:textFill>
              </w:rPr>
              <w:t>g/</w:t>
            </w:r>
            <w:r>
              <w:rPr>
                <w:rFonts w:hint="eastAsia" w:ascii="Times New Roman" w:hAnsi="Times New Roman" w:eastAsia="宋体" w:cs="Times New Roman"/>
                <w:color w:val="000000" w:themeColor="text1"/>
                <w:sz w:val="24"/>
                <w:lang w:val="en-US" w:eastAsia="zh-CN"/>
                <w14:textFill>
                  <w14:solidFill>
                    <w14:schemeClr w14:val="tx1"/>
                  </w14:solidFill>
                </w14:textFill>
              </w:rPr>
              <w:t>人</w:t>
            </w:r>
            <w:r>
              <w:rPr>
                <w:rFonts w:hint="default" w:ascii="Times New Roman" w:hAnsi="Times New Roman" w:eastAsia="宋体" w:cs="Times New Roman"/>
                <w:color w:val="000000" w:themeColor="text1"/>
                <w:sz w:val="24"/>
                <w:lang w:val="en-US" w:eastAsia="zh-CN"/>
                <w14:textFill>
                  <w14:solidFill>
                    <w14:schemeClr w14:val="tx1"/>
                  </w14:solidFill>
                </w14:textFill>
              </w:rPr>
              <w:t>·d</w:t>
            </w:r>
            <w:r>
              <w:rPr>
                <w:rFonts w:hint="eastAsia" w:ascii="Times New Roman" w:hAnsi="Times New Roman" w:eastAsia="宋体" w:cs="Times New Roman"/>
                <w:color w:val="000000" w:themeColor="text1"/>
                <w:sz w:val="24"/>
                <w:lang w:val="en-US" w:eastAsia="zh-CN"/>
                <w14:textFill>
                  <w14:solidFill>
                    <w14:schemeClr w14:val="tx1"/>
                  </w14:solidFill>
                </w14:textFill>
              </w:rPr>
              <w:t>，40人就餐，300个工作日计算，预计总耗油量为0.36</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（一般油烟挥发量占总耗油量的</w:t>
            </w:r>
            <w:r>
              <w:rPr>
                <w:rFonts w:hint="default" w:ascii="Times New Roman" w:hAnsi="Times New Roman" w:eastAsia="宋体" w:cs="Times New Roman"/>
                <w:color w:val="000000" w:themeColor="text1"/>
                <w:sz w:val="24"/>
                <w:lang w:val="en-US" w:eastAsia="zh-CN"/>
                <w14:textFill>
                  <w14:solidFill>
                    <w14:schemeClr w14:val="tx1"/>
                  </w14:solidFill>
                </w14:textFill>
              </w:rPr>
              <w:t>2~4%</w:t>
            </w:r>
            <w:r>
              <w:rPr>
                <w:rFonts w:hint="eastAsia" w:ascii="Times New Roman" w:hAnsi="Times New Roman" w:eastAsia="宋体" w:cs="Times New Roman"/>
                <w:color w:val="000000" w:themeColor="text1"/>
                <w:sz w:val="24"/>
                <w:lang w:val="en-US" w:eastAsia="zh-CN"/>
                <w14:textFill>
                  <w14:solidFill>
                    <w14:schemeClr w14:val="tx1"/>
                  </w14:solidFill>
                </w14:textFill>
              </w:rPr>
              <w:t>，本环评取</w:t>
            </w:r>
            <w:r>
              <w:rPr>
                <w:rFonts w:hint="default" w:ascii="Times New Roman" w:hAnsi="Times New Roman" w:eastAsia="宋体" w:cs="Times New Roman"/>
                <w:color w:val="000000" w:themeColor="text1"/>
                <w:sz w:val="24"/>
                <w:lang w:val="en-US" w:eastAsia="zh-CN"/>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），则油烟产生量为0.011</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，产生速率为0.0073</w:t>
            </w:r>
            <w:r>
              <w:rPr>
                <w:rFonts w:hint="default" w:ascii="Times New Roman" w:hAnsi="Times New Roman" w:eastAsia="宋体" w:cs="Times New Roman"/>
                <w:color w:val="000000" w:themeColor="text1"/>
                <w:sz w:val="24"/>
                <w:lang w:val="en-US" w:eastAsia="zh-CN"/>
                <w14:textFill>
                  <w14:solidFill>
                    <w14:schemeClr w14:val="tx1"/>
                  </w14:solidFill>
                </w14:textFill>
              </w:rPr>
              <w:t>kg/h</w:t>
            </w:r>
            <w:r>
              <w:rPr>
                <w:rFonts w:hint="eastAsia" w:cs="Times New Roman"/>
                <w:color w:val="000000" w:themeColor="text1"/>
                <w:sz w:val="24"/>
                <w:lang w:val="en-US" w:eastAsia="zh-CN"/>
                <w14:textFill>
                  <w14:solidFill>
                    <w14:schemeClr w14:val="tx1"/>
                  </w14:solidFill>
                </w14:textFill>
              </w:rPr>
              <w:t>，产生浓度为1.83</w:t>
            </w:r>
            <w:r>
              <w:rPr>
                <w:rFonts w:hint="default" w:ascii="Times New Roman" w:hAnsi="Times New Roman" w:eastAsia="宋体" w:cs="Times New Roman"/>
                <w:color w:val="000000" w:themeColor="text1"/>
                <w:sz w:val="24"/>
                <w:lang w:val="en-US" w:eastAsia="zh-CN"/>
                <w14:textFill>
                  <w14:solidFill>
                    <w14:schemeClr w14:val="tx1"/>
                  </w14:solidFill>
                </w14:textFill>
              </w:rPr>
              <w:t>mg/m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。本项目给食堂基准灶头上方安装一集气罩，通过负压抽风引至静电油烟净化器装置处理后通过排气筒</w:t>
            </w:r>
            <w:r>
              <w:rPr>
                <w:rFonts w:hint="eastAsia" w:cs="Times New Roman"/>
                <w:color w:val="000000" w:themeColor="text1"/>
                <w:sz w:val="24"/>
                <w:lang w:val="en-US" w:eastAsia="zh-CN"/>
                <w14:textFill>
                  <w14:solidFill>
                    <w14:schemeClr w14:val="tx1"/>
                  </w14:solidFill>
                </w14:textFill>
              </w:rPr>
              <w:t>（DA004）</w:t>
            </w:r>
            <w:r>
              <w:rPr>
                <w:rFonts w:hint="eastAsia" w:ascii="Times New Roman" w:hAnsi="Times New Roman" w:eastAsia="宋体" w:cs="Times New Roman"/>
                <w:color w:val="000000" w:themeColor="text1"/>
                <w:sz w:val="24"/>
                <w:lang w:val="en-US" w:eastAsia="zh-CN"/>
                <w14:textFill>
                  <w14:solidFill>
                    <w14:schemeClr w14:val="tx1"/>
                  </w14:solidFill>
                </w14:textFill>
              </w:rPr>
              <w:t>排出，油烟净化效率为</w:t>
            </w:r>
            <w:r>
              <w:rPr>
                <w:rFonts w:hint="default" w:ascii="Times New Roman" w:hAnsi="Times New Roman" w:eastAsia="宋体" w:cs="Times New Roman"/>
                <w:color w:val="000000" w:themeColor="text1"/>
                <w:sz w:val="24"/>
                <w:lang w:val="en-US" w:eastAsia="zh-CN"/>
                <w14:textFill>
                  <w14:solidFill>
                    <w14:schemeClr w14:val="tx1"/>
                  </w14:solidFill>
                </w14:textFill>
              </w:rPr>
              <w:t>80%</w:t>
            </w:r>
            <w:r>
              <w:rPr>
                <w:rFonts w:hint="eastAsia" w:ascii="Times New Roman" w:hAnsi="Times New Roman" w:eastAsia="宋体" w:cs="Times New Roman"/>
                <w:color w:val="000000" w:themeColor="text1"/>
                <w:sz w:val="24"/>
                <w:lang w:val="en-US" w:eastAsia="zh-CN"/>
                <w14:textFill>
                  <w14:solidFill>
                    <w14:schemeClr w14:val="tx1"/>
                  </w14:solidFill>
                </w14:textFill>
              </w:rPr>
              <w:t>，处理后排放量为0.0022</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，排放速率为0.0015</w:t>
            </w:r>
            <w:r>
              <w:rPr>
                <w:rFonts w:hint="default" w:ascii="Times New Roman" w:hAnsi="Times New Roman" w:eastAsia="宋体" w:cs="Times New Roman"/>
                <w:color w:val="000000" w:themeColor="text1"/>
                <w:sz w:val="24"/>
                <w:lang w:val="en-US" w:eastAsia="zh-CN"/>
                <w14:textFill>
                  <w14:solidFill>
                    <w14:schemeClr w14:val="tx1"/>
                  </w14:solidFill>
                </w14:textFill>
              </w:rPr>
              <w:t>kg/h</w:t>
            </w:r>
            <w:r>
              <w:rPr>
                <w:rFonts w:hint="eastAsia" w:ascii="Times New Roman" w:hAnsi="Times New Roman" w:eastAsia="宋体" w:cs="Times New Roman"/>
                <w:color w:val="000000" w:themeColor="text1"/>
                <w:sz w:val="24"/>
                <w:lang w:val="en-US" w:eastAsia="zh-CN"/>
                <w14:textFill>
                  <w14:solidFill>
                    <w14:schemeClr w14:val="tx1"/>
                  </w14:solidFill>
                </w14:textFill>
              </w:rPr>
              <w:t>，排放浓度为0.</w:t>
            </w:r>
            <w:r>
              <w:rPr>
                <w:rFonts w:hint="eastAsia" w:cs="Times New Roman"/>
                <w:color w:val="000000" w:themeColor="text1"/>
                <w:sz w:val="24"/>
                <w:lang w:val="en-US" w:eastAsia="zh-CN"/>
                <w14:textFill>
                  <w14:solidFill>
                    <w14:schemeClr w14:val="tx1"/>
                  </w14:solidFill>
                </w14:textFill>
              </w:rPr>
              <w:t>375</w:t>
            </w:r>
            <w:r>
              <w:rPr>
                <w:rFonts w:hint="default" w:ascii="Times New Roman" w:hAnsi="Times New Roman" w:eastAsia="宋体" w:cs="Times New Roman"/>
                <w:color w:val="000000" w:themeColor="text1"/>
                <w:sz w:val="24"/>
                <w:lang w:val="en-US" w:eastAsia="zh-CN"/>
                <w14:textFill>
                  <w14:solidFill>
                    <w14:schemeClr w14:val="tx1"/>
                  </w14:solidFill>
                </w14:textFill>
              </w:rPr>
              <w:t>mg/m</w:t>
            </w:r>
            <w:r>
              <w:rPr>
                <w:rFonts w:hint="default" w:ascii="Times New Roman" w:hAnsi="Times New Roman" w:eastAsia="宋体"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 xml:space="preserve">。 </w:t>
            </w:r>
          </w:p>
          <w:p w14:paraId="4608AB08">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生产废气（以</w:t>
            </w:r>
            <w:r>
              <w:rPr>
                <w:rFonts w:hint="eastAsia" w:cs="Times New Roman"/>
                <w:color w:val="000000" w:themeColor="text1"/>
                <w:sz w:val="24"/>
                <w:highlight w:val="none"/>
                <w:lang w:val="en-US" w:eastAsia="zh-CN"/>
                <w14:textFill>
                  <w14:solidFill>
                    <w14:schemeClr w14:val="tx1"/>
                  </w14:solidFill>
                </w14:textFill>
              </w:rPr>
              <w:t>非甲烷总烃计</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 xml:space="preserve">） </w:t>
            </w:r>
          </w:p>
          <w:p w14:paraId="7499F7C0">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 xml:space="preserve">①水性印刷废气 </w:t>
            </w:r>
          </w:p>
          <w:p w14:paraId="1CF30227">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val="en-US" w:eastAsia="zh-CN"/>
              </w:rPr>
            </w:pPr>
            <w:r>
              <w:rPr>
                <w:rFonts w:hint="eastAsia" w:cs="Times New Roman"/>
                <w:color w:val="auto"/>
                <w:sz w:val="24"/>
                <w:lang w:val="en-US" w:eastAsia="zh-CN"/>
              </w:rPr>
              <w:t>本项目1号车间和3号车间含有水性印刷工序。</w:t>
            </w:r>
            <w:r>
              <w:rPr>
                <w:rFonts w:hint="eastAsia" w:ascii="Times New Roman" w:hAnsi="Times New Roman" w:eastAsia="宋体" w:cs="Times New Roman"/>
                <w:color w:val="auto"/>
                <w:sz w:val="24"/>
                <w:lang w:val="en-US" w:eastAsia="zh-CN"/>
              </w:rPr>
              <w:t>本项目柔印印刷使用的水性油墨属于环保型油墨，在水性印刷过程中，印刷、清洗、润版等环节均产生VOCs，按照</w:t>
            </w:r>
            <w:r>
              <w:rPr>
                <w:rFonts w:hint="eastAsia" w:cs="Times New Roman"/>
                <w:color w:val="auto"/>
                <w:sz w:val="24"/>
                <w:lang w:val="en-US" w:eastAsia="zh-CN"/>
              </w:rPr>
              <w:t>《印刷工业污</w:t>
            </w:r>
            <w:r>
              <w:rPr>
                <w:rFonts w:hint="eastAsia" w:cs="Times New Roman"/>
                <w:color w:val="000000" w:themeColor="text1"/>
                <w:sz w:val="24"/>
                <w:lang w:val="en-US" w:eastAsia="zh-CN"/>
                <w14:textFill>
                  <w14:solidFill>
                    <w14:schemeClr w14:val="tx1"/>
                  </w14:solidFill>
                </w14:textFill>
              </w:rPr>
              <w:t>染防治可行技术指南》</w:t>
            </w:r>
            <w:r>
              <w:rPr>
                <w:rFonts w:hint="eastAsia" w:ascii="Times New Roman" w:hAnsi="Times New Roman" w:eastAsia="宋体" w:cs="Times New Roman"/>
                <w:color w:val="000000" w:themeColor="text1"/>
                <w:sz w:val="24"/>
                <w:lang w:val="en-US" w:eastAsia="zh-CN"/>
                <w14:textFill>
                  <w14:solidFill>
                    <w14:schemeClr w14:val="tx1"/>
                  </w14:solidFill>
                </w14:textFill>
              </w:rPr>
              <w:t>表C2中</w:t>
            </w:r>
            <w:r>
              <w:rPr>
                <w:rFonts w:hint="eastAsia" w:cs="Times New Roman"/>
                <w:color w:val="000000" w:themeColor="text1"/>
                <w:sz w:val="24"/>
                <w:lang w:val="en-US" w:eastAsia="zh-CN"/>
                <w14:textFill>
                  <w14:solidFill>
                    <w14:schemeClr w14:val="tx1"/>
                  </w14:solidFill>
                </w14:textFill>
              </w:rPr>
              <w:t>凸版印刷水性油墨计算</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单位油墨</w:t>
            </w:r>
            <w:r>
              <w:rPr>
                <w:rFonts w:hint="default" w:ascii="Times New Roman" w:hAnsi="Times New Roman" w:eastAsia="宋体" w:cs="Times New Roman"/>
                <w:color w:val="000000" w:themeColor="text1"/>
                <w:sz w:val="24"/>
                <w:szCs w:val="24"/>
                <w14:textFill>
                  <w14:solidFill>
                    <w14:schemeClr w14:val="tx1"/>
                  </w14:solidFill>
                </w14:textFill>
              </w:rPr>
              <w:t>VOCs</w:t>
            </w:r>
            <w:r>
              <w:rPr>
                <w:rFonts w:hint="default" w:ascii="宋体" w:hAnsi="宋体" w:eastAsia="宋体" w:cs="宋体"/>
                <w:color w:val="000000" w:themeColor="text1"/>
                <w:sz w:val="24"/>
                <w:szCs w:val="24"/>
                <w14:textFill>
                  <w14:solidFill>
                    <w14:schemeClr w14:val="tx1"/>
                  </w14:solidFill>
                </w14:textFill>
              </w:rPr>
              <w:t>产生量</w:t>
            </w:r>
            <w:r>
              <w:rPr>
                <w:rFonts w:hint="eastAsia" w:ascii="宋体" w:hAnsi="宋体" w:eastAsia="宋体" w:cs="宋体"/>
                <w:color w:val="000000" w:themeColor="text1"/>
                <w:sz w:val="24"/>
                <w:szCs w:val="24"/>
                <w:lang w:val="en-US" w:eastAsia="zh-CN"/>
                <w14:textFill>
                  <w14:solidFill>
                    <w14:schemeClr w14:val="tx1"/>
                  </w14:solidFill>
                </w14:textFill>
              </w:rPr>
              <w:t>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0.05~0.3</w:t>
            </w:r>
            <w:r>
              <w:rPr>
                <w:rFonts w:hint="default" w:ascii="Times New Roman" w:hAnsi="Times New Roman" w:eastAsia="宋体" w:cs="Times New Roman"/>
                <w:color w:val="000000" w:themeColor="text1"/>
                <w:sz w:val="24"/>
                <w:szCs w:val="24"/>
                <w14:textFill>
                  <w14:solidFill>
                    <w14:schemeClr w14:val="tx1"/>
                  </w14:solidFill>
                </w14:textFill>
              </w:rPr>
              <w:t>tVOCs/t</w:t>
            </w:r>
            <w:r>
              <w:rPr>
                <w:rFonts w:hint="default" w:ascii="宋体" w:hAnsi="宋体" w:eastAsia="宋体" w:cs="宋体"/>
                <w:color w:val="000000" w:themeColor="text1"/>
                <w:sz w:val="24"/>
                <w:szCs w:val="24"/>
                <w14:textFill>
                  <w14:solidFill>
                    <w14:schemeClr w14:val="tx1"/>
                  </w14:solidFill>
                </w14:textFill>
              </w:rPr>
              <w:t>油墨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本项目</w:t>
            </w:r>
            <w:r>
              <w:rPr>
                <w:rFonts w:hint="eastAsia" w:ascii="Times New Roman" w:hAnsi="Times New Roman" w:eastAsia="宋体" w:cs="Times New Roman"/>
                <w:color w:val="000000" w:themeColor="text1"/>
                <w:sz w:val="24"/>
                <w:lang w:val="en-US" w:eastAsia="zh-CN"/>
                <w14:textFill>
                  <w14:solidFill>
                    <w14:schemeClr w14:val="tx1"/>
                  </w14:solidFill>
                </w14:textFill>
              </w:rPr>
              <w:t>按照</w:t>
            </w:r>
            <w:r>
              <w:rPr>
                <w:rFonts w:hint="eastAsia" w:cs="Times New Roman"/>
                <w:color w:val="000000" w:themeColor="text1"/>
                <w:sz w:val="24"/>
                <w:lang w:val="en-US" w:eastAsia="zh-CN"/>
                <w14:textFill>
                  <w14:solidFill>
                    <w14:schemeClr w14:val="tx1"/>
                  </w14:solidFill>
                </w14:textFill>
              </w:rPr>
              <w:t>范围内最大值</w:t>
            </w:r>
            <w:r>
              <w:rPr>
                <w:rFonts w:hint="eastAsia" w:ascii="Times New Roman" w:hAnsi="Times New Roman" w:eastAsia="宋体" w:cs="Times New Roman"/>
                <w:color w:val="000000" w:themeColor="text1"/>
                <w:sz w:val="24"/>
                <w:lang w:val="en-US" w:eastAsia="zh-CN"/>
                <w14:textFill>
                  <w14:solidFill>
                    <w14:schemeClr w14:val="tx1"/>
                  </w14:solidFill>
                </w14:textFill>
              </w:rPr>
              <w:t>0.3tVOCs/t油墨计，本项目水性油墨使用</w:t>
            </w:r>
            <w:r>
              <w:rPr>
                <w:rFonts w:hint="eastAsia" w:ascii="Times New Roman" w:hAnsi="Times New Roman" w:eastAsia="宋体" w:cs="Times New Roman"/>
                <w:color w:val="auto"/>
                <w:sz w:val="24"/>
                <w:lang w:val="en-US" w:eastAsia="zh-CN"/>
              </w:rPr>
              <w:t>量为7</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（其中</w:t>
            </w:r>
            <w:r>
              <w:rPr>
                <w:rFonts w:hint="eastAsia" w:cs="Times New Roman"/>
                <w:color w:val="auto"/>
                <w:sz w:val="24"/>
                <w:lang w:val="en-US" w:eastAsia="zh-CN"/>
              </w:rPr>
              <w:t>1</w:t>
            </w:r>
            <w:r>
              <w:rPr>
                <w:rFonts w:hint="eastAsia" w:ascii="Times New Roman" w:hAnsi="Times New Roman" w:eastAsia="宋体" w:cs="Times New Roman"/>
                <w:color w:val="auto"/>
                <w:sz w:val="24"/>
                <w:lang w:val="en-US" w:eastAsia="zh-CN"/>
              </w:rPr>
              <w:t>号车间使用量为</w:t>
            </w:r>
            <w:r>
              <w:rPr>
                <w:rFonts w:hint="eastAsia" w:cs="Times New Roman"/>
                <w:color w:val="auto"/>
                <w:sz w:val="24"/>
                <w:lang w:val="en-US" w:eastAsia="zh-CN"/>
              </w:rPr>
              <w:t>6.5</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3</w:t>
            </w:r>
            <w:r>
              <w:rPr>
                <w:rFonts w:hint="eastAsia" w:ascii="Times New Roman" w:hAnsi="Times New Roman" w:eastAsia="宋体" w:cs="Times New Roman"/>
                <w:color w:val="auto"/>
                <w:sz w:val="24"/>
                <w:lang w:val="en-US" w:eastAsia="zh-CN"/>
              </w:rPr>
              <w:t>号车间使用量为0.</w:t>
            </w:r>
            <w:r>
              <w:rPr>
                <w:rFonts w:hint="eastAsia" w:cs="Times New Roman"/>
                <w:color w:val="auto"/>
                <w:sz w:val="24"/>
                <w:lang w:val="en-US" w:eastAsia="zh-CN"/>
              </w:rPr>
              <w:t>5</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），则挥发性有机物（以非甲烷总烃计）产生总量为2.1</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（其中</w:t>
            </w:r>
            <w:r>
              <w:rPr>
                <w:rFonts w:hint="eastAsia" w:cs="Times New Roman"/>
                <w:color w:val="auto"/>
                <w:sz w:val="24"/>
                <w:lang w:val="en-US" w:eastAsia="zh-CN"/>
              </w:rPr>
              <w:t>1</w:t>
            </w:r>
            <w:r>
              <w:rPr>
                <w:rFonts w:hint="eastAsia" w:ascii="Times New Roman" w:hAnsi="Times New Roman" w:eastAsia="宋体" w:cs="Times New Roman"/>
                <w:color w:val="auto"/>
                <w:sz w:val="24"/>
                <w:lang w:val="en-US" w:eastAsia="zh-CN"/>
              </w:rPr>
              <w:t>号车间产生量为</w:t>
            </w:r>
            <w:r>
              <w:rPr>
                <w:rFonts w:hint="eastAsia" w:cs="Times New Roman"/>
                <w:color w:val="auto"/>
                <w:sz w:val="24"/>
                <w:lang w:val="en-US" w:eastAsia="zh-CN"/>
              </w:rPr>
              <w:t>1.95</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3</w:t>
            </w:r>
            <w:r>
              <w:rPr>
                <w:rFonts w:hint="eastAsia" w:ascii="Times New Roman" w:hAnsi="Times New Roman" w:eastAsia="宋体" w:cs="Times New Roman"/>
                <w:color w:val="auto"/>
                <w:sz w:val="24"/>
                <w:lang w:val="en-US" w:eastAsia="zh-CN"/>
              </w:rPr>
              <w:t>号车间</w:t>
            </w:r>
            <w:r>
              <w:rPr>
                <w:rFonts w:hint="eastAsia" w:cs="Times New Roman"/>
                <w:color w:val="auto"/>
                <w:sz w:val="24"/>
                <w:lang w:val="en-US" w:eastAsia="zh-CN"/>
              </w:rPr>
              <w:t>产生</w:t>
            </w:r>
            <w:r>
              <w:rPr>
                <w:rFonts w:hint="eastAsia" w:ascii="Times New Roman" w:hAnsi="Times New Roman" w:eastAsia="宋体" w:cs="Times New Roman"/>
                <w:color w:val="auto"/>
                <w:sz w:val="24"/>
                <w:lang w:val="en-US" w:eastAsia="zh-CN"/>
              </w:rPr>
              <w:t>量为0.</w:t>
            </w:r>
            <w:r>
              <w:rPr>
                <w:rFonts w:hint="eastAsia" w:cs="Times New Roman"/>
                <w:color w:val="auto"/>
                <w:sz w:val="24"/>
                <w:lang w:val="en-US" w:eastAsia="zh-CN"/>
              </w:rPr>
              <w:t>15</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w:t>
            </w:r>
            <w:r>
              <w:rPr>
                <w:rFonts w:hint="eastAsia" w:ascii="Times New Roman" w:hAnsi="Times New Roman" w:eastAsia="宋体" w:cs="Times New Roman"/>
                <w:color w:val="auto"/>
                <w:sz w:val="24"/>
                <w:lang w:val="en-US" w:eastAsia="zh-CN"/>
              </w:rPr>
              <w:t>产生的VOCs（以非甲烷总烃计）经集气罩收集后（集气罩收集效率按</w:t>
            </w:r>
            <w:r>
              <w:rPr>
                <w:rFonts w:hint="default" w:ascii="Times New Roman" w:hAnsi="Times New Roman" w:eastAsia="宋体" w:cs="Times New Roman"/>
                <w:color w:val="auto"/>
                <w:sz w:val="24"/>
                <w:lang w:val="en-US" w:eastAsia="zh-CN"/>
              </w:rPr>
              <w:t>85%</w:t>
            </w:r>
            <w:r>
              <w:rPr>
                <w:rFonts w:hint="eastAsia" w:ascii="Times New Roman" w:hAnsi="Times New Roman" w:eastAsia="宋体" w:cs="Times New Roman"/>
                <w:color w:val="auto"/>
                <w:sz w:val="24"/>
                <w:lang w:val="en-US" w:eastAsia="zh-CN"/>
              </w:rPr>
              <w:t>计），通过“</w:t>
            </w:r>
            <w:r>
              <w:rPr>
                <w:rFonts w:hint="eastAsia" w:cs="Times New Roman"/>
                <w:color w:val="auto"/>
                <w:sz w:val="24"/>
                <w:lang w:val="en-US" w:eastAsia="zh-CN"/>
              </w:rPr>
              <w:t>二级</w:t>
            </w:r>
            <w:r>
              <w:rPr>
                <w:rFonts w:hint="eastAsia" w:ascii="Times New Roman" w:hAnsi="Times New Roman" w:eastAsia="宋体" w:cs="Times New Roman"/>
                <w:color w:val="auto"/>
                <w:sz w:val="24"/>
                <w:lang w:val="en-US" w:eastAsia="zh-CN"/>
              </w:rPr>
              <w:t>活性炭吸附”（处理效率</w:t>
            </w:r>
            <w:r>
              <w:rPr>
                <w:rFonts w:hint="default" w:ascii="Times New Roman" w:hAnsi="Times New Roman" w:eastAsia="宋体" w:cs="Times New Roman"/>
                <w:color w:val="auto"/>
                <w:sz w:val="24"/>
                <w:lang w:val="en-US" w:eastAsia="zh-CN"/>
              </w:rPr>
              <w:t>≥85%</w:t>
            </w:r>
            <w:r>
              <w:rPr>
                <w:rFonts w:hint="eastAsia" w:ascii="Times New Roman" w:hAnsi="Times New Roman" w:eastAsia="宋体" w:cs="Times New Roman"/>
                <w:color w:val="auto"/>
                <w:sz w:val="24"/>
                <w:lang w:val="en-US" w:eastAsia="zh-CN"/>
              </w:rPr>
              <w:t>）处理后经</w:t>
            </w:r>
            <w:r>
              <w:rPr>
                <w:rFonts w:hint="default"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val="en-US" w:eastAsia="zh-CN"/>
              </w:rPr>
              <w:t>根</w:t>
            </w:r>
            <w:r>
              <w:rPr>
                <w:rFonts w:hint="default" w:ascii="Times New Roman" w:hAnsi="Times New Roman" w:eastAsia="宋体" w:cs="Times New Roman"/>
                <w:color w:val="auto"/>
                <w:sz w:val="24"/>
                <w:lang w:val="en-US" w:eastAsia="zh-CN"/>
              </w:rPr>
              <w:t>15m</w:t>
            </w:r>
            <w:r>
              <w:rPr>
                <w:rFonts w:hint="eastAsia" w:ascii="Times New Roman" w:hAnsi="Times New Roman" w:eastAsia="宋体" w:cs="Times New Roman"/>
                <w:color w:val="auto"/>
                <w:sz w:val="24"/>
                <w:lang w:val="en-US" w:eastAsia="zh-CN"/>
              </w:rPr>
              <w:t xml:space="preserve">排气筒排放。 </w:t>
            </w:r>
          </w:p>
          <w:p w14:paraId="4D65A683">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未被集气罩收集到的有机废气（以非甲烷总烃计），产生量为</w:t>
            </w:r>
            <w:r>
              <w:rPr>
                <w:rFonts w:hint="eastAsia" w:cs="Times New Roman"/>
                <w:color w:val="auto"/>
                <w:sz w:val="24"/>
                <w:lang w:val="en-US" w:eastAsia="zh-CN"/>
              </w:rPr>
              <w:t>0.315</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，排放速率为</w:t>
            </w:r>
            <w:r>
              <w:rPr>
                <w:rFonts w:hint="eastAsia" w:cs="Times New Roman"/>
                <w:color w:val="auto"/>
                <w:sz w:val="24"/>
                <w:lang w:val="en-US" w:eastAsia="zh-CN"/>
              </w:rPr>
              <w:t>0.05</w:t>
            </w:r>
            <w:r>
              <w:rPr>
                <w:rFonts w:hint="default" w:ascii="Times New Roman" w:hAnsi="Times New Roman" w:eastAsia="宋体" w:cs="Times New Roman"/>
                <w:color w:val="auto"/>
                <w:sz w:val="24"/>
                <w:lang w:val="en-US" w:eastAsia="zh-CN"/>
              </w:rPr>
              <w:t>kg/h</w:t>
            </w:r>
            <w:r>
              <w:rPr>
                <w:rFonts w:hint="eastAsia" w:ascii="Times New Roman" w:hAnsi="Times New Roman" w:eastAsia="宋体" w:cs="Times New Roman"/>
                <w:color w:val="auto"/>
                <w:sz w:val="24"/>
                <w:lang w:val="en-US" w:eastAsia="zh-CN"/>
              </w:rPr>
              <w:t>，通过加强车间通风以无组织形式排放。</w:t>
            </w:r>
          </w:p>
          <w:p w14:paraId="0759FA2C">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 xml:space="preserve">②胶印印刷废气 </w:t>
            </w:r>
          </w:p>
          <w:p w14:paraId="223762B0">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14:textFill>
                  <w14:solidFill>
                    <w14:schemeClr w14:val="tx1"/>
                  </w14:solidFill>
                </w14:textFill>
              </w:rPr>
            </w:pPr>
            <w:r>
              <w:rPr>
                <w:rFonts w:hint="eastAsia" w:cs="Times New Roman"/>
                <w:color w:val="auto"/>
                <w:sz w:val="24"/>
                <w:lang w:val="en-US" w:eastAsia="zh-CN"/>
              </w:rPr>
              <w:t>本项</w:t>
            </w:r>
            <w:r>
              <w:rPr>
                <w:rFonts w:hint="eastAsia" w:cs="Times New Roman"/>
                <w:color w:val="000000" w:themeColor="text1"/>
                <w:sz w:val="24"/>
                <w:lang w:val="en-US" w:eastAsia="zh-CN"/>
                <w14:textFill>
                  <w14:solidFill>
                    <w14:schemeClr w14:val="tx1"/>
                  </w14:solidFill>
                </w14:textFill>
              </w:rPr>
              <w:t>目本项目2号车间和4号车间含有胶印印刷工序。2号车间和4号车间胶印印刷工艺的</w:t>
            </w:r>
            <w:r>
              <w:rPr>
                <w:rFonts w:hint="eastAsia" w:ascii="Times New Roman" w:hAnsi="Times New Roman" w:eastAsia="宋体" w:cs="Times New Roman"/>
                <w:color w:val="000000" w:themeColor="text1"/>
                <w:sz w:val="24"/>
                <w:lang w:val="en-US" w:eastAsia="zh-CN"/>
                <w14:textFill>
                  <w14:solidFill>
                    <w14:schemeClr w14:val="tx1"/>
                  </w14:solidFill>
                </w14:textFill>
              </w:rPr>
              <w:t>胶印油墨为环保植物型</w:t>
            </w:r>
            <w:r>
              <w:rPr>
                <w:rFonts w:hint="eastAsia" w:cs="Times New Roman"/>
                <w:color w:val="000000" w:themeColor="text1"/>
                <w:sz w:val="24"/>
                <w:lang w:val="en-US" w:eastAsia="zh-CN"/>
                <w14:textFill>
                  <w14:solidFill>
                    <w14:schemeClr w14:val="tx1"/>
                  </w14:solidFill>
                </w14:textFill>
              </w:rPr>
              <w:t>胶印</w:t>
            </w:r>
            <w:r>
              <w:rPr>
                <w:rFonts w:hint="eastAsia" w:ascii="Times New Roman" w:hAnsi="Times New Roman" w:eastAsia="宋体" w:cs="Times New Roman"/>
                <w:color w:val="000000" w:themeColor="text1"/>
                <w:sz w:val="24"/>
                <w:lang w:val="en-US" w:eastAsia="zh-CN"/>
                <w14:textFill>
                  <w14:solidFill>
                    <w14:schemeClr w14:val="tx1"/>
                  </w14:solidFill>
                </w14:textFill>
              </w:rPr>
              <w:t>油墨，在胶印印刷过程中，印刷、清洗、润版等环节均产生VOCs，按照</w:t>
            </w:r>
            <w:r>
              <w:rPr>
                <w:rFonts w:hint="eastAsia" w:cs="Times New Roman"/>
                <w:color w:val="000000" w:themeColor="text1"/>
                <w:sz w:val="24"/>
                <w:lang w:val="en-US" w:eastAsia="zh-CN"/>
                <w14:textFill>
                  <w14:solidFill>
                    <w14:schemeClr w14:val="tx1"/>
                  </w14:solidFill>
                </w14:textFill>
              </w:rPr>
              <w:t>《印刷工业污染防治可行技术指南》</w:t>
            </w:r>
            <w:r>
              <w:rPr>
                <w:rFonts w:hint="eastAsia" w:ascii="Times New Roman" w:hAnsi="Times New Roman" w:eastAsia="宋体" w:cs="Times New Roman"/>
                <w:color w:val="000000" w:themeColor="text1"/>
                <w:sz w:val="24"/>
                <w:lang w:val="en-US" w:eastAsia="zh-CN"/>
                <w14:textFill>
                  <w14:solidFill>
                    <w14:schemeClr w14:val="tx1"/>
                  </w14:solidFill>
                </w14:textFill>
              </w:rPr>
              <w:t>表C2中平版印刷植物油基胶印油墨、无/低醇润湿液</w:t>
            </w:r>
            <w:r>
              <w:rPr>
                <w:rFonts w:hint="eastAsia" w:cs="Times New Roman"/>
                <w:color w:val="000000" w:themeColor="text1"/>
                <w:sz w:val="24"/>
                <w:lang w:val="en-US" w:eastAsia="zh-CN"/>
                <w14:textFill>
                  <w14:solidFill>
                    <w14:schemeClr w14:val="tx1"/>
                  </w14:solidFill>
                </w14:textFill>
              </w:rPr>
              <w:t>计算</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单位油墨</w:t>
            </w:r>
            <w:r>
              <w:rPr>
                <w:rFonts w:hint="default" w:ascii="Times New Roman" w:hAnsi="Times New Roman" w:eastAsia="宋体" w:cs="Times New Roman"/>
                <w:color w:val="000000" w:themeColor="text1"/>
                <w:sz w:val="24"/>
                <w:szCs w:val="24"/>
                <w14:textFill>
                  <w14:solidFill>
                    <w14:schemeClr w14:val="tx1"/>
                  </w14:solidFill>
                </w14:textFill>
              </w:rPr>
              <w:t>VOCs</w:t>
            </w:r>
            <w:r>
              <w:rPr>
                <w:rFonts w:hint="default" w:ascii="宋体" w:hAnsi="宋体" w:eastAsia="宋体" w:cs="宋体"/>
                <w:color w:val="000000" w:themeColor="text1"/>
                <w:sz w:val="24"/>
                <w:szCs w:val="24"/>
                <w14:textFill>
                  <w14:solidFill>
                    <w14:schemeClr w14:val="tx1"/>
                  </w14:solidFill>
                </w14:textFill>
              </w:rPr>
              <w:t>产生量</w:t>
            </w:r>
            <w:r>
              <w:rPr>
                <w:rFonts w:hint="eastAsia" w:ascii="宋体" w:hAnsi="宋体" w:eastAsia="宋体" w:cs="宋体"/>
                <w:color w:val="000000" w:themeColor="text1"/>
                <w:sz w:val="24"/>
                <w:szCs w:val="24"/>
                <w:lang w:val="en-US" w:eastAsia="zh-CN"/>
                <w14:textFill>
                  <w14:solidFill>
                    <w14:schemeClr w14:val="tx1"/>
                  </w14:solidFill>
                </w14:textFill>
              </w:rPr>
              <w:t>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0.05~0.3</w:t>
            </w:r>
            <w:r>
              <w:rPr>
                <w:rFonts w:hint="default" w:ascii="Times New Roman" w:hAnsi="Times New Roman" w:eastAsia="宋体" w:cs="Times New Roman"/>
                <w:color w:val="000000" w:themeColor="text1"/>
                <w:sz w:val="24"/>
                <w:szCs w:val="24"/>
                <w14:textFill>
                  <w14:solidFill>
                    <w14:schemeClr w14:val="tx1"/>
                  </w14:solidFill>
                </w14:textFill>
              </w:rPr>
              <w:t>tVOCs/t</w:t>
            </w:r>
            <w:r>
              <w:rPr>
                <w:rFonts w:hint="default" w:ascii="宋体" w:hAnsi="宋体" w:eastAsia="宋体" w:cs="宋体"/>
                <w:color w:val="000000" w:themeColor="text1"/>
                <w:sz w:val="24"/>
                <w:szCs w:val="24"/>
                <w14:textFill>
                  <w14:solidFill>
                    <w14:schemeClr w14:val="tx1"/>
                  </w14:solidFill>
                </w14:textFill>
              </w:rPr>
              <w:t>油墨</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本项目</w:t>
            </w:r>
            <w:r>
              <w:rPr>
                <w:rFonts w:hint="eastAsia" w:ascii="Times New Roman" w:hAnsi="Times New Roman" w:eastAsia="宋体" w:cs="Times New Roman"/>
                <w:color w:val="000000" w:themeColor="text1"/>
                <w:sz w:val="24"/>
                <w:lang w:val="en-US" w:eastAsia="zh-CN"/>
                <w14:textFill>
                  <w14:solidFill>
                    <w14:schemeClr w14:val="tx1"/>
                  </w14:solidFill>
                </w14:textFill>
              </w:rPr>
              <w:t>按照</w:t>
            </w:r>
            <w:r>
              <w:rPr>
                <w:rFonts w:hint="eastAsia" w:cs="Times New Roman"/>
                <w:color w:val="000000" w:themeColor="text1"/>
                <w:sz w:val="24"/>
                <w:lang w:val="en-US" w:eastAsia="zh-CN"/>
                <w14:textFill>
                  <w14:solidFill>
                    <w14:schemeClr w14:val="tx1"/>
                  </w14:solidFill>
                </w14:textFill>
              </w:rPr>
              <w:t>范围内最大值</w:t>
            </w:r>
            <w:r>
              <w:rPr>
                <w:rFonts w:hint="eastAsia" w:ascii="Times New Roman" w:hAnsi="Times New Roman" w:eastAsia="宋体" w:cs="Times New Roman"/>
                <w:color w:val="000000" w:themeColor="text1"/>
                <w:sz w:val="24"/>
                <w:lang w:val="en-US" w:eastAsia="zh-CN"/>
                <w14:textFill>
                  <w14:solidFill>
                    <w14:schemeClr w14:val="tx1"/>
                  </w14:solidFill>
                </w14:textFill>
              </w:rPr>
              <w:t>0.3tVOCs/t 油墨计，本项目胶印油墨使用量为4.5</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（其中2号车间使用量为4.2</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，4号车间使用量为0.3</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），则挥发性有机物（以非甲烷总烃计）产生总量为1.35</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（其中2号车间产生量为1.26</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，4号车间</w:t>
            </w:r>
            <w:r>
              <w:rPr>
                <w:rFonts w:hint="eastAsia" w:cs="Times New Roman"/>
                <w:color w:val="000000" w:themeColor="text1"/>
                <w:sz w:val="24"/>
                <w:lang w:val="en-US" w:eastAsia="zh-CN"/>
                <w14:textFill>
                  <w14:solidFill>
                    <w14:schemeClr w14:val="tx1"/>
                  </w14:solidFill>
                </w14:textFill>
              </w:rPr>
              <w:t>产生</w:t>
            </w:r>
            <w:r>
              <w:rPr>
                <w:rFonts w:hint="eastAsia" w:ascii="Times New Roman" w:hAnsi="Times New Roman" w:eastAsia="宋体" w:cs="Times New Roman"/>
                <w:color w:val="000000" w:themeColor="text1"/>
                <w:sz w:val="24"/>
                <w:lang w:val="en-US" w:eastAsia="zh-CN"/>
                <w14:textFill>
                  <w14:solidFill>
                    <w14:schemeClr w14:val="tx1"/>
                  </w14:solidFill>
                </w14:textFill>
              </w:rPr>
              <w:t>量为0.09</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）。产生的VOCs（以非甲烷总烃计）经集气罩收集后（集气罩收集效率按</w:t>
            </w:r>
            <w:r>
              <w:rPr>
                <w:rFonts w:hint="default" w:ascii="Times New Roman" w:hAnsi="Times New Roman" w:eastAsia="宋体" w:cs="Times New Roman"/>
                <w:color w:val="000000" w:themeColor="text1"/>
                <w:sz w:val="24"/>
                <w:lang w:val="en-US" w:eastAsia="zh-CN"/>
                <w14:textFill>
                  <w14:solidFill>
                    <w14:schemeClr w14:val="tx1"/>
                  </w14:solidFill>
                </w14:textFill>
              </w:rPr>
              <w:t>85%</w:t>
            </w:r>
            <w:r>
              <w:rPr>
                <w:rFonts w:hint="eastAsia" w:ascii="Times New Roman" w:hAnsi="Times New Roman" w:eastAsia="宋体" w:cs="Times New Roman"/>
                <w:color w:val="000000" w:themeColor="text1"/>
                <w:sz w:val="24"/>
                <w:lang w:val="en-US" w:eastAsia="zh-CN"/>
                <w14:textFill>
                  <w14:solidFill>
                    <w14:schemeClr w14:val="tx1"/>
                  </w14:solidFill>
                </w14:textFill>
              </w:rPr>
              <w:t>计），通过“</w:t>
            </w:r>
            <w:r>
              <w:rPr>
                <w:rFonts w:hint="eastAsia" w:cs="Times New Roman"/>
                <w:color w:val="000000" w:themeColor="text1"/>
                <w:sz w:val="24"/>
                <w:lang w:val="en-US" w:eastAsia="zh-CN"/>
                <w14:textFill>
                  <w14:solidFill>
                    <w14:schemeClr w14:val="tx1"/>
                  </w14:solidFill>
                </w14:textFill>
              </w:rPr>
              <w:t>二级</w:t>
            </w:r>
            <w:r>
              <w:rPr>
                <w:rFonts w:hint="eastAsia" w:ascii="Times New Roman" w:hAnsi="Times New Roman" w:eastAsia="宋体" w:cs="Times New Roman"/>
                <w:color w:val="000000" w:themeColor="text1"/>
                <w:sz w:val="24"/>
                <w:lang w:val="en-US" w:eastAsia="zh-CN"/>
                <w14:textFill>
                  <w14:solidFill>
                    <w14:schemeClr w14:val="tx1"/>
                  </w14:solidFill>
                </w14:textFill>
              </w:rPr>
              <w:t>活性炭吸附”（处理效率</w:t>
            </w:r>
            <w:r>
              <w:rPr>
                <w:rFonts w:hint="default" w:ascii="Times New Roman" w:hAnsi="Times New Roman" w:eastAsia="宋体" w:cs="Times New Roman"/>
                <w:color w:val="000000" w:themeColor="text1"/>
                <w:sz w:val="24"/>
                <w:lang w:val="en-US" w:eastAsia="zh-CN"/>
                <w14:textFill>
                  <w14:solidFill>
                    <w14:schemeClr w14:val="tx1"/>
                  </w14:solidFill>
                </w14:textFill>
              </w:rPr>
              <w:t>≥85%</w:t>
            </w:r>
            <w:r>
              <w:rPr>
                <w:rFonts w:hint="eastAsia" w:ascii="Times New Roman" w:hAnsi="Times New Roman" w:eastAsia="宋体" w:cs="Times New Roman"/>
                <w:color w:val="000000" w:themeColor="text1"/>
                <w:sz w:val="24"/>
                <w:lang w:val="en-US" w:eastAsia="zh-CN"/>
                <w14:textFill>
                  <w14:solidFill>
                    <w14:schemeClr w14:val="tx1"/>
                  </w14:solidFill>
                </w14:textFill>
              </w:rPr>
              <w:t>）处理后经</w:t>
            </w:r>
            <w:r>
              <w:rPr>
                <w:rFonts w:hint="default" w:ascii="Times New Roman" w:hAnsi="Times New Roman" w:eastAsia="宋体" w:cs="Times New Roman"/>
                <w:color w:val="000000" w:themeColor="text1"/>
                <w:sz w:val="24"/>
                <w:lang w:val="en-US" w:eastAsia="zh-CN"/>
                <w14:textFill>
                  <w14:solidFill>
                    <w14:schemeClr w14:val="tx1"/>
                  </w14:solidFill>
                </w14:textFill>
              </w:rPr>
              <w:t>1</w:t>
            </w:r>
            <w:r>
              <w:rPr>
                <w:rFonts w:hint="eastAsia" w:ascii="Times New Roman" w:hAnsi="Times New Roman" w:eastAsia="宋体" w:cs="Times New Roman"/>
                <w:color w:val="000000" w:themeColor="text1"/>
                <w:sz w:val="24"/>
                <w:lang w:val="en-US" w:eastAsia="zh-CN"/>
                <w14:textFill>
                  <w14:solidFill>
                    <w14:schemeClr w14:val="tx1"/>
                  </w14:solidFill>
                </w14:textFill>
              </w:rPr>
              <w:t>根</w:t>
            </w:r>
            <w:r>
              <w:rPr>
                <w:rFonts w:hint="default" w:ascii="Times New Roman" w:hAnsi="Times New Roman" w:eastAsia="宋体" w:cs="Times New Roman"/>
                <w:color w:val="000000" w:themeColor="text1"/>
                <w:sz w:val="24"/>
                <w:lang w:val="en-US" w:eastAsia="zh-CN"/>
                <w14:textFill>
                  <w14:solidFill>
                    <w14:schemeClr w14:val="tx1"/>
                  </w14:solidFill>
                </w14:textFill>
              </w:rPr>
              <w:t>15m</w:t>
            </w:r>
            <w:r>
              <w:rPr>
                <w:rFonts w:hint="eastAsia" w:ascii="Times New Roman" w:hAnsi="Times New Roman" w:eastAsia="宋体" w:cs="Times New Roman"/>
                <w:color w:val="000000" w:themeColor="text1"/>
                <w:sz w:val="24"/>
                <w:lang w:val="en-US" w:eastAsia="zh-CN"/>
                <w14:textFill>
                  <w14:solidFill>
                    <w14:schemeClr w14:val="tx1"/>
                  </w14:solidFill>
                </w14:textFill>
              </w:rPr>
              <w:t xml:space="preserve">排气筒排放。 </w:t>
            </w:r>
          </w:p>
          <w:p w14:paraId="72CC3AE7">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未被集气罩收集到的有机废气（以非甲烷总烃计），产生量为0.2</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，排放速率为0.032</w:t>
            </w:r>
            <w:r>
              <w:rPr>
                <w:rFonts w:hint="default" w:ascii="Times New Roman" w:hAnsi="Times New Roman" w:eastAsia="宋体" w:cs="Times New Roman"/>
                <w:color w:val="000000" w:themeColor="text1"/>
                <w:sz w:val="24"/>
                <w:lang w:val="en-US" w:eastAsia="zh-CN"/>
                <w14:textFill>
                  <w14:solidFill>
                    <w14:schemeClr w14:val="tx1"/>
                  </w14:solidFill>
                </w14:textFill>
              </w:rPr>
              <w:t>kg/h</w:t>
            </w:r>
            <w:r>
              <w:rPr>
                <w:rFonts w:hint="eastAsia" w:ascii="Times New Roman" w:hAnsi="Times New Roman" w:eastAsia="宋体" w:cs="Times New Roman"/>
                <w:color w:val="000000" w:themeColor="text1"/>
                <w:sz w:val="24"/>
                <w:lang w:val="en-US" w:eastAsia="zh-CN"/>
                <w14:textFill>
                  <w14:solidFill>
                    <w14:schemeClr w14:val="tx1"/>
                  </w14:solidFill>
                </w14:textFill>
              </w:rPr>
              <w:t>，通过加强车间通风以无组织形式排放。</w:t>
            </w:r>
          </w:p>
          <w:p w14:paraId="0040B3CB">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 xml:space="preserve"> ③覆膜</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 xml:space="preserve">亮油废气 </w:t>
            </w:r>
          </w:p>
          <w:p w14:paraId="54DEFB13">
            <w:pPr>
              <w:keepNext w:val="0"/>
              <w:keepLines w:val="0"/>
              <w:suppressLineNumbers w:val="0"/>
              <w:spacing w:before="0" w:beforeAutospacing="0" w:after="0" w:afterAutospacing="0" w:line="360" w:lineRule="auto"/>
              <w:ind w:left="0" w:right="0" w:firstLine="480" w:firstLineChars="200"/>
              <w:rPr>
                <w:rFonts w:hint="eastAsia"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本项目</w:t>
            </w:r>
            <w:r>
              <w:rPr>
                <w:rFonts w:hint="eastAsia" w:cs="Times New Roman"/>
                <w:color w:val="000000" w:themeColor="text1"/>
                <w:sz w:val="24"/>
                <w:lang w:val="en-US" w:eastAsia="zh-CN"/>
                <w14:textFill>
                  <w14:solidFill>
                    <w14:schemeClr w14:val="tx1"/>
                  </w14:solidFill>
                </w14:textFill>
              </w:rPr>
              <w:t>2号车间含有覆膜及亮油工序，5号车间仅含有覆膜工序。</w:t>
            </w:r>
          </w:p>
          <w:p w14:paraId="5D76249A">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themeColor="text1"/>
                <w:sz w:val="24"/>
                <w14:textFill>
                  <w14:solidFill>
                    <w14:schemeClr w14:val="tx1"/>
                  </w14:solidFill>
                </w14:textFill>
              </w:rPr>
            </w:pPr>
            <w:r>
              <w:rPr>
                <w:rFonts w:hint="eastAsia" w:cs="Times New Roman"/>
                <w:color w:val="000000" w:themeColor="text1"/>
                <w:sz w:val="24"/>
                <w:lang w:val="en-US" w:eastAsia="zh-CN"/>
                <w14:textFill>
                  <w14:solidFill>
                    <w14:schemeClr w14:val="tx1"/>
                  </w14:solidFill>
                </w14:textFill>
              </w:rPr>
              <w:t>2号车间和5号车间</w:t>
            </w:r>
            <w:r>
              <w:rPr>
                <w:rFonts w:hint="eastAsia" w:ascii="Times New Roman" w:hAnsi="Times New Roman" w:eastAsia="宋体" w:cs="Times New Roman"/>
                <w:color w:val="000000" w:themeColor="text1"/>
                <w:sz w:val="24"/>
                <w:lang w:val="en-US" w:eastAsia="zh-CN"/>
                <w14:textFill>
                  <w14:solidFill>
                    <w14:schemeClr w14:val="tx1"/>
                  </w14:solidFill>
                </w14:textFill>
              </w:rPr>
              <w:t>覆膜工艺使用</w:t>
            </w:r>
            <w:r>
              <w:rPr>
                <w:rFonts w:hint="eastAsia" w:cs="Times New Roman"/>
                <w:color w:val="000000" w:themeColor="text1"/>
                <w:sz w:val="24"/>
                <w:lang w:val="en-US" w:eastAsia="zh-CN"/>
                <w14:textFill>
                  <w14:solidFill>
                    <w14:schemeClr w14:val="tx1"/>
                  </w14:solidFill>
                </w14:textFill>
              </w:rPr>
              <w:t>热熔型树脂</w:t>
            </w:r>
            <w:r>
              <w:rPr>
                <w:rFonts w:hint="eastAsia" w:ascii="Times New Roman" w:hAnsi="Times New Roman" w:eastAsia="宋体" w:cs="Times New Roman"/>
                <w:color w:val="000000" w:themeColor="text1"/>
                <w:sz w:val="24"/>
                <w:lang w:val="en-US" w:eastAsia="zh-CN"/>
                <w14:textFill>
                  <w14:solidFill>
                    <w14:schemeClr w14:val="tx1"/>
                  </w14:solidFill>
                </w14:textFill>
              </w:rPr>
              <w:t>，覆膜过程中会产生极少量的非甲烷总烃，</w:t>
            </w:r>
            <w:r>
              <w:rPr>
                <w:rFonts w:hint="eastAsia" w:cs="Times New Roman"/>
                <w:color w:val="000000" w:themeColor="text1"/>
                <w:sz w:val="24"/>
                <w:lang w:val="en-US" w:eastAsia="zh-CN"/>
                <w14:textFill>
                  <w14:solidFill>
                    <w14:schemeClr w14:val="tx1"/>
                  </w14:solidFill>
                </w14:textFill>
              </w:rPr>
              <w:t>2号车间覆膜产生的废气</w:t>
            </w:r>
            <w:r>
              <w:rPr>
                <w:rFonts w:hint="eastAsia" w:ascii="Times New Roman" w:hAnsi="Times New Roman" w:eastAsia="宋体" w:cs="Times New Roman"/>
                <w:color w:val="000000" w:themeColor="text1"/>
                <w:sz w:val="24"/>
                <w:lang w:val="en-US" w:eastAsia="zh-CN"/>
                <w14:textFill>
                  <w14:solidFill>
                    <w14:schemeClr w14:val="tx1"/>
                  </w14:solidFill>
                </w14:textFill>
              </w:rPr>
              <w:t>经覆膜机顶部的集气罩收集后经过“过滤棉</w:t>
            </w:r>
            <w:r>
              <w:rPr>
                <w:rFonts w:hint="default" w:ascii="Times New Roman" w:hAnsi="Times New Roman" w:eastAsia="宋体" w:cs="Times New Roman"/>
                <w:color w:val="000000" w:themeColor="text1"/>
                <w:sz w:val="24"/>
                <w:lang w:val="en-US" w:eastAsia="zh-CN"/>
                <w14:textFill>
                  <w14:solidFill>
                    <w14:schemeClr w14:val="tx1"/>
                  </w14:solidFill>
                </w14:textFill>
              </w:rPr>
              <w:t xml:space="preserve">+UV </w:t>
            </w:r>
            <w:r>
              <w:rPr>
                <w:rFonts w:hint="eastAsia" w:ascii="Times New Roman" w:hAnsi="Times New Roman" w:eastAsia="宋体" w:cs="Times New Roman"/>
                <w:color w:val="000000" w:themeColor="text1"/>
                <w:sz w:val="24"/>
                <w:lang w:val="en-US" w:eastAsia="zh-CN"/>
                <w14:textFill>
                  <w14:solidFill>
                    <w14:schemeClr w14:val="tx1"/>
                  </w14:solidFill>
                </w14:textFill>
              </w:rPr>
              <w:t>光氧</w:t>
            </w: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活性炭吸附”处理后通过</w:t>
            </w:r>
            <w:r>
              <w:rPr>
                <w:rFonts w:hint="default" w:ascii="Times New Roman" w:hAnsi="Times New Roman" w:eastAsia="宋体" w:cs="Times New Roman"/>
                <w:color w:val="000000" w:themeColor="text1"/>
                <w:sz w:val="24"/>
                <w:lang w:val="en-US" w:eastAsia="zh-CN"/>
                <w14:textFill>
                  <w14:solidFill>
                    <w14:schemeClr w14:val="tx1"/>
                  </w14:solidFill>
                </w14:textFill>
              </w:rPr>
              <w:t>15m</w:t>
            </w:r>
            <w:r>
              <w:rPr>
                <w:rFonts w:hint="eastAsia" w:ascii="Times New Roman" w:hAnsi="Times New Roman" w:eastAsia="宋体" w:cs="Times New Roman"/>
                <w:color w:val="000000" w:themeColor="text1"/>
                <w:sz w:val="24"/>
                <w:lang w:val="en-US" w:eastAsia="zh-CN"/>
                <w14:textFill>
                  <w14:solidFill>
                    <w14:schemeClr w14:val="tx1"/>
                  </w14:solidFill>
                </w14:textFill>
              </w:rPr>
              <w:t>高排气筒排放，</w:t>
            </w:r>
            <w:r>
              <w:rPr>
                <w:rFonts w:hint="eastAsia" w:cs="Times New Roman"/>
                <w:color w:val="000000" w:themeColor="text1"/>
                <w:sz w:val="24"/>
                <w:lang w:val="en-US" w:eastAsia="zh-CN"/>
                <w14:textFill>
                  <w14:solidFill>
                    <w14:schemeClr w14:val="tx1"/>
                  </w14:solidFill>
                </w14:textFill>
              </w:rPr>
              <w:t>5号车间覆膜产生的废气在车间内无组织排放，</w:t>
            </w:r>
            <w:r>
              <w:rPr>
                <w:rFonts w:hint="eastAsia" w:ascii="Times New Roman" w:hAnsi="Times New Roman" w:eastAsia="宋体" w:cs="Times New Roman"/>
                <w:color w:val="000000" w:themeColor="text1"/>
                <w:sz w:val="24"/>
                <w:lang w:val="en-US" w:eastAsia="zh-CN"/>
                <w14:textFill>
                  <w14:solidFill>
                    <w14:schemeClr w14:val="tx1"/>
                  </w14:solidFill>
                </w14:textFill>
              </w:rPr>
              <w:t xml:space="preserve">对周围环境影响较小。 </w:t>
            </w:r>
          </w:p>
          <w:p w14:paraId="5CC404C4">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val="en-US" w:eastAsia="zh-CN"/>
              </w:rPr>
            </w:pPr>
            <w:r>
              <w:rPr>
                <w:rFonts w:hint="eastAsia" w:cs="Times New Roman"/>
                <w:color w:val="000000" w:themeColor="text1"/>
                <w:sz w:val="24"/>
                <w:lang w:val="en-US" w:eastAsia="zh-CN"/>
                <w14:textFill>
                  <w14:solidFill>
                    <w14:schemeClr w14:val="tx1"/>
                  </w14:solidFill>
                </w14:textFill>
              </w:rPr>
              <w:t>2号车间的</w:t>
            </w:r>
            <w:r>
              <w:rPr>
                <w:rFonts w:hint="eastAsia" w:ascii="Times New Roman" w:hAnsi="Times New Roman" w:eastAsia="宋体" w:cs="Times New Roman"/>
                <w:color w:val="000000" w:themeColor="text1"/>
                <w:sz w:val="24"/>
                <w:lang w:val="en-US" w:eastAsia="zh-CN"/>
                <w14:textFill>
                  <w14:solidFill>
                    <w14:schemeClr w14:val="tx1"/>
                  </w14:solidFill>
                </w14:textFill>
              </w:rPr>
              <w:t>封面在覆膜后需要进行表面上光，会产生少量有机废气，项目水性亮油用量为</w:t>
            </w:r>
            <w:r>
              <w:rPr>
                <w:rFonts w:hint="default" w:ascii="Times New Roman" w:hAnsi="Times New Roman" w:eastAsia="宋体" w:cs="Times New Roman"/>
                <w:color w:val="000000" w:themeColor="text1"/>
                <w:sz w:val="24"/>
                <w:lang w:val="en-US" w:eastAsia="zh-CN"/>
                <w14:textFill>
                  <w14:solidFill>
                    <w14:schemeClr w14:val="tx1"/>
                  </w14:solidFill>
                </w14:textFill>
              </w:rPr>
              <w:t>1.5t/a</w:t>
            </w:r>
            <w:r>
              <w:rPr>
                <w:rFonts w:hint="eastAsia" w:ascii="Times New Roman" w:hAnsi="Times New Roman" w:eastAsia="宋体" w:cs="Times New Roman"/>
                <w:color w:val="000000" w:themeColor="text1"/>
                <w:sz w:val="24"/>
                <w:lang w:val="en-US" w:eastAsia="zh-CN"/>
                <w14:textFill>
                  <w14:solidFill>
                    <w14:schemeClr w14:val="tx1"/>
                  </w14:solidFill>
                </w14:textFill>
              </w:rPr>
              <w:t>，按照</w:t>
            </w:r>
            <w:r>
              <w:rPr>
                <w:rFonts w:hint="eastAsia" w:cs="Times New Roman"/>
                <w:color w:val="000000" w:themeColor="text1"/>
                <w:sz w:val="24"/>
                <w:lang w:val="en-US" w:eastAsia="zh-CN"/>
                <w14:textFill>
                  <w14:solidFill>
                    <w14:schemeClr w14:val="tx1"/>
                  </w14:solidFill>
                </w14:textFill>
              </w:rPr>
              <w:t>《印刷工业污染防治可行技术指南》</w:t>
            </w:r>
            <w:r>
              <w:rPr>
                <w:rFonts w:hint="eastAsia" w:ascii="Times New Roman" w:hAnsi="Times New Roman" w:eastAsia="宋体" w:cs="Times New Roman"/>
                <w:color w:val="000000" w:themeColor="text1"/>
                <w:sz w:val="24"/>
                <w:lang w:val="en-US" w:eastAsia="zh-CN"/>
                <w14:textFill>
                  <w14:solidFill>
                    <w14:schemeClr w14:val="tx1"/>
                  </w14:solidFill>
                </w14:textFill>
              </w:rPr>
              <w:t>表C2中</w:t>
            </w:r>
            <w:r>
              <w:rPr>
                <w:rFonts w:hint="eastAsia" w:cs="Times New Roman"/>
                <w:color w:val="000000" w:themeColor="text1"/>
                <w:sz w:val="24"/>
                <w:lang w:val="en-US" w:eastAsia="zh-CN"/>
                <w14:textFill>
                  <w14:solidFill>
                    <w14:schemeClr w14:val="tx1"/>
                  </w14:solidFill>
                </w14:textFill>
              </w:rPr>
              <w:t>上光—水性光油计算</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单位</w:t>
            </w:r>
            <w:r>
              <w:rPr>
                <w:rFonts w:hint="eastAsia" w:ascii="宋体" w:hAnsi="宋体" w:eastAsia="宋体" w:cs="宋体"/>
                <w:color w:val="000000" w:themeColor="text1"/>
                <w:sz w:val="24"/>
                <w:szCs w:val="24"/>
                <w:lang w:val="en-US" w:eastAsia="zh-CN"/>
                <w14:textFill>
                  <w14:solidFill>
                    <w14:schemeClr w14:val="tx1"/>
                  </w14:solidFill>
                </w14:textFill>
              </w:rPr>
              <w:t>光油</w:t>
            </w:r>
            <w:r>
              <w:rPr>
                <w:rFonts w:hint="default" w:ascii="Times New Roman" w:hAnsi="Times New Roman" w:eastAsia="宋体" w:cs="Times New Roman"/>
                <w:color w:val="000000" w:themeColor="text1"/>
                <w:sz w:val="24"/>
                <w:szCs w:val="24"/>
                <w14:textFill>
                  <w14:solidFill>
                    <w14:schemeClr w14:val="tx1"/>
                  </w14:solidFill>
                </w14:textFill>
              </w:rPr>
              <w:t>VOCs</w:t>
            </w:r>
            <w:r>
              <w:rPr>
                <w:rFonts w:hint="default" w:ascii="宋体" w:hAnsi="宋体" w:eastAsia="宋体" w:cs="宋体"/>
                <w:color w:val="000000" w:themeColor="text1"/>
                <w:sz w:val="24"/>
                <w:szCs w:val="24"/>
                <w14:textFill>
                  <w14:solidFill>
                    <w14:schemeClr w14:val="tx1"/>
                  </w14:solidFill>
                </w14:textFill>
              </w:rPr>
              <w:t>产生量</w:t>
            </w:r>
            <w:r>
              <w:rPr>
                <w:rFonts w:hint="eastAsia" w:ascii="宋体" w:hAnsi="宋体" w:eastAsia="宋体" w:cs="宋体"/>
                <w:color w:val="000000" w:themeColor="text1"/>
                <w:sz w:val="24"/>
                <w:szCs w:val="24"/>
                <w:lang w:val="en-US" w:eastAsia="zh-CN"/>
                <w14:textFill>
                  <w14:solidFill>
                    <w14:schemeClr w14:val="tx1"/>
                  </w14:solidFill>
                </w14:textFill>
              </w:rPr>
              <w:t>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~0.3</w:t>
            </w:r>
            <w:r>
              <w:rPr>
                <w:rFonts w:hint="default" w:ascii="Times New Roman" w:hAnsi="Times New Roman" w:eastAsia="宋体" w:cs="Times New Roman"/>
                <w:color w:val="000000" w:themeColor="text1"/>
                <w:sz w:val="24"/>
                <w:szCs w:val="24"/>
                <w14:textFill>
                  <w14:solidFill>
                    <w14:schemeClr w14:val="tx1"/>
                  </w14:solidFill>
                </w14:textFill>
              </w:rPr>
              <w:t>tVOCs/t</w:t>
            </w:r>
            <w:r>
              <w:rPr>
                <w:rFonts w:hint="eastAsia" w:ascii="宋体" w:hAnsi="宋体" w:eastAsia="宋体" w:cs="宋体"/>
                <w:color w:val="000000" w:themeColor="text1"/>
                <w:sz w:val="24"/>
                <w:szCs w:val="24"/>
                <w:lang w:val="en-US" w:eastAsia="zh-CN"/>
                <w14:textFill>
                  <w14:solidFill>
                    <w14:schemeClr w14:val="tx1"/>
                  </w14:solidFill>
                </w14:textFill>
              </w:rPr>
              <w:t>光油</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本项目</w:t>
            </w:r>
            <w:r>
              <w:rPr>
                <w:rFonts w:hint="eastAsia" w:ascii="Times New Roman" w:hAnsi="Times New Roman" w:eastAsia="宋体" w:cs="Times New Roman"/>
                <w:color w:val="000000" w:themeColor="text1"/>
                <w:sz w:val="24"/>
                <w:lang w:val="en-US" w:eastAsia="zh-CN"/>
                <w14:textFill>
                  <w14:solidFill>
                    <w14:schemeClr w14:val="tx1"/>
                  </w14:solidFill>
                </w14:textFill>
              </w:rPr>
              <w:t>按照</w:t>
            </w:r>
            <w:r>
              <w:rPr>
                <w:rFonts w:hint="eastAsia" w:cs="Times New Roman"/>
                <w:color w:val="000000" w:themeColor="text1"/>
                <w:sz w:val="24"/>
                <w:lang w:val="en-US" w:eastAsia="zh-CN"/>
                <w14:textFill>
                  <w14:solidFill>
                    <w14:schemeClr w14:val="tx1"/>
                  </w14:solidFill>
                </w14:textFill>
              </w:rPr>
              <w:t>范围内最大值</w:t>
            </w:r>
            <w:r>
              <w:rPr>
                <w:rFonts w:hint="eastAsia" w:ascii="Times New Roman" w:hAnsi="Times New Roman" w:eastAsia="宋体" w:cs="Times New Roman"/>
                <w:color w:val="000000" w:themeColor="text1"/>
                <w:sz w:val="24"/>
                <w:lang w:val="en-US" w:eastAsia="zh-CN"/>
                <w14:textFill>
                  <w14:solidFill>
                    <w14:schemeClr w14:val="tx1"/>
                  </w14:solidFill>
                </w14:textFill>
              </w:rPr>
              <w:t xml:space="preserve">0.3tVOCs/t </w:t>
            </w:r>
            <w:r>
              <w:rPr>
                <w:rFonts w:hint="eastAsia" w:cs="Times New Roman"/>
                <w:color w:val="000000" w:themeColor="text1"/>
                <w:sz w:val="24"/>
                <w:lang w:val="en-US" w:eastAsia="zh-CN"/>
                <w14:textFill>
                  <w14:solidFill>
                    <w14:schemeClr w14:val="tx1"/>
                  </w14:solidFill>
                </w14:textFill>
              </w:rPr>
              <w:t>光油计</w:t>
            </w:r>
            <w:r>
              <w:rPr>
                <w:rFonts w:hint="eastAsia" w:ascii="Times New Roman" w:hAnsi="Times New Roman" w:eastAsia="宋体" w:cs="Times New Roman"/>
                <w:color w:val="000000" w:themeColor="text1"/>
                <w:sz w:val="24"/>
                <w:lang w:val="en-US" w:eastAsia="zh-CN"/>
                <w14:textFill>
                  <w14:solidFill>
                    <w14:schemeClr w14:val="tx1"/>
                  </w14:solidFill>
                </w14:textFill>
              </w:rPr>
              <w:t>，则产生的非甲烷总烃量为</w:t>
            </w:r>
            <w:r>
              <w:rPr>
                <w:rFonts w:hint="eastAsia" w:cs="Times New Roman"/>
                <w:color w:val="000000" w:themeColor="text1"/>
                <w:sz w:val="24"/>
                <w:lang w:val="en-US" w:eastAsia="zh-CN"/>
                <w14:textFill>
                  <w14:solidFill>
                    <w14:schemeClr w14:val="tx1"/>
                  </w14:solidFill>
                </w14:textFill>
              </w:rPr>
              <w:t>0.45</w:t>
            </w:r>
            <w:r>
              <w:rPr>
                <w:rFonts w:hint="default" w:ascii="Times New Roman" w:hAnsi="Times New Roman" w:eastAsia="宋体" w:cs="Times New Roman"/>
                <w:color w:val="000000" w:themeColor="text1"/>
                <w:sz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lang w:val="en-US" w:eastAsia="zh-CN"/>
                <w14:textFill>
                  <w14:solidFill>
                    <w14:schemeClr w14:val="tx1"/>
                  </w14:solidFill>
                </w14:textFill>
              </w:rPr>
              <w:t>。上油过程中产生的废气（以非甲烷总烃计）经集气罩收集后（集气罩收集效率按</w:t>
            </w:r>
            <w:r>
              <w:rPr>
                <w:rFonts w:hint="default" w:ascii="Times New Roman" w:hAnsi="Times New Roman" w:eastAsia="宋体" w:cs="Times New Roman"/>
                <w:color w:val="000000" w:themeColor="text1"/>
                <w:sz w:val="24"/>
                <w:lang w:val="en-US" w:eastAsia="zh-CN"/>
                <w14:textFill>
                  <w14:solidFill>
                    <w14:schemeClr w14:val="tx1"/>
                  </w14:solidFill>
                </w14:textFill>
              </w:rPr>
              <w:t>85%</w:t>
            </w:r>
            <w:r>
              <w:rPr>
                <w:rFonts w:hint="eastAsia" w:ascii="Times New Roman" w:hAnsi="Times New Roman" w:eastAsia="宋体" w:cs="Times New Roman"/>
                <w:color w:val="000000" w:themeColor="text1"/>
                <w:sz w:val="24"/>
                <w:lang w:val="en-US" w:eastAsia="zh-CN"/>
                <w14:textFill>
                  <w14:solidFill>
                    <w14:schemeClr w14:val="tx1"/>
                  </w14:solidFill>
                </w14:textFill>
              </w:rPr>
              <w:t>计），通过</w:t>
            </w:r>
            <w:r>
              <w:rPr>
                <w:rFonts w:hint="eastAsia" w:cs="Times New Roman"/>
                <w:color w:val="000000" w:themeColor="text1"/>
                <w:sz w:val="24"/>
                <w:lang w:val="en-US" w:eastAsia="zh-CN"/>
                <w14:textFill>
                  <w14:solidFill>
                    <w14:schemeClr w14:val="tx1"/>
                  </w14:solidFill>
                </w14:textFill>
              </w:rPr>
              <w:t>二级</w:t>
            </w:r>
            <w:r>
              <w:rPr>
                <w:rFonts w:hint="default" w:ascii="Times New Roman" w:hAnsi="Times New Roman" w:eastAsia="宋体" w:cs="Times New Roman"/>
                <w:color w:val="000000" w:themeColor="text1"/>
                <w:sz w:val="24"/>
                <w:lang w:val="en-US" w:eastAsia="zh-CN"/>
                <w14:textFill>
                  <w14:solidFill>
                    <w14:schemeClr w14:val="tx1"/>
                  </w14:solidFill>
                </w14:textFill>
              </w:rPr>
              <w:t>活性炭吸附</w:t>
            </w:r>
            <w:r>
              <w:rPr>
                <w:rFonts w:hint="eastAsia" w:ascii="Times New Roman" w:hAnsi="Times New Roman" w:eastAsia="宋体" w:cs="Times New Roman"/>
                <w:color w:val="000000" w:themeColor="text1"/>
                <w:sz w:val="24"/>
                <w:lang w:val="en-US" w:eastAsia="zh-CN"/>
                <w14:textFill>
                  <w14:solidFill>
                    <w14:schemeClr w14:val="tx1"/>
                  </w14:solidFill>
                </w14:textFill>
              </w:rPr>
              <w:t>装置（处理效率</w:t>
            </w:r>
            <w:r>
              <w:rPr>
                <w:rFonts w:hint="default" w:ascii="Times New Roman" w:hAnsi="Times New Roman" w:eastAsia="宋体" w:cs="Times New Roman"/>
                <w:color w:val="000000" w:themeColor="text1"/>
                <w:sz w:val="24"/>
                <w:lang w:val="en-US" w:eastAsia="zh-CN"/>
                <w14:textFill>
                  <w14:solidFill>
                    <w14:schemeClr w14:val="tx1"/>
                  </w14:solidFill>
                </w14:textFill>
              </w:rPr>
              <w:t>≥85%</w:t>
            </w:r>
            <w:r>
              <w:rPr>
                <w:rFonts w:hint="eastAsia" w:ascii="Times New Roman" w:hAnsi="Times New Roman" w:eastAsia="宋体" w:cs="Times New Roman"/>
                <w:color w:val="000000" w:themeColor="text1"/>
                <w:sz w:val="24"/>
                <w:lang w:val="en-US" w:eastAsia="zh-CN"/>
                <w14:textFill>
                  <w14:solidFill>
                    <w14:schemeClr w14:val="tx1"/>
                  </w14:solidFill>
                </w14:textFill>
              </w:rPr>
              <w:t>）处</w:t>
            </w:r>
            <w:r>
              <w:rPr>
                <w:rFonts w:hint="eastAsia" w:ascii="Times New Roman" w:hAnsi="Times New Roman" w:eastAsia="宋体" w:cs="Times New Roman"/>
                <w:color w:val="auto"/>
                <w:sz w:val="24"/>
                <w:lang w:val="en-US" w:eastAsia="zh-CN"/>
              </w:rPr>
              <w:t>理后经</w:t>
            </w:r>
            <w:r>
              <w:rPr>
                <w:rFonts w:hint="default"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val="en-US" w:eastAsia="zh-CN"/>
              </w:rPr>
              <w:t>根</w:t>
            </w:r>
            <w:r>
              <w:rPr>
                <w:rFonts w:hint="default" w:ascii="Times New Roman" w:hAnsi="Times New Roman" w:eastAsia="宋体" w:cs="Times New Roman"/>
                <w:color w:val="auto"/>
                <w:sz w:val="24"/>
                <w:lang w:val="en-US" w:eastAsia="zh-CN"/>
              </w:rPr>
              <w:t>15m</w:t>
            </w:r>
            <w:r>
              <w:rPr>
                <w:rFonts w:hint="eastAsia" w:ascii="Times New Roman" w:hAnsi="Times New Roman" w:eastAsia="宋体" w:cs="Times New Roman"/>
                <w:color w:val="auto"/>
                <w:sz w:val="24"/>
                <w:lang w:val="en-US" w:eastAsia="zh-CN"/>
              </w:rPr>
              <w:t>排气筒排放。</w:t>
            </w:r>
          </w:p>
          <w:p w14:paraId="337434A8">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未被集气罩收集到的有机废气（以非甲烷总烃计），产生量为</w:t>
            </w:r>
            <w:r>
              <w:rPr>
                <w:rFonts w:hint="eastAsia" w:cs="Times New Roman"/>
                <w:color w:val="auto"/>
                <w:sz w:val="24"/>
                <w:lang w:val="en-US" w:eastAsia="zh-CN"/>
              </w:rPr>
              <w:t>0.068</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，排放速率为</w:t>
            </w:r>
            <w:r>
              <w:rPr>
                <w:rFonts w:hint="default" w:ascii="Times New Roman" w:hAnsi="Times New Roman" w:eastAsia="宋体" w:cs="Times New Roman"/>
                <w:color w:val="auto"/>
                <w:sz w:val="24"/>
                <w:lang w:val="en-US" w:eastAsia="zh-CN"/>
              </w:rPr>
              <w:t>0.0</w:t>
            </w:r>
            <w:r>
              <w:rPr>
                <w:rFonts w:hint="eastAsia" w:cs="Times New Roman"/>
                <w:color w:val="auto"/>
                <w:sz w:val="24"/>
                <w:lang w:val="en-US" w:eastAsia="zh-CN"/>
              </w:rPr>
              <w:t>1</w:t>
            </w:r>
            <w:r>
              <w:rPr>
                <w:rFonts w:hint="default" w:ascii="Times New Roman" w:hAnsi="Times New Roman" w:eastAsia="宋体" w:cs="Times New Roman"/>
                <w:color w:val="auto"/>
                <w:sz w:val="24"/>
                <w:lang w:val="en-US" w:eastAsia="zh-CN"/>
              </w:rPr>
              <w:t>kg/h</w:t>
            </w:r>
            <w:r>
              <w:rPr>
                <w:rFonts w:hint="eastAsia" w:ascii="Times New Roman" w:hAnsi="Times New Roman" w:eastAsia="宋体" w:cs="Times New Roman"/>
                <w:color w:val="auto"/>
                <w:sz w:val="24"/>
                <w:lang w:val="en-US" w:eastAsia="zh-CN"/>
              </w:rPr>
              <w:t xml:space="preserve">，通过加强车间通风以无组织形式排放。 </w:t>
            </w:r>
          </w:p>
          <w:p w14:paraId="0B9875C9">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 xml:space="preserve">④胶装废气 </w:t>
            </w:r>
          </w:p>
          <w:p w14:paraId="6A9B6484">
            <w:pPr>
              <w:keepNext w:val="0"/>
              <w:keepLines w:val="0"/>
              <w:suppressLineNumbers w:val="0"/>
              <w:spacing w:before="0" w:beforeAutospacing="0" w:after="0" w:afterAutospacing="0" w:line="360" w:lineRule="auto"/>
              <w:ind w:left="0" w:right="0" w:firstLine="480" w:firstLineChars="200"/>
              <w:rPr>
                <w:rFonts w:hint="eastAsia" w:cs="Times New Roman"/>
                <w:color w:val="auto"/>
                <w:sz w:val="24"/>
                <w:lang w:val="en-US" w:eastAsia="zh-CN"/>
              </w:rPr>
            </w:pPr>
            <w:r>
              <w:rPr>
                <w:rFonts w:hint="eastAsia" w:ascii="Times New Roman" w:hAnsi="Times New Roman" w:eastAsia="宋体" w:cs="Times New Roman"/>
                <w:color w:val="auto"/>
                <w:sz w:val="24"/>
                <w:lang w:val="en-US" w:eastAsia="zh-CN"/>
              </w:rPr>
              <w:t>本项目</w:t>
            </w:r>
            <w:r>
              <w:rPr>
                <w:rFonts w:hint="eastAsia" w:cs="Times New Roman"/>
                <w:color w:val="auto"/>
                <w:sz w:val="24"/>
                <w:lang w:val="en-US" w:eastAsia="zh-CN"/>
              </w:rPr>
              <w:t>1号车间、2号车间和3号车间含有胶装工序。胶装</w:t>
            </w:r>
            <w:r>
              <w:rPr>
                <w:rFonts w:hint="eastAsia" w:ascii="Times New Roman" w:hAnsi="Times New Roman" w:eastAsia="宋体" w:cs="Times New Roman"/>
                <w:color w:val="auto"/>
                <w:sz w:val="24"/>
                <w:lang w:val="en-US" w:eastAsia="zh-CN"/>
              </w:rPr>
              <w:t>产生的废气主要是热熔胶装订过程产生的有机废气。胶订工序使用的热熔胶其主要成分是</w:t>
            </w:r>
            <w:r>
              <w:rPr>
                <w:rFonts w:hint="default" w:ascii="Times New Roman" w:hAnsi="Times New Roman" w:eastAsia="宋体" w:cs="Times New Roman"/>
                <w:color w:val="auto"/>
                <w:sz w:val="24"/>
                <w:lang w:val="en-US" w:eastAsia="zh-CN"/>
              </w:rPr>
              <w:t>EVA</w:t>
            </w:r>
            <w:r>
              <w:rPr>
                <w:rFonts w:hint="eastAsia" w:ascii="Times New Roman" w:hAnsi="Times New Roman" w:eastAsia="宋体" w:cs="Times New Roman"/>
                <w:color w:val="auto"/>
                <w:sz w:val="24"/>
                <w:lang w:val="en-US" w:eastAsia="zh-CN"/>
              </w:rPr>
              <w:t>、树脂和石蜡。本项目热熔胶使用量为</w:t>
            </w:r>
            <w:r>
              <w:rPr>
                <w:rFonts w:hint="eastAsia" w:cs="Times New Roman"/>
                <w:color w:val="auto"/>
                <w:sz w:val="24"/>
                <w:lang w:val="en-US" w:eastAsia="zh-CN"/>
              </w:rPr>
              <w:t>20</w:t>
            </w:r>
            <w:r>
              <w:rPr>
                <w:rFonts w:hint="default" w:ascii="Times New Roman" w:hAnsi="Times New Roman" w:eastAsia="宋体" w:cs="Times New Roman"/>
                <w:color w:val="auto"/>
                <w:sz w:val="24"/>
                <w:lang w:val="en-US" w:eastAsia="zh-CN"/>
              </w:rPr>
              <w:t>t/a</w:t>
            </w:r>
            <w:r>
              <w:rPr>
                <w:rFonts w:hint="eastAsia" w:cs="Times New Roman"/>
                <w:color w:val="auto"/>
                <w:sz w:val="24"/>
                <w:lang w:val="en-US" w:eastAsia="zh-CN"/>
              </w:rPr>
              <w:t>（</w:t>
            </w:r>
            <w:r>
              <w:rPr>
                <w:rFonts w:hint="eastAsia" w:ascii="Times New Roman" w:hAnsi="Times New Roman" w:eastAsia="宋体" w:cs="Times New Roman"/>
                <w:color w:val="auto"/>
                <w:sz w:val="24"/>
                <w:lang w:val="en-US" w:eastAsia="zh-CN"/>
              </w:rPr>
              <w:t>其中</w:t>
            </w:r>
            <w:r>
              <w:rPr>
                <w:rFonts w:hint="eastAsia" w:cs="Times New Roman"/>
                <w:color w:val="auto"/>
                <w:sz w:val="24"/>
                <w:lang w:val="en-US" w:eastAsia="zh-CN"/>
              </w:rPr>
              <w:t>1</w:t>
            </w:r>
            <w:r>
              <w:rPr>
                <w:rFonts w:hint="eastAsia" w:ascii="Times New Roman" w:hAnsi="Times New Roman" w:eastAsia="宋体" w:cs="Times New Roman"/>
                <w:color w:val="auto"/>
                <w:sz w:val="24"/>
                <w:lang w:val="en-US" w:eastAsia="zh-CN"/>
              </w:rPr>
              <w:t>号车间使用量为</w:t>
            </w:r>
            <w:r>
              <w:rPr>
                <w:rFonts w:hint="eastAsia" w:cs="Times New Roman"/>
                <w:color w:val="auto"/>
                <w:sz w:val="24"/>
                <w:lang w:val="en-US" w:eastAsia="zh-CN"/>
              </w:rPr>
              <w:t>11.5</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2</w:t>
            </w:r>
            <w:r>
              <w:rPr>
                <w:rFonts w:hint="eastAsia" w:ascii="Times New Roman" w:hAnsi="Times New Roman" w:eastAsia="宋体" w:cs="Times New Roman"/>
                <w:color w:val="auto"/>
                <w:sz w:val="24"/>
                <w:lang w:val="en-US" w:eastAsia="zh-CN"/>
              </w:rPr>
              <w:t>号车间使用量为</w:t>
            </w:r>
            <w:r>
              <w:rPr>
                <w:rFonts w:hint="eastAsia" w:cs="Times New Roman"/>
                <w:color w:val="auto"/>
                <w:sz w:val="24"/>
                <w:lang w:val="en-US" w:eastAsia="zh-CN"/>
              </w:rPr>
              <w:t>8</w:t>
            </w:r>
            <w:r>
              <w:rPr>
                <w:rFonts w:hint="default" w:ascii="Times New Roman" w:hAnsi="Times New Roman" w:eastAsia="宋体" w:cs="Times New Roman"/>
                <w:color w:val="auto"/>
                <w:sz w:val="24"/>
                <w:lang w:val="en-US" w:eastAsia="zh-CN"/>
              </w:rPr>
              <w:t>t/a</w:t>
            </w:r>
            <w:r>
              <w:rPr>
                <w:rFonts w:hint="eastAsia" w:cs="Times New Roman"/>
                <w:color w:val="auto"/>
                <w:sz w:val="24"/>
                <w:lang w:val="en-US" w:eastAsia="zh-CN"/>
              </w:rPr>
              <w:t>，3号车间使用量为0.5</w:t>
            </w:r>
            <w:r>
              <w:rPr>
                <w:rFonts w:hint="default" w:ascii="Times New Roman" w:hAnsi="Times New Roman" w:eastAsia="宋体" w:cs="Times New Roman"/>
                <w:color w:val="auto"/>
                <w:sz w:val="24"/>
                <w:lang w:val="en-US" w:eastAsia="zh-CN"/>
              </w:rPr>
              <w:t>t/a</w:t>
            </w:r>
            <w:r>
              <w:rPr>
                <w:rFonts w:hint="eastAsia" w:cs="Times New Roman"/>
                <w:color w:val="auto"/>
                <w:sz w:val="24"/>
                <w:lang w:val="en-US" w:eastAsia="zh-CN"/>
              </w:rPr>
              <w:t>）</w:t>
            </w:r>
            <w:r>
              <w:rPr>
                <w:rFonts w:hint="eastAsia" w:ascii="Times New Roman" w:hAnsi="Times New Roman" w:eastAsia="宋体" w:cs="Times New Roman"/>
                <w:color w:val="auto"/>
                <w:sz w:val="24"/>
                <w:lang w:val="en-US" w:eastAsia="zh-CN"/>
              </w:rPr>
              <w:t>，产生的挥发性有机物参考《空气污染物排放和控制手册》（美国国家环保局）中推荐的废气排放系数，挥发性有机物产生系数为</w:t>
            </w:r>
            <w:r>
              <w:rPr>
                <w:rFonts w:hint="default" w:ascii="Times New Roman" w:hAnsi="Times New Roman" w:eastAsia="宋体" w:cs="Times New Roman"/>
                <w:color w:val="auto"/>
                <w:sz w:val="24"/>
                <w:lang w:val="en-US" w:eastAsia="zh-CN"/>
              </w:rPr>
              <w:t>8.5kg/t</w:t>
            </w:r>
            <w:r>
              <w:rPr>
                <w:rFonts w:hint="eastAsia" w:ascii="Times New Roman" w:hAnsi="Times New Roman" w:eastAsia="宋体" w:cs="Times New Roman"/>
                <w:color w:val="auto"/>
                <w:sz w:val="24"/>
                <w:lang w:val="en-US" w:eastAsia="zh-CN"/>
              </w:rPr>
              <w:t>，则本项目装订过程中产生的非甲烷总烃约为</w:t>
            </w:r>
            <w:r>
              <w:rPr>
                <w:rFonts w:hint="default" w:ascii="Times New Roman" w:hAnsi="Times New Roman" w:eastAsia="宋体" w:cs="Times New Roman"/>
                <w:color w:val="auto"/>
                <w:sz w:val="24"/>
                <w:lang w:val="en-US" w:eastAsia="zh-CN"/>
              </w:rPr>
              <w:t>0.17t/a</w:t>
            </w:r>
            <w:r>
              <w:rPr>
                <w:rFonts w:hint="eastAsia" w:cs="Times New Roman"/>
                <w:color w:val="auto"/>
                <w:sz w:val="24"/>
                <w:lang w:val="en-US" w:eastAsia="zh-CN"/>
              </w:rPr>
              <w:t>（</w:t>
            </w:r>
            <w:r>
              <w:rPr>
                <w:rFonts w:hint="eastAsia" w:ascii="Times New Roman" w:hAnsi="Times New Roman" w:eastAsia="宋体" w:cs="Times New Roman"/>
                <w:color w:val="auto"/>
                <w:sz w:val="24"/>
                <w:lang w:val="en-US" w:eastAsia="zh-CN"/>
              </w:rPr>
              <w:t>其中</w:t>
            </w:r>
            <w:r>
              <w:rPr>
                <w:rFonts w:hint="eastAsia" w:cs="Times New Roman"/>
                <w:color w:val="auto"/>
                <w:sz w:val="24"/>
                <w:lang w:val="en-US" w:eastAsia="zh-CN"/>
              </w:rPr>
              <w:t>1</w:t>
            </w:r>
            <w:r>
              <w:rPr>
                <w:rFonts w:hint="eastAsia" w:ascii="Times New Roman" w:hAnsi="Times New Roman" w:eastAsia="宋体" w:cs="Times New Roman"/>
                <w:color w:val="auto"/>
                <w:sz w:val="24"/>
                <w:lang w:val="en-US" w:eastAsia="zh-CN"/>
              </w:rPr>
              <w:t>号车间</w:t>
            </w:r>
            <w:r>
              <w:rPr>
                <w:rFonts w:hint="eastAsia" w:cs="Times New Roman"/>
                <w:color w:val="auto"/>
                <w:sz w:val="24"/>
                <w:lang w:val="en-US" w:eastAsia="zh-CN"/>
              </w:rPr>
              <w:t>产生</w:t>
            </w:r>
            <w:r>
              <w:rPr>
                <w:rFonts w:hint="eastAsia" w:ascii="Times New Roman" w:hAnsi="Times New Roman" w:eastAsia="宋体" w:cs="Times New Roman"/>
                <w:color w:val="auto"/>
                <w:sz w:val="24"/>
                <w:lang w:val="en-US" w:eastAsia="zh-CN"/>
              </w:rPr>
              <w:t>量为</w:t>
            </w:r>
            <w:r>
              <w:rPr>
                <w:rFonts w:hint="eastAsia" w:cs="Times New Roman"/>
                <w:color w:val="auto"/>
                <w:sz w:val="24"/>
                <w:lang w:val="en-US" w:eastAsia="zh-CN"/>
              </w:rPr>
              <w:t>0.098</w:t>
            </w:r>
            <w:r>
              <w:rPr>
                <w:rFonts w:hint="default" w:ascii="Times New Roman" w:hAnsi="Times New Roman" w:eastAsia="宋体" w:cs="Times New Roman"/>
                <w:color w:val="auto"/>
                <w:sz w:val="24"/>
                <w:lang w:val="en-US" w:eastAsia="zh-CN"/>
              </w:rPr>
              <w:t>t/a</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2</w:t>
            </w:r>
            <w:r>
              <w:rPr>
                <w:rFonts w:hint="eastAsia" w:ascii="Times New Roman" w:hAnsi="Times New Roman" w:eastAsia="宋体" w:cs="Times New Roman"/>
                <w:color w:val="auto"/>
                <w:sz w:val="24"/>
                <w:lang w:val="en-US" w:eastAsia="zh-CN"/>
              </w:rPr>
              <w:t>号车间</w:t>
            </w:r>
            <w:r>
              <w:rPr>
                <w:rFonts w:hint="eastAsia" w:cs="Times New Roman"/>
                <w:color w:val="auto"/>
                <w:sz w:val="24"/>
                <w:lang w:val="en-US" w:eastAsia="zh-CN"/>
              </w:rPr>
              <w:t>产生</w:t>
            </w:r>
            <w:r>
              <w:rPr>
                <w:rFonts w:hint="eastAsia" w:ascii="Times New Roman" w:hAnsi="Times New Roman" w:eastAsia="宋体" w:cs="Times New Roman"/>
                <w:color w:val="auto"/>
                <w:sz w:val="24"/>
                <w:lang w:val="en-US" w:eastAsia="zh-CN"/>
              </w:rPr>
              <w:t>量为</w:t>
            </w:r>
            <w:r>
              <w:rPr>
                <w:rFonts w:hint="eastAsia" w:cs="Times New Roman"/>
                <w:color w:val="auto"/>
                <w:sz w:val="24"/>
                <w:lang w:val="en-US" w:eastAsia="zh-CN"/>
              </w:rPr>
              <w:t>0.068</w:t>
            </w:r>
            <w:r>
              <w:rPr>
                <w:rFonts w:hint="default" w:ascii="Times New Roman" w:hAnsi="Times New Roman" w:eastAsia="宋体" w:cs="Times New Roman"/>
                <w:color w:val="auto"/>
                <w:sz w:val="24"/>
                <w:lang w:val="en-US" w:eastAsia="zh-CN"/>
              </w:rPr>
              <w:t>t/a</w:t>
            </w:r>
            <w:r>
              <w:rPr>
                <w:rFonts w:hint="eastAsia" w:cs="Times New Roman"/>
                <w:color w:val="auto"/>
                <w:sz w:val="24"/>
                <w:lang w:val="en-US" w:eastAsia="zh-CN"/>
              </w:rPr>
              <w:t>,3号车间产生量为0.004</w:t>
            </w:r>
            <w:r>
              <w:rPr>
                <w:rFonts w:hint="default" w:ascii="Times New Roman" w:hAnsi="Times New Roman" w:eastAsia="宋体" w:cs="Times New Roman"/>
                <w:color w:val="auto"/>
                <w:sz w:val="24"/>
                <w:lang w:val="en-US" w:eastAsia="zh-CN"/>
              </w:rPr>
              <w:t>t/a</w:t>
            </w:r>
            <w:r>
              <w:rPr>
                <w:rFonts w:hint="eastAsia" w:cs="Times New Roman"/>
                <w:color w:val="auto"/>
                <w:sz w:val="24"/>
                <w:lang w:val="en-US" w:eastAsia="zh-CN"/>
              </w:rPr>
              <w:t>），</w:t>
            </w:r>
            <w:r>
              <w:rPr>
                <w:rFonts w:hint="eastAsia" w:ascii="Times New Roman" w:hAnsi="Times New Roman" w:eastAsia="宋体" w:cs="Times New Roman"/>
                <w:color w:val="auto"/>
                <w:sz w:val="24"/>
                <w:lang w:val="en-US" w:eastAsia="zh-CN"/>
              </w:rPr>
              <w:t>产生的非甲烷总烃经集气罩收集后（集气罩收集效率按</w:t>
            </w:r>
            <w:r>
              <w:rPr>
                <w:rFonts w:hint="default" w:ascii="Times New Roman" w:hAnsi="Times New Roman" w:eastAsia="宋体" w:cs="Times New Roman"/>
                <w:color w:val="auto"/>
                <w:sz w:val="24"/>
                <w:lang w:val="en-US" w:eastAsia="zh-CN"/>
              </w:rPr>
              <w:t>85%</w:t>
            </w:r>
            <w:r>
              <w:rPr>
                <w:rFonts w:hint="eastAsia" w:ascii="Times New Roman" w:hAnsi="Times New Roman" w:eastAsia="宋体" w:cs="Times New Roman"/>
                <w:color w:val="auto"/>
                <w:sz w:val="24"/>
                <w:lang w:val="en-US" w:eastAsia="zh-CN"/>
              </w:rPr>
              <w:t>计），通</w:t>
            </w:r>
            <w:r>
              <w:rPr>
                <w:rFonts w:hint="default" w:ascii="Times New Roman" w:hAnsi="Times New Roman" w:eastAsia="宋体" w:cs="Times New Roman"/>
                <w:color w:val="auto"/>
                <w:sz w:val="24"/>
                <w:lang w:val="en-US" w:eastAsia="zh-CN"/>
              </w:rPr>
              <w:t>过</w:t>
            </w:r>
            <w:r>
              <w:rPr>
                <w:rFonts w:hint="eastAsia" w:cs="Times New Roman"/>
                <w:color w:val="auto"/>
                <w:sz w:val="24"/>
                <w:lang w:val="en-US" w:eastAsia="zh-CN"/>
              </w:rPr>
              <w:t>二级</w:t>
            </w:r>
            <w:r>
              <w:rPr>
                <w:rFonts w:hint="default" w:ascii="Times New Roman" w:hAnsi="Times New Roman" w:eastAsia="宋体" w:cs="Times New Roman"/>
                <w:color w:val="auto"/>
                <w:sz w:val="24"/>
                <w:lang w:val="en-US" w:eastAsia="zh-CN"/>
              </w:rPr>
              <w:t>活性炭吸附装</w:t>
            </w:r>
            <w:r>
              <w:rPr>
                <w:rFonts w:hint="eastAsia" w:ascii="Times New Roman" w:hAnsi="Times New Roman" w:eastAsia="宋体" w:cs="Times New Roman"/>
                <w:color w:val="auto"/>
                <w:sz w:val="24"/>
                <w:lang w:val="en-US" w:eastAsia="zh-CN"/>
              </w:rPr>
              <w:t>置（处理效率</w:t>
            </w:r>
            <w:r>
              <w:rPr>
                <w:rFonts w:hint="default" w:ascii="Times New Roman" w:hAnsi="Times New Roman" w:eastAsia="宋体" w:cs="Times New Roman"/>
                <w:color w:val="auto"/>
                <w:sz w:val="24"/>
                <w:lang w:val="en-US" w:eastAsia="zh-CN"/>
              </w:rPr>
              <w:t>≥85%</w:t>
            </w:r>
            <w:r>
              <w:rPr>
                <w:rFonts w:hint="eastAsia" w:ascii="Times New Roman" w:hAnsi="Times New Roman" w:eastAsia="宋体" w:cs="Times New Roman"/>
                <w:color w:val="auto"/>
                <w:sz w:val="24"/>
                <w:lang w:val="en-US" w:eastAsia="zh-CN"/>
              </w:rPr>
              <w:t>）处理后经</w:t>
            </w:r>
            <w:r>
              <w:rPr>
                <w:rFonts w:hint="default"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val="en-US" w:eastAsia="zh-CN"/>
              </w:rPr>
              <w:t>根</w:t>
            </w:r>
            <w:r>
              <w:rPr>
                <w:rFonts w:hint="default" w:ascii="Times New Roman" w:hAnsi="Times New Roman" w:eastAsia="宋体" w:cs="Times New Roman"/>
                <w:color w:val="auto"/>
                <w:sz w:val="24"/>
                <w:lang w:val="en-US" w:eastAsia="zh-CN"/>
              </w:rPr>
              <w:t>15m</w:t>
            </w:r>
            <w:r>
              <w:rPr>
                <w:rFonts w:hint="eastAsia" w:ascii="Times New Roman" w:hAnsi="Times New Roman" w:eastAsia="宋体" w:cs="Times New Roman"/>
                <w:color w:val="auto"/>
                <w:sz w:val="24"/>
                <w:lang w:val="en-US" w:eastAsia="zh-CN"/>
              </w:rPr>
              <w:t>排气筒排放</w:t>
            </w:r>
            <w:r>
              <w:rPr>
                <w:rFonts w:hint="eastAsia" w:cs="Times New Roman"/>
                <w:color w:val="auto"/>
                <w:sz w:val="24"/>
                <w:lang w:val="en-US" w:eastAsia="zh-CN"/>
              </w:rPr>
              <w:t>。</w:t>
            </w:r>
          </w:p>
          <w:p w14:paraId="15232D9E">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未被集气罩收集到的有机废气（以非甲烷总烃计），产生量为</w:t>
            </w:r>
            <w:r>
              <w:rPr>
                <w:rFonts w:hint="default" w:ascii="Times New Roman" w:hAnsi="Times New Roman" w:eastAsia="宋体" w:cs="Times New Roman"/>
                <w:color w:val="auto"/>
                <w:sz w:val="24"/>
                <w:lang w:val="en-US" w:eastAsia="zh-CN"/>
              </w:rPr>
              <w:t>0.026t/a</w:t>
            </w:r>
            <w:r>
              <w:rPr>
                <w:rFonts w:hint="eastAsia" w:ascii="Times New Roman" w:hAnsi="Times New Roman" w:eastAsia="宋体" w:cs="Times New Roman"/>
                <w:color w:val="auto"/>
                <w:sz w:val="24"/>
                <w:lang w:val="en-US" w:eastAsia="zh-CN"/>
              </w:rPr>
              <w:t>，排放速率为</w:t>
            </w:r>
            <w:r>
              <w:rPr>
                <w:rFonts w:hint="default" w:ascii="Times New Roman" w:hAnsi="Times New Roman" w:eastAsia="宋体" w:cs="Times New Roman"/>
                <w:color w:val="auto"/>
                <w:sz w:val="24"/>
                <w:lang w:val="en-US" w:eastAsia="zh-CN"/>
              </w:rPr>
              <w:t>0.004</w:t>
            </w:r>
            <w:r>
              <w:rPr>
                <w:rFonts w:hint="eastAsia" w:cs="Times New Roman"/>
                <w:color w:val="auto"/>
                <w:sz w:val="24"/>
                <w:lang w:val="en-US" w:eastAsia="zh-CN"/>
              </w:rPr>
              <w:t>1</w:t>
            </w:r>
            <w:r>
              <w:rPr>
                <w:rFonts w:hint="default" w:ascii="Times New Roman" w:hAnsi="Times New Roman" w:eastAsia="宋体" w:cs="Times New Roman"/>
                <w:color w:val="auto"/>
                <w:sz w:val="24"/>
                <w:lang w:val="en-US" w:eastAsia="zh-CN"/>
              </w:rPr>
              <w:t>kg/h</w:t>
            </w:r>
            <w:r>
              <w:rPr>
                <w:rFonts w:hint="eastAsia" w:ascii="Times New Roman" w:hAnsi="Times New Roman" w:eastAsia="宋体" w:cs="Times New Roman"/>
                <w:color w:val="auto"/>
                <w:sz w:val="24"/>
                <w:lang w:val="en-US" w:eastAsia="zh-CN"/>
              </w:rPr>
              <w:t>，通过加强车间通风以无组织形式排放。</w:t>
            </w:r>
          </w:p>
          <w:p w14:paraId="69B15959">
            <w:pPr>
              <w:keepNext w:val="0"/>
              <w:keepLines w:val="0"/>
              <w:suppressLineNumbers w:val="0"/>
              <w:spacing w:before="0" w:beforeAutospacing="0" w:after="0" w:afterAutospacing="0" w:line="360" w:lineRule="auto"/>
              <w:ind w:left="0" w:right="0" w:firstLine="480" w:firstLineChars="200"/>
              <w:rPr>
                <w:rFonts w:hint="default"/>
              </w:rPr>
            </w:pPr>
            <w:r>
              <w:rPr>
                <w:rFonts w:hint="eastAsia" w:cs="Times New Roman"/>
                <w:color w:val="auto"/>
                <w:sz w:val="24"/>
                <w:lang w:val="en-US" w:eastAsia="zh-CN"/>
              </w:rPr>
              <w:t>综上，有组织非甲烷总烃经集气罩+二级</w:t>
            </w:r>
            <w:r>
              <w:rPr>
                <w:rFonts w:hint="eastAsia" w:ascii="Times New Roman" w:hAnsi="Times New Roman" w:eastAsia="宋体" w:cs="Times New Roman"/>
                <w:color w:val="auto"/>
                <w:sz w:val="24"/>
                <w:lang w:val="en-US" w:eastAsia="zh-CN"/>
              </w:rPr>
              <w:t>活性炭吸附</w:t>
            </w:r>
            <w:r>
              <w:rPr>
                <w:rFonts w:hint="eastAsia" w:cs="Times New Roman"/>
                <w:color w:val="auto"/>
                <w:sz w:val="24"/>
                <w:lang w:val="en-US" w:eastAsia="zh-CN"/>
              </w:rPr>
              <w:t>收集处理后，通过15m排气筒排放，</w:t>
            </w:r>
            <w:r>
              <w:rPr>
                <w:rFonts w:hint="default" w:ascii="Times New Roman" w:hAnsi="Times New Roman" w:eastAsia="宋体" w:cs="Times New Roman"/>
                <w:bCs/>
                <w:color w:val="auto"/>
                <w:sz w:val="24"/>
                <w:lang w:val="en-US" w:eastAsia="zh-CN"/>
              </w:rPr>
              <w:t>风机</w:t>
            </w:r>
            <w:r>
              <w:rPr>
                <w:rFonts w:hint="default" w:ascii="Times New Roman" w:hAnsi="Times New Roman" w:eastAsia="宋体" w:cs="Times New Roman"/>
                <w:bCs/>
                <w:color w:val="auto"/>
                <w:sz w:val="24"/>
              </w:rPr>
              <w:t>风量</w:t>
            </w:r>
            <w:r>
              <w:rPr>
                <w:rFonts w:hint="default" w:ascii="Times New Roman" w:hAnsi="Times New Roman" w:eastAsia="宋体" w:cs="Times New Roman"/>
                <w:bCs/>
                <w:color w:val="auto"/>
                <w:sz w:val="24"/>
                <w:lang w:val="en-US" w:eastAsia="zh-CN"/>
              </w:rPr>
              <w:t>为</w:t>
            </w:r>
            <w:r>
              <w:rPr>
                <w:rFonts w:hint="eastAsia" w:cs="Times New Roman"/>
                <w:bCs/>
                <w:color w:val="auto"/>
                <w:sz w:val="24"/>
                <w:lang w:val="en-US" w:eastAsia="zh-CN"/>
              </w:rPr>
              <w:t>6</w:t>
            </w:r>
            <w:r>
              <w:rPr>
                <w:rFonts w:hint="default" w:ascii="Times New Roman" w:hAnsi="Times New Roman" w:eastAsia="宋体" w:cs="Times New Roman"/>
                <w:bCs/>
                <w:color w:val="auto"/>
                <w:sz w:val="24"/>
              </w:rPr>
              <w:t>000m</w:t>
            </w:r>
            <w:r>
              <w:rPr>
                <w:rFonts w:hint="default" w:ascii="Times New Roman" w:hAnsi="Times New Roman" w:eastAsia="宋体" w:cs="Times New Roman"/>
                <w:bCs/>
                <w:color w:val="auto"/>
                <w:sz w:val="24"/>
                <w:vertAlign w:val="superscript"/>
              </w:rPr>
              <w:t>3</w:t>
            </w:r>
            <w:r>
              <w:rPr>
                <w:rFonts w:hint="default" w:ascii="Times New Roman" w:hAnsi="Times New Roman" w:eastAsia="宋体" w:cs="Times New Roman"/>
                <w:bCs/>
                <w:color w:val="auto"/>
                <w:sz w:val="24"/>
              </w:rPr>
              <w:t>/h，年工作</w:t>
            </w:r>
            <w:r>
              <w:rPr>
                <w:rFonts w:hint="eastAsia" w:eastAsia="宋体" w:cs="Times New Roman"/>
                <w:bCs/>
                <w:color w:val="auto"/>
                <w:sz w:val="24"/>
                <w:lang w:val="en-US" w:eastAsia="zh-CN"/>
              </w:rPr>
              <w:t>63</w:t>
            </w:r>
            <w:r>
              <w:rPr>
                <w:rFonts w:hint="default" w:ascii="Times New Roman" w:hAnsi="Times New Roman" w:eastAsia="宋体" w:cs="Times New Roman"/>
                <w:bCs/>
                <w:color w:val="auto"/>
                <w:sz w:val="24"/>
              </w:rPr>
              <w:t>00h</w:t>
            </w:r>
            <w:r>
              <w:rPr>
                <w:rFonts w:hint="eastAsia" w:cs="Times New Roman"/>
                <w:bCs/>
                <w:color w:val="auto"/>
                <w:sz w:val="24"/>
                <w:lang w:eastAsia="zh-CN"/>
              </w:rPr>
              <w:t>，</w:t>
            </w:r>
            <w:r>
              <w:rPr>
                <w:rFonts w:hint="eastAsia" w:cs="Times New Roman"/>
                <w:bCs/>
                <w:color w:val="auto"/>
                <w:sz w:val="24"/>
                <w:lang w:val="en-US" w:eastAsia="zh-CN"/>
              </w:rPr>
              <w:t>具体产污环节、有组织废气产生和排放量见下表所示</w:t>
            </w:r>
            <w:r>
              <w:rPr>
                <w:rFonts w:hint="default" w:ascii="Times New Roman" w:hAnsi="Times New Roman" w:eastAsia="宋体" w:cs="Times New Roman"/>
                <w:bCs/>
                <w:color w:val="auto"/>
                <w:sz w:val="24"/>
              </w:rPr>
              <w:t>。</w:t>
            </w:r>
          </w:p>
          <w:p w14:paraId="6CF4A4D3">
            <w:pPr>
              <w:keepNext w:val="0"/>
              <w:keepLines w:val="0"/>
              <w:suppressLineNumbers w:val="0"/>
              <w:tabs>
                <w:tab w:val="left" w:pos="2539"/>
              </w:tabs>
              <w:adjustRightInd w:val="0"/>
              <w:snapToGrid w:val="0"/>
              <w:spacing w:before="0" w:beforeAutospacing="0" w:after="0" w:afterAutospacing="0"/>
              <w:ind w:left="0" w:right="0"/>
              <w:jc w:val="center"/>
              <w:rPr>
                <w:rFonts w:hint="default" w:ascii="Times New Roman" w:hAnsi="Times New Roman" w:eastAsia="宋体" w:cs="Times New Roman"/>
                <w:b/>
                <w:color w:val="auto"/>
                <w:sz w:val="24"/>
                <w:lang w:val="en-US" w:eastAsia="zh-CN"/>
              </w:rPr>
            </w:pPr>
            <w:r>
              <w:rPr>
                <w:rFonts w:hint="eastAsia" w:ascii="Times New Roman" w:hAnsi="Times New Roman" w:eastAsia="宋体" w:cs="Times New Roman"/>
                <w:b/>
                <w:color w:val="auto"/>
                <w:sz w:val="24"/>
                <w:lang w:val="en-US" w:eastAsia="zh-CN"/>
              </w:rPr>
              <w:t>表4-2 有组织废气产生及排放结果汇总表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19"/>
              <w:gridCol w:w="1284"/>
              <w:gridCol w:w="904"/>
              <w:gridCol w:w="1025"/>
              <w:gridCol w:w="1130"/>
              <w:gridCol w:w="788"/>
              <w:gridCol w:w="842"/>
              <w:gridCol w:w="938"/>
            </w:tblGrid>
            <w:tr w14:paraId="6356AB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vMerge w:val="restart"/>
                  <w:noWrap w:val="0"/>
                  <w:vAlign w:val="center"/>
                </w:tcPr>
                <w:p w14:paraId="6C1C33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产污环节</w:t>
                  </w:r>
                </w:p>
              </w:tc>
              <w:tc>
                <w:tcPr>
                  <w:tcW w:w="760" w:type="pct"/>
                  <w:vMerge w:val="restart"/>
                  <w:noWrap w:val="0"/>
                  <w:vAlign w:val="center"/>
                </w:tcPr>
                <w:p w14:paraId="273A2E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污染物种类</w:t>
                  </w:r>
                </w:p>
              </w:tc>
              <w:tc>
                <w:tcPr>
                  <w:tcW w:w="1814" w:type="pct"/>
                  <w:gridSpan w:val="3"/>
                  <w:noWrap w:val="0"/>
                  <w:vAlign w:val="center"/>
                </w:tcPr>
                <w:p w14:paraId="546A4F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污染物产生</w:t>
                  </w:r>
                </w:p>
              </w:tc>
              <w:tc>
                <w:tcPr>
                  <w:tcW w:w="1522" w:type="pct"/>
                  <w:gridSpan w:val="3"/>
                  <w:noWrap w:val="0"/>
                  <w:vAlign w:val="center"/>
                </w:tcPr>
                <w:p w14:paraId="47DAAF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污染物排放</w:t>
                  </w:r>
                </w:p>
              </w:tc>
            </w:tr>
            <w:tr w14:paraId="621CF9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vMerge w:val="continue"/>
                  <w:noWrap w:val="0"/>
                  <w:vAlign w:val="center"/>
                </w:tcPr>
                <w:p w14:paraId="63F7C5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760" w:type="pct"/>
                  <w:vMerge w:val="continue"/>
                  <w:noWrap w:val="0"/>
                  <w:vAlign w:val="center"/>
                </w:tcPr>
                <w:p w14:paraId="640004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6" w:type="pct"/>
                  <w:tcBorders>
                    <w:right w:val="single" w:color="000000" w:sz="8" w:space="0"/>
                  </w:tcBorders>
                  <w:noWrap w:val="0"/>
                  <w:vAlign w:val="center"/>
                </w:tcPr>
                <w:p w14:paraId="105403FC">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highlight w:val="none"/>
                    </w:rPr>
                    <w:t>产生量t/a</w:t>
                  </w:r>
                </w:p>
              </w:tc>
              <w:tc>
                <w:tcPr>
                  <w:tcW w:w="608" w:type="pct"/>
                  <w:tcBorders>
                    <w:left w:val="single" w:color="000000" w:sz="8" w:space="0"/>
                  </w:tcBorders>
                  <w:noWrap w:val="0"/>
                  <w:vAlign w:val="center"/>
                </w:tcPr>
                <w:p w14:paraId="6B81AF1B">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b w:val="0"/>
                      <w:bCs w:val="0"/>
                      <w:color w:val="auto"/>
                      <w:sz w:val="21"/>
                      <w:szCs w:val="21"/>
                      <w:highlight w:val="none"/>
                      <w:lang w:val="en-US" w:eastAsia="zh-CN"/>
                    </w:rPr>
                    <w:t>产生</w:t>
                  </w:r>
                  <w:r>
                    <w:rPr>
                      <w:rFonts w:hint="default" w:ascii="Times New Roman" w:hAnsi="Times New Roman" w:cs="Times New Roman"/>
                      <w:b w:val="0"/>
                      <w:bCs w:val="0"/>
                      <w:color w:val="auto"/>
                      <w:sz w:val="21"/>
                      <w:szCs w:val="21"/>
                      <w:highlight w:val="none"/>
                    </w:rPr>
                    <w:t>速率kg/h</w:t>
                  </w:r>
                </w:p>
              </w:tc>
              <w:tc>
                <w:tcPr>
                  <w:tcW w:w="670" w:type="pct"/>
                  <w:tcBorders>
                    <w:left w:val="single" w:color="auto" w:sz="4" w:space="0"/>
                  </w:tcBorders>
                  <w:noWrap w:val="0"/>
                  <w:vAlign w:val="center"/>
                </w:tcPr>
                <w:p w14:paraId="7C6B0402">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highlight w:val="none"/>
                      <w:lang w:val="en-US" w:eastAsia="zh-CN"/>
                    </w:rPr>
                    <w:t>产生浓度mg/m</w:t>
                  </w:r>
                  <w:r>
                    <w:rPr>
                      <w:rFonts w:hint="default" w:ascii="Times New Roman" w:hAnsi="Times New Roman" w:cs="Times New Roman"/>
                      <w:b w:val="0"/>
                      <w:bCs w:val="0"/>
                      <w:color w:val="auto"/>
                      <w:sz w:val="21"/>
                      <w:szCs w:val="21"/>
                      <w:highlight w:val="none"/>
                      <w:vertAlign w:val="superscript"/>
                      <w:lang w:val="en-US" w:eastAsia="zh-CN"/>
                    </w:rPr>
                    <w:t>3</w:t>
                  </w:r>
                </w:p>
              </w:tc>
              <w:tc>
                <w:tcPr>
                  <w:tcW w:w="467" w:type="pct"/>
                  <w:noWrap w:val="0"/>
                  <w:vAlign w:val="center"/>
                </w:tcPr>
                <w:p w14:paraId="28EA6D38">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highlight w:val="none"/>
                    </w:rPr>
                    <w:t>排放量t/a</w:t>
                  </w:r>
                </w:p>
              </w:tc>
              <w:tc>
                <w:tcPr>
                  <w:tcW w:w="499" w:type="pct"/>
                  <w:noWrap w:val="0"/>
                  <w:vAlign w:val="center"/>
                </w:tcPr>
                <w:p w14:paraId="1EF370FF">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b w:val="0"/>
                      <w:bCs w:val="0"/>
                      <w:color w:val="auto"/>
                      <w:sz w:val="21"/>
                      <w:szCs w:val="21"/>
                      <w:highlight w:val="none"/>
                      <w:lang w:val="en-US" w:eastAsia="zh-CN"/>
                    </w:rPr>
                    <w:t>排放</w:t>
                  </w:r>
                  <w:r>
                    <w:rPr>
                      <w:rFonts w:hint="default" w:ascii="Times New Roman" w:hAnsi="Times New Roman" w:cs="Times New Roman"/>
                      <w:b w:val="0"/>
                      <w:bCs w:val="0"/>
                      <w:color w:val="auto"/>
                      <w:sz w:val="21"/>
                      <w:szCs w:val="21"/>
                      <w:highlight w:val="none"/>
                    </w:rPr>
                    <w:t>速率kg/h</w:t>
                  </w:r>
                </w:p>
              </w:tc>
              <w:tc>
                <w:tcPr>
                  <w:tcW w:w="556" w:type="pct"/>
                  <w:noWrap w:val="0"/>
                  <w:vAlign w:val="center"/>
                </w:tcPr>
                <w:p w14:paraId="413BADD8">
                  <w:pPr>
                    <w:pStyle w:val="83"/>
                    <w:keepNext w:val="0"/>
                    <w:keepLines w:val="0"/>
                    <w:suppressLineNumbers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highlight w:val="none"/>
                      <w:lang w:val="en-US" w:eastAsia="zh-CN"/>
                    </w:rPr>
                    <w:t>排放浓度mg/m</w:t>
                  </w:r>
                  <w:r>
                    <w:rPr>
                      <w:rFonts w:hint="default" w:ascii="Times New Roman" w:hAnsi="Times New Roman" w:cs="Times New Roman"/>
                      <w:b w:val="0"/>
                      <w:bCs w:val="0"/>
                      <w:color w:val="auto"/>
                      <w:sz w:val="21"/>
                      <w:szCs w:val="21"/>
                      <w:highlight w:val="none"/>
                      <w:vertAlign w:val="superscript"/>
                      <w:lang w:val="en-US" w:eastAsia="zh-CN"/>
                    </w:rPr>
                    <w:t>3</w:t>
                  </w:r>
                </w:p>
              </w:tc>
            </w:tr>
            <w:tr w14:paraId="600FA6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noWrap w:val="0"/>
                  <w:vAlign w:val="center"/>
                </w:tcPr>
                <w:p w14:paraId="73EB6C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1号车间水性印刷废气</w:t>
                  </w:r>
                </w:p>
              </w:tc>
              <w:tc>
                <w:tcPr>
                  <w:tcW w:w="760" w:type="pct"/>
                  <w:noWrap w:val="0"/>
                  <w:vAlign w:val="center"/>
                </w:tcPr>
                <w:p w14:paraId="3353AC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eastAsia="宋体" w:cs="Times New Roman"/>
                      <w:color w:val="auto"/>
                      <w:highlight w:val="none"/>
                      <w:lang w:val="en-US" w:eastAsia="zh-CN"/>
                    </w:rPr>
                    <w:t>非甲烷总烃</w:t>
                  </w:r>
                </w:p>
              </w:tc>
              <w:tc>
                <w:tcPr>
                  <w:tcW w:w="536" w:type="pct"/>
                  <w:tcBorders>
                    <w:right w:val="single" w:color="000000" w:sz="8" w:space="0"/>
                  </w:tcBorders>
                  <w:noWrap w:val="0"/>
                  <w:vAlign w:val="center"/>
                </w:tcPr>
                <w:p w14:paraId="2EB75E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1.95</w:t>
                  </w:r>
                </w:p>
              </w:tc>
              <w:tc>
                <w:tcPr>
                  <w:tcW w:w="608" w:type="pct"/>
                  <w:vMerge w:val="restart"/>
                  <w:tcBorders>
                    <w:left w:val="single" w:color="000000" w:sz="8" w:space="0"/>
                  </w:tcBorders>
                  <w:noWrap w:val="0"/>
                  <w:vAlign w:val="center"/>
                </w:tcPr>
                <w:p w14:paraId="1180BE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0.325</w:t>
                  </w:r>
                </w:p>
              </w:tc>
              <w:tc>
                <w:tcPr>
                  <w:tcW w:w="670" w:type="pct"/>
                  <w:vMerge w:val="restart"/>
                  <w:tcBorders>
                    <w:left w:val="single" w:color="auto" w:sz="4" w:space="0"/>
                  </w:tcBorders>
                  <w:noWrap w:val="0"/>
                  <w:vAlign w:val="center"/>
                </w:tcPr>
                <w:p w14:paraId="11CE6D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54.17</w:t>
                  </w:r>
                </w:p>
              </w:tc>
              <w:tc>
                <w:tcPr>
                  <w:tcW w:w="467" w:type="pct"/>
                  <w:vMerge w:val="restart"/>
                  <w:noWrap w:val="0"/>
                  <w:vAlign w:val="center"/>
                </w:tcPr>
                <w:p w14:paraId="24A219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0.26</w:t>
                  </w:r>
                </w:p>
              </w:tc>
              <w:tc>
                <w:tcPr>
                  <w:tcW w:w="499" w:type="pct"/>
                  <w:vMerge w:val="restart"/>
                  <w:noWrap w:val="0"/>
                  <w:vAlign w:val="center"/>
                </w:tcPr>
                <w:p w14:paraId="2BC54D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0.041</w:t>
                  </w:r>
                </w:p>
              </w:tc>
              <w:tc>
                <w:tcPr>
                  <w:tcW w:w="556" w:type="pct"/>
                  <w:vMerge w:val="restart"/>
                  <w:noWrap w:val="0"/>
                  <w:vAlign w:val="center"/>
                </w:tcPr>
                <w:p w14:paraId="2570CD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6.91</w:t>
                  </w:r>
                </w:p>
              </w:tc>
            </w:tr>
            <w:tr w14:paraId="06294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noWrap w:val="0"/>
                  <w:vAlign w:val="center"/>
                </w:tcPr>
                <w:p w14:paraId="4B2F9B4A">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1号车间胶装废气</w:t>
                  </w:r>
                </w:p>
              </w:tc>
              <w:tc>
                <w:tcPr>
                  <w:tcW w:w="760" w:type="pct"/>
                  <w:noWrap w:val="0"/>
                  <w:vAlign w:val="center"/>
                </w:tcPr>
                <w:p w14:paraId="605FDC44">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eastAsia="宋体" w:cs="Times New Roman"/>
                      <w:color w:val="auto"/>
                      <w:highlight w:val="none"/>
                      <w:lang w:val="en-US" w:eastAsia="zh-CN"/>
                    </w:rPr>
                    <w:t>非甲烷总烃</w:t>
                  </w:r>
                </w:p>
              </w:tc>
              <w:tc>
                <w:tcPr>
                  <w:tcW w:w="536" w:type="pct"/>
                  <w:tcBorders>
                    <w:right w:val="single" w:color="000000" w:sz="8" w:space="0"/>
                  </w:tcBorders>
                  <w:noWrap w:val="0"/>
                  <w:vAlign w:val="center"/>
                </w:tcPr>
                <w:p w14:paraId="028B1C77">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highlight w:val="none"/>
                      <w:lang w:val="en-US" w:eastAsia="zh-CN" w:bidi="ar-SA"/>
                    </w:rPr>
                  </w:pPr>
                  <w:r>
                    <w:rPr>
                      <w:rFonts w:hint="eastAsia"/>
                      <w:color w:val="auto"/>
                      <w:sz w:val="21"/>
                      <w:szCs w:val="21"/>
                      <w:lang w:val="en-US" w:eastAsia="zh-CN"/>
                    </w:rPr>
                    <w:t>0.098</w:t>
                  </w:r>
                </w:p>
              </w:tc>
              <w:tc>
                <w:tcPr>
                  <w:tcW w:w="608" w:type="pct"/>
                  <w:vMerge w:val="continue"/>
                  <w:tcBorders>
                    <w:left w:val="single" w:color="000000" w:sz="8" w:space="0"/>
                  </w:tcBorders>
                  <w:noWrap w:val="0"/>
                  <w:vAlign w:val="center"/>
                </w:tcPr>
                <w:p w14:paraId="6CF0CC41">
                  <w:pPr>
                    <w:keepNext w:val="0"/>
                    <w:keepLines w:val="0"/>
                    <w:suppressLineNumbers w:val="0"/>
                    <w:adjustRightInd w:val="0"/>
                    <w:snapToGrid w:val="0"/>
                    <w:spacing w:before="0" w:beforeAutospacing="0" w:after="0" w:afterAutospacing="0"/>
                    <w:ind w:left="0" w:right="0"/>
                    <w:jc w:val="center"/>
                    <w:rPr>
                      <w:rFonts w:hint="eastAsia" w:cs="Times New Roman"/>
                      <w:color w:val="auto"/>
                      <w:highlight w:val="none"/>
                      <w:lang w:val="en-US" w:eastAsia="zh-CN"/>
                    </w:rPr>
                  </w:pPr>
                </w:p>
              </w:tc>
              <w:tc>
                <w:tcPr>
                  <w:tcW w:w="670" w:type="pct"/>
                  <w:vMerge w:val="continue"/>
                  <w:tcBorders>
                    <w:left w:val="single" w:color="auto" w:sz="4" w:space="0"/>
                  </w:tcBorders>
                  <w:noWrap w:val="0"/>
                  <w:vAlign w:val="center"/>
                </w:tcPr>
                <w:p w14:paraId="4757B483">
                  <w:pPr>
                    <w:keepNext w:val="0"/>
                    <w:keepLines w:val="0"/>
                    <w:suppressLineNumbers w:val="0"/>
                    <w:adjustRightInd w:val="0"/>
                    <w:snapToGrid w:val="0"/>
                    <w:spacing w:before="0" w:beforeAutospacing="0" w:after="0" w:afterAutospacing="0"/>
                    <w:ind w:left="0" w:right="0"/>
                    <w:jc w:val="center"/>
                    <w:rPr>
                      <w:rFonts w:hint="eastAsia" w:cs="Times New Roman"/>
                      <w:color w:val="auto"/>
                      <w:highlight w:val="none"/>
                      <w:lang w:val="en-US" w:eastAsia="zh-CN"/>
                    </w:rPr>
                  </w:pPr>
                </w:p>
              </w:tc>
              <w:tc>
                <w:tcPr>
                  <w:tcW w:w="467" w:type="pct"/>
                  <w:vMerge w:val="continue"/>
                  <w:noWrap w:val="0"/>
                  <w:vAlign w:val="center"/>
                </w:tcPr>
                <w:p w14:paraId="6677B61C">
                  <w:pPr>
                    <w:keepNext w:val="0"/>
                    <w:keepLines w:val="0"/>
                    <w:suppressLineNumbers w:val="0"/>
                    <w:adjustRightInd w:val="0"/>
                    <w:snapToGrid w:val="0"/>
                    <w:spacing w:before="0" w:beforeAutospacing="0" w:after="0" w:afterAutospacing="0"/>
                    <w:ind w:left="0" w:right="0"/>
                    <w:jc w:val="center"/>
                    <w:rPr>
                      <w:rFonts w:hint="eastAsia" w:cs="Times New Roman"/>
                      <w:color w:val="auto"/>
                      <w:highlight w:val="none"/>
                      <w:lang w:val="en-US" w:eastAsia="zh-CN"/>
                    </w:rPr>
                  </w:pPr>
                </w:p>
              </w:tc>
              <w:tc>
                <w:tcPr>
                  <w:tcW w:w="499" w:type="pct"/>
                  <w:vMerge w:val="continue"/>
                  <w:noWrap w:val="0"/>
                  <w:vAlign w:val="center"/>
                </w:tcPr>
                <w:p w14:paraId="6F65B658">
                  <w:pPr>
                    <w:keepNext w:val="0"/>
                    <w:keepLines w:val="0"/>
                    <w:suppressLineNumbers w:val="0"/>
                    <w:adjustRightInd w:val="0"/>
                    <w:snapToGrid w:val="0"/>
                    <w:spacing w:before="0" w:beforeAutospacing="0" w:after="0" w:afterAutospacing="0"/>
                    <w:ind w:left="0" w:right="0"/>
                    <w:jc w:val="center"/>
                    <w:rPr>
                      <w:rFonts w:hint="eastAsia" w:cs="Times New Roman"/>
                      <w:color w:val="auto"/>
                      <w:highlight w:val="none"/>
                      <w:lang w:val="en-US" w:eastAsia="zh-CN"/>
                    </w:rPr>
                  </w:pPr>
                </w:p>
              </w:tc>
              <w:tc>
                <w:tcPr>
                  <w:tcW w:w="556" w:type="pct"/>
                  <w:vMerge w:val="continue"/>
                  <w:noWrap w:val="0"/>
                  <w:vAlign w:val="center"/>
                </w:tcPr>
                <w:p w14:paraId="3E18D546">
                  <w:pPr>
                    <w:keepNext w:val="0"/>
                    <w:keepLines w:val="0"/>
                    <w:suppressLineNumbers w:val="0"/>
                    <w:adjustRightInd w:val="0"/>
                    <w:snapToGrid w:val="0"/>
                    <w:spacing w:before="0" w:beforeAutospacing="0" w:after="0" w:afterAutospacing="0"/>
                    <w:ind w:left="0" w:right="0"/>
                    <w:jc w:val="center"/>
                    <w:rPr>
                      <w:rFonts w:hint="eastAsia" w:cs="Times New Roman"/>
                      <w:color w:val="auto"/>
                      <w:highlight w:val="none"/>
                      <w:lang w:val="en-US" w:eastAsia="zh-CN"/>
                    </w:rPr>
                  </w:pPr>
                </w:p>
              </w:tc>
            </w:tr>
            <w:tr w14:paraId="58222F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2" w:type="pct"/>
                  <w:gridSpan w:val="2"/>
                  <w:noWrap w:val="0"/>
                  <w:vAlign w:val="center"/>
                </w:tcPr>
                <w:p w14:paraId="01EAAC82">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DA001合计</w:t>
                  </w:r>
                </w:p>
              </w:tc>
              <w:tc>
                <w:tcPr>
                  <w:tcW w:w="536" w:type="pct"/>
                  <w:tcBorders>
                    <w:right w:val="single" w:color="000000" w:sz="8" w:space="0"/>
                  </w:tcBorders>
                  <w:noWrap w:val="0"/>
                  <w:vAlign w:val="center"/>
                </w:tcPr>
                <w:p w14:paraId="0C7CFE39">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2.048</w:t>
                  </w:r>
                </w:p>
              </w:tc>
              <w:tc>
                <w:tcPr>
                  <w:tcW w:w="608" w:type="pct"/>
                  <w:vMerge w:val="continue"/>
                  <w:tcBorders>
                    <w:left w:val="single" w:color="000000" w:sz="8" w:space="0"/>
                  </w:tcBorders>
                  <w:noWrap w:val="0"/>
                  <w:vAlign w:val="center"/>
                </w:tcPr>
                <w:p w14:paraId="1B5BB2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670" w:type="pct"/>
                  <w:vMerge w:val="continue"/>
                  <w:tcBorders>
                    <w:left w:val="single" w:color="auto" w:sz="4" w:space="0"/>
                  </w:tcBorders>
                  <w:noWrap w:val="0"/>
                  <w:vAlign w:val="center"/>
                </w:tcPr>
                <w:p w14:paraId="4D997E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467" w:type="pct"/>
                  <w:vMerge w:val="continue"/>
                  <w:noWrap w:val="0"/>
                  <w:vAlign w:val="center"/>
                </w:tcPr>
                <w:p w14:paraId="5D7481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499" w:type="pct"/>
                  <w:vMerge w:val="continue"/>
                  <w:noWrap w:val="0"/>
                  <w:vAlign w:val="center"/>
                </w:tcPr>
                <w:p w14:paraId="250C38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556" w:type="pct"/>
                  <w:vMerge w:val="continue"/>
                  <w:noWrap w:val="0"/>
                  <w:vAlign w:val="center"/>
                </w:tcPr>
                <w:p w14:paraId="1B9DEE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r>
            <w:tr w14:paraId="566116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noWrap w:val="0"/>
                  <w:vAlign w:val="center"/>
                </w:tcPr>
                <w:p w14:paraId="47C51E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2号车间胶印印刷废气</w:t>
                  </w:r>
                </w:p>
              </w:tc>
              <w:tc>
                <w:tcPr>
                  <w:tcW w:w="760" w:type="pct"/>
                  <w:noWrap w:val="0"/>
                  <w:vAlign w:val="center"/>
                </w:tcPr>
                <w:p w14:paraId="2BE320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eastAsia="宋体" w:cs="Times New Roman"/>
                      <w:color w:val="auto"/>
                      <w:highlight w:val="none"/>
                      <w:lang w:val="en-US" w:eastAsia="zh-CN"/>
                    </w:rPr>
                    <w:t>非甲烷总烃</w:t>
                  </w:r>
                </w:p>
              </w:tc>
              <w:tc>
                <w:tcPr>
                  <w:tcW w:w="536" w:type="pct"/>
                  <w:tcBorders>
                    <w:right w:val="single" w:color="000000" w:sz="8" w:space="0"/>
                  </w:tcBorders>
                  <w:noWrap w:val="0"/>
                  <w:vAlign w:val="center"/>
                </w:tcPr>
                <w:p w14:paraId="417D1F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1.26</w:t>
                  </w:r>
                </w:p>
              </w:tc>
              <w:tc>
                <w:tcPr>
                  <w:tcW w:w="608" w:type="pct"/>
                  <w:vMerge w:val="restart"/>
                  <w:tcBorders>
                    <w:left w:val="single" w:color="000000" w:sz="8" w:space="0"/>
                  </w:tcBorders>
                  <w:noWrap w:val="0"/>
                  <w:vAlign w:val="center"/>
                </w:tcPr>
                <w:p w14:paraId="272ED5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0.31</w:t>
                  </w:r>
                </w:p>
              </w:tc>
              <w:tc>
                <w:tcPr>
                  <w:tcW w:w="670" w:type="pct"/>
                  <w:vMerge w:val="restart"/>
                  <w:tcBorders>
                    <w:left w:val="single" w:color="auto" w:sz="4" w:space="0"/>
                  </w:tcBorders>
                  <w:noWrap w:val="0"/>
                  <w:vAlign w:val="center"/>
                </w:tcPr>
                <w:p w14:paraId="7B1C80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51.67</w:t>
                  </w:r>
                </w:p>
              </w:tc>
              <w:tc>
                <w:tcPr>
                  <w:tcW w:w="467" w:type="pct"/>
                  <w:vMerge w:val="restart"/>
                  <w:noWrap w:val="0"/>
                  <w:vAlign w:val="center"/>
                </w:tcPr>
                <w:p w14:paraId="3697CE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0.246</w:t>
                  </w:r>
                </w:p>
              </w:tc>
              <w:tc>
                <w:tcPr>
                  <w:tcW w:w="499" w:type="pct"/>
                  <w:vMerge w:val="restart"/>
                  <w:noWrap w:val="0"/>
                  <w:vAlign w:val="center"/>
                </w:tcPr>
                <w:p w14:paraId="558518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0.04</w:t>
                  </w:r>
                </w:p>
              </w:tc>
              <w:tc>
                <w:tcPr>
                  <w:tcW w:w="556" w:type="pct"/>
                  <w:vMerge w:val="restart"/>
                  <w:noWrap w:val="0"/>
                  <w:vAlign w:val="center"/>
                </w:tcPr>
                <w:p w14:paraId="003AC2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6.59</w:t>
                  </w:r>
                </w:p>
              </w:tc>
            </w:tr>
            <w:tr w14:paraId="49206B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noWrap w:val="0"/>
                  <w:vAlign w:val="center"/>
                </w:tcPr>
                <w:p w14:paraId="1A89CC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2号车间覆膜亮油废气</w:t>
                  </w:r>
                </w:p>
              </w:tc>
              <w:tc>
                <w:tcPr>
                  <w:tcW w:w="760" w:type="pct"/>
                  <w:noWrap w:val="0"/>
                  <w:vAlign w:val="center"/>
                </w:tcPr>
                <w:p w14:paraId="074647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auto"/>
                      <w:highlight w:val="none"/>
                      <w:lang w:val="en-US" w:eastAsia="zh-CN"/>
                    </w:rPr>
                    <w:t>非甲烷总烃</w:t>
                  </w:r>
                </w:p>
              </w:tc>
              <w:tc>
                <w:tcPr>
                  <w:tcW w:w="536" w:type="pct"/>
                  <w:tcBorders>
                    <w:right w:val="single" w:color="000000" w:sz="8" w:space="0"/>
                  </w:tcBorders>
                  <w:noWrap w:val="0"/>
                  <w:vAlign w:val="center"/>
                </w:tcPr>
                <w:p w14:paraId="1381F8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0.45</w:t>
                  </w:r>
                </w:p>
              </w:tc>
              <w:tc>
                <w:tcPr>
                  <w:tcW w:w="608" w:type="pct"/>
                  <w:vMerge w:val="continue"/>
                  <w:tcBorders>
                    <w:left w:val="single" w:color="000000" w:sz="8" w:space="0"/>
                  </w:tcBorders>
                  <w:noWrap w:val="0"/>
                  <w:vAlign w:val="center"/>
                </w:tcPr>
                <w:p w14:paraId="088BA7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670" w:type="pct"/>
                  <w:vMerge w:val="continue"/>
                  <w:tcBorders>
                    <w:left w:val="single" w:color="auto" w:sz="4" w:space="0"/>
                  </w:tcBorders>
                  <w:noWrap w:val="0"/>
                  <w:vAlign w:val="center"/>
                </w:tcPr>
                <w:p w14:paraId="7D8F45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467" w:type="pct"/>
                  <w:vMerge w:val="continue"/>
                  <w:noWrap w:val="0"/>
                  <w:vAlign w:val="center"/>
                </w:tcPr>
                <w:p w14:paraId="62FF70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499" w:type="pct"/>
                  <w:vMerge w:val="continue"/>
                  <w:noWrap w:val="0"/>
                  <w:vAlign w:val="center"/>
                </w:tcPr>
                <w:p w14:paraId="70A4B8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556" w:type="pct"/>
                  <w:vMerge w:val="continue"/>
                  <w:noWrap w:val="0"/>
                  <w:vAlign w:val="center"/>
                </w:tcPr>
                <w:p w14:paraId="12939F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r>
            <w:tr w14:paraId="2A2640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noWrap w:val="0"/>
                  <w:vAlign w:val="center"/>
                </w:tcPr>
                <w:p w14:paraId="4B623676">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2号车间胶装废气</w:t>
                  </w:r>
                </w:p>
              </w:tc>
              <w:tc>
                <w:tcPr>
                  <w:tcW w:w="760" w:type="pct"/>
                  <w:noWrap w:val="0"/>
                  <w:vAlign w:val="center"/>
                </w:tcPr>
                <w:p w14:paraId="6E1772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eastAsia="宋体" w:cs="Times New Roman"/>
                      <w:color w:val="auto"/>
                      <w:highlight w:val="none"/>
                      <w:lang w:val="en-US" w:eastAsia="zh-CN"/>
                    </w:rPr>
                    <w:t>非甲烷总烃</w:t>
                  </w:r>
                </w:p>
              </w:tc>
              <w:tc>
                <w:tcPr>
                  <w:tcW w:w="536" w:type="pct"/>
                  <w:tcBorders>
                    <w:right w:val="single" w:color="000000" w:sz="8" w:space="0"/>
                  </w:tcBorders>
                  <w:noWrap w:val="0"/>
                  <w:vAlign w:val="center"/>
                </w:tcPr>
                <w:p w14:paraId="1D194C31">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0.068</w:t>
                  </w:r>
                </w:p>
              </w:tc>
              <w:tc>
                <w:tcPr>
                  <w:tcW w:w="608" w:type="pct"/>
                  <w:vMerge w:val="continue"/>
                  <w:tcBorders>
                    <w:left w:val="single" w:color="000000" w:sz="8" w:space="0"/>
                  </w:tcBorders>
                  <w:noWrap w:val="0"/>
                  <w:vAlign w:val="center"/>
                </w:tcPr>
                <w:p w14:paraId="7B22EA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670" w:type="pct"/>
                  <w:vMerge w:val="continue"/>
                  <w:tcBorders>
                    <w:left w:val="single" w:color="auto" w:sz="4" w:space="0"/>
                  </w:tcBorders>
                  <w:noWrap w:val="0"/>
                  <w:vAlign w:val="center"/>
                </w:tcPr>
                <w:p w14:paraId="1BC6EC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467" w:type="pct"/>
                  <w:vMerge w:val="continue"/>
                  <w:noWrap w:val="0"/>
                  <w:vAlign w:val="center"/>
                </w:tcPr>
                <w:p w14:paraId="398058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499" w:type="pct"/>
                  <w:vMerge w:val="continue"/>
                  <w:noWrap w:val="0"/>
                  <w:vAlign w:val="center"/>
                </w:tcPr>
                <w:p w14:paraId="7388A9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556" w:type="pct"/>
                  <w:vMerge w:val="continue"/>
                  <w:noWrap w:val="0"/>
                  <w:vAlign w:val="center"/>
                </w:tcPr>
                <w:p w14:paraId="3B847A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r>
            <w:tr w14:paraId="26728E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noWrap w:val="0"/>
                  <w:vAlign w:val="center"/>
                </w:tcPr>
                <w:p w14:paraId="595E6006">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3号车间水性印刷废气</w:t>
                  </w:r>
                </w:p>
              </w:tc>
              <w:tc>
                <w:tcPr>
                  <w:tcW w:w="760" w:type="pct"/>
                  <w:noWrap w:val="0"/>
                  <w:vAlign w:val="center"/>
                </w:tcPr>
                <w:p w14:paraId="6F4275CD">
                  <w:pPr>
                    <w:keepNext w:val="0"/>
                    <w:keepLines w:val="0"/>
                    <w:suppressLineNumbers w:val="0"/>
                    <w:adjustRightInd w:val="0"/>
                    <w:snapToGrid w:val="0"/>
                    <w:spacing w:before="0" w:beforeAutospacing="0" w:after="0" w:afterAutospacing="0"/>
                    <w:ind w:left="0" w:right="0"/>
                    <w:jc w:val="center"/>
                    <w:rPr>
                      <w:rFonts w:hint="eastAsia" w:eastAsia="宋体" w:cs="Times New Roman"/>
                      <w:color w:val="auto"/>
                      <w:highlight w:val="none"/>
                      <w:lang w:val="en-US" w:eastAsia="zh-CN"/>
                    </w:rPr>
                  </w:pPr>
                  <w:r>
                    <w:rPr>
                      <w:rFonts w:hint="eastAsia" w:eastAsia="宋体" w:cs="Times New Roman"/>
                      <w:color w:val="auto"/>
                      <w:highlight w:val="none"/>
                      <w:lang w:val="en-US" w:eastAsia="zh-CN"/>
                    </w:rPr>
                    <w:t>非甲烷总烃</w:t>
                  </w:r>
                </w:p>
              </w:tc>
              <w:tc>
                <w:tcPr>
                  <w:tcW w:w="536" w:type="pct"/>
                  <w:tcBorders>
                    <w:right w:val="single" w:color="000000" w:sz="8" w:space="0"/>
                  </w:tcBorders>
                  <w:noWrap w:val="0"/>
                  <w:vAlign w:val="center"/>
                </w:tcPr>
                <w:p w14:paraId="047C3CE5">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0.15</w:t>
                  </w:r>
                </w:p>
              </w:tc>
              <w:tc>
                <w:tcPr>
                  <w:tcW w:w="608" w:type="pct"/>
                  <w:vMerge w:val="continue"/>
                  <w:tcBorders>
                    <w:left w:val="single" w:color="000000" w:sz="8" w:space="0"/>
                  </w:tcBorders>
                  <w:noWrap w:val="0"/>
                  <w:vAlign w:val="center"/>
                </w:tcPr>
                <w:p w14:paraId="1C3DA4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670" w:type="pct"/>
                  <w:vMerge w:val="continue"/>
                  <w:tcBorders>
                    <w:left w:val="single" w:color="auto" w:sz="4" w:space="0"/>
                  </w:tcBorders>
                  <w:noWrap w:val="0"/>
                  <w:vAlign w:val="center"/>
                </w:tcPr>
                <w:p w14:paraId="3620E8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467" w:type="pct"/>
                  <w:vMerge w:val="continue"/>
                  <w:noWrap w:val="0"/>
                  <w:vAlign w:val="center"/>
                </w:tcPr>
                <w:p w14:paraId="1D95C8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499" w:type="pct"/>
                  <w:vMerge w:val="continue"/>
                  <w:noWrap w:val="0"/>
                  <w:vAlign w:val="center"/>
                </w:tcPr>
                <w:p w14:paraId="73A802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556" w:type="pct"/>
                  <w:vMerge w:val="continue"/>
                  <w:noWrap w:val="0"/>
                  <w:vAlign w:val="center"/>
                </w:tcPr>
                <w:p w14:paraId="1A1DFE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r>
            <w:tr w14:paraId="1EA812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noWrap w:val="0"/>
                  <w:vAlign w:val="center"/>
                </w:tcPr>
                <w:p w14:paraId="3BD26C15">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3号车间胶装废气</w:t>
                  </w:r>
                </w:p>
              </w:tc>
              <w:tc>
                <w:tcPr>
                  <w:tcW w:w="760" w:type="pct"/>
                  <w:noWrap w:val="0"/>
                  <w:vAlign w:val="center"/>
                </w:tcPr>
                <w:p w14:paraId="030F88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eastAsia="宋体" w:cs="Times New Roman"/>
                      <w:color w:val="auto"/>
                      <w:highlight w:val="none"/>
                      <w:lang w:val="en-US" w:eastAsia="zh-CN"/>
                    </w:rPr>
                    <w:t>非甲烷总烃</w:t>
                  </w:r>
                </w:p>
              </w:tc>
              <w:tc>
                <w:tcPr>
                  <w:tcW w:w="536" w:type="pct"/>
                  <w:tcBorders>
                    <w:right w:val="single" w:color="000000" w:sz="8" w:space="0"/>
                  </w:tcBorders>
                  <w:noWrap w:val="0"/>
                  <w:vAlign w:val="center"/>
                </w:tcPr>
                <w:p w14:paraId="71E48566">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0.004</w:t>
                  </w:r>
                </w:p>
              </w:tc>
              <w:tc>
                <w:tcPr>
                  <w:tcW w:w="608" w:type="pct"/>
                  <w:vMerge w:val="continue"/>
                  <w:tcBorders>
                    <w:left w:val="single" w:color="000000" w:sz="8" w:space="0"/>
                  </w:tcBorders>
                  <w:noWrap w:val="0"/>
                  <w:vAlign w:val="center"/>
                </w:tcPr>
                <w:p w14:paraId="42C8A5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670" w:type="pct"/>
                  <w:vMerge w:val="continue"/>
                  <w:tcBorders>
                    <w:left w:val="single" w:color="auto" w:sz="4" w:space="0"/>
                  </w:tcBorders>
                  <w:noWrap w:val="0"/>
                  <w:vAlign w:val="center"/>
                </w:tcPr>
                <w:p w14:paraId="420627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467" w:type="pct"/>
                  <w:vMerge w:val="continue"/>
                  <w:noWrap w:val="0"/>
                  <w:vAlign w:val="center"/>
                </w:tcPr>
                <w:p w14:paraId="2A2232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499" w:type="pct"/>
                  <w:vMerge w:val="continue"/>
                  <w:noWrap w:val="0"/>
                  <w:vAlign w:val="center"/>
                </w:tcPr>
                <w:p w14:paraId="49A513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556" w:type="pct"/>
                  <w:vMerge w:val="continue"/>
                  <w:noWrap w:val="0"/>
                  <w:vAlign w:val="center"/>
                </w:tcPr>
                <w:p w14:paraId="59A1E7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r>
            <w:tr w14:paraId="3A44F6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2" w:type="pct"/>
                  <w:gridSpan w:val="2"/>
                  <w:noWrap w:val="0"/>
                  <w:vAlign w:val="center"/>
                </w:tcPr>
                <w:p w14:paraId="614AC36E">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DA002合计</w:t>
                  </w:r>
                </w:p>
              </w:tc>
              <w:tc>
                <w:tcPr>
                  <w:tcW w:w="536" w:type="pct"/>
                  <w:tcBorders>
                    <w:right w:val="single" w:color="000000" w:sz="8" w:space="0"/>
                  </w:tcBorders>
                  <w:noWrap w:val="0"/>
                  <w:vAlign w:val="center"/>
                </w:tcPr>
                <w:p w14:paraId="4E6165C9">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1.932</w:t>
                  </w:r>
                </w:p>
              </w:tc>
              <w:tc>
                <w:tcPr>
                  <w:tcW w:w="608" w:type="pct"/>
                  <w:vMerge w:val="continue"/>
                  <w:tcBorders>
                    <w:left w:val="single" w:color="000000" w:sz="8" w:space="0"/>
                  </w:tcBorders>
                  <w:noWrap w:val="0"/>
                  <w:vAlign w:val="center"/>
                </w:tcPr>
                <w:p w14:paraId="1203F8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670" w:type="pct"/>
                  <w:vMerge w:val="continue"/>
                  <w:tcBorders>
                    <w:left w:val="single" w:color="auto" w:sz="4" w:space="0"/>
                  </w:tcBorders>
                  <w:noWrap w:val="0"/>
                  <w:vAlign w:val="center"/>
                </w:tcPr>
                <w:p w14:paraId="503C9C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467" w:type="pct"/>
                  <w:vMerge w:val="continue"/>
                  <w:noWrap w:val="0"/>
                  <w:vAlign w:val="center"/>
                </w:tcPr>
                <w:p w14:paraId="75AB3F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499" w:type="pct"/>
                  <w:vMerge w:val="continue"/>
                  <w:noWrap w:val="0"/>
                  <w:vAlign w:val="center"/>
                </w:tcPr>
                <w:p w14:paraId="58B242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c>
                <w:tcPr>
                  <w:tcW w:w="556" w:type="pct"/>
                  <w:vMerge w:val="continue"/>
                  <w:noWrap w:val="0"/>
                  <w:vAlign w:val="center"/>
                </w:tcPr>
                <w:p w14:paraId="3F2751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r>
            <w:tr w14:paraId="71BF78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1" w:type="pct"/>
                  <w:noWrap w:val="0"/>
                  <w:vAlign w:val="center"/>
                </w:tcPr>
                <w:p w14:paraId="6E1D487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4号车间胶印印刷废气</w:t>
                  </w:r>
                </w:p>
              </w:tc>
              <w:tc>
                <w:tcPr>
                  <w:tcW w:w="760" w:type="pct"/>
                  <w:noWrap w:val="0"/>
                  <w:vAlign w:val="center"/>
                </w:tcPr>
                <w:p w14:paraId="577AFF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eastAsia="宋体" w:cs="Times New Roman"/>
                      <w:color w:val="000000" w:themeColor="text1"/>
                      <w:highlight w:val="none"/>
                      <w:lang w:val="en-US" w:eastAsia="zh-CN"/>
                      <w14:textFill>
                        <w14:solidFill>
                          <w14:schemeClr w14:val="tx1"/>
                        </w14:solidFill>
                      </w14:textFill>
                    </w:rPr>
                    <w:t>非甲烷总烃</w:t>
                  </w:r>
                </w:p>
              </w:tc>
              <w:tc>
                <w:tcPr>
                  <w:tcW w:w="536" w:type="pct"/>
                  <w:tcBorders>
                    <w:right w:val="single" w:color="000000" w:sz="8" w:space="0"/>
                  </w:tcBorders>
                  <w:noWrap w:val="0"/>
                  <w:vAlign w:val="center"/>
                </w:tcPr>
                <w:p w14:paraId="3CF7F7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0.09</w:t>
                  </w:r>
                </w:p>
              </w:tc>
              <w:tc>
                <w:tcPr>
                  <w:tcW w:w="608" w:type="pct"/>
                  <w:vMerge w:val="restart"/>
                  <w:tcBorders>
                    <w:left w:val="single" w:color="000000" w:sz="8" w:space="0"/>
                  </w:tcBorders>
                  <w:noWrap w:val="0"/>
                  <w:vAlign w:val="center"/>
                </w:tcPr>
                <w:p w14:paraId="63060F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0.014</w:t>
                  </w:r>
                </w:p>
              </w:tc>
              <w:tc>
                <w:tcPr>
                  <w:tcW w:w="670" w:type="pct"/>
                  <w:vMerge w:val="restart"/>
                  <w:tcBorders>
                    <w:left w:val="single" w:color="auto" w:sz="4" w:space="0"/>
                  </w:tcBorders>
                  <w:noWrap w:val="0"/>
                  <w:vAlign w:val="center"/>
                </w:tcPr>
                <w:p w14:paraId="40735B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2.33</w:t>
                  </w:r>
                </w:p>
              </w:tc>
              <w:tc>
                <w:tcPr>
                  <w:tcW w:w="467" w:type="pct"/>
                  <w:vMerge w:val="restart"/>
                  <w:noWrap w:val="0"/>
                  <w:vAlign w:val="center"/>
                </w:tcPr>
                <w:p w14:paraId="536FEE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0.011</w:t>
                  </w:r>
                </w:p>
              </w:tc>
              <w:tc>
                <w:tcPr>
                  <w:tcW w:w="499" w:type="pct"/>
                  <w:vMerge w:val="restart"/>
                  <w:noWrap w:val="0"/>
                  <w:vAlign w:val="center"/>
                </w:tcPr>
                <w:p w14:paraId="29A7F4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0.0017</w:t>
                  </w:r>
                </w:p>
              </w:tc>
              <w:tc>
                <w:tcPr>
                  <w:tcW w:w="556" w:type="pct"/>
                  <w:vMerge w:val="restart"/>
                  <w:noWrap w:val="0"/>
                  <w:vAlign w:val="center"/>
                </w:tcPr>
                <w:p w14:paraId="44D133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eastAsia="宋体" w:cs="Times New Roman"/>
                      <w:color w:val="000000" w:themeColor="text1"/>
                      <w:kern w:val="2"/>
                      <w:sz w:val="21"/>
                      <w:szCs w:val="24"/>
                      <w:highlight w:val="none"/>
                      <w:lang w:val="en-US" w:eastAsia="zh-CN" w:bidi="ar-SA"/>
                      <w14:textFill>
                        <w14:solidFill>
                          <w14:schemeClr w14:val="tx1"/>
                        </w14:solidFill>
                      </w14:textFill>
                    </w:rPr>
                    <w:t>0.28</w:t>
                  </w:r>
                </w:p>
              </w:tc>
            </w:tr>
            <w:tr w14:paraId="038AFC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2" w:type="pct"/>
                  <w:gridSpan w:val="2"/>
                  <w:noWrap w:val="0"/>
                  <w:vAlign w:val="center"/>
                </w:tcPr>
                <w:p w14:paraId="146E39E9">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DA003合计</w:t>
                  </w:r>
                </w:p>
              </w:tc>
              <w:tc>
                <w:tcPr>
                  <w:tcW w:w="536" w:type="pct"/>
                  <w:tcBorders>
                    <w:right w:val="single" w:color="000000" w:sz="8" w:space="0"/>
                  </w:tcBorders>
                  <w:noWrap w:val="0"/>
                  <w:vAlign w:val="center"/>
                </w:tcPr>
                <w:p w14:paraId="610A362B">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0.09</w:t>
                  </w:r>
                </w:p>
              </w:tc>
              <w:tc>
                <w:tcPr>
                  <w:tcW w:w="608" w:type="pct"/>
                  <w:vMerge w:val="continue"/>
                  <w:tcBorders>
                    <w:left w:val="single" w:color="000000" w:sz="8" w:space="0"/>
                  </w:tcBorders>
                  <w:noWrap w:val="0"/>
                  <w:vAlign w:val="center"/>
                </w:tcPr>
                <w:p w14:paraId="5CFD6D8E">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c>
                <w:tcPr>
                  <w:tcW w:w="670" w:type="pct"/>
                  <w:vMerge w:val="continue"/>
                  <w:tcBorders>
                    <w:left w:val="single" w:color="auto" w:sz="4" w:space="0"/>
                  </w:tcBorders>
                  <w:noWrap w:val="0"/>
                  <w:vAlign w:val="center"/>
                </w:tcPr>
                <w:p w14:paraId="150800C2">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kern w:val="2"/>
                      <w:sz w:val="21"/>
                      <w:szCs w:val="24"/>
                      <w:highlight w:val="none"/>
                      <w:lang w:val="en-US" w:eastAsia="zh-CN" w:bidi="ar-SA"/>
                      <w14:textFill>
                        <w14:solidFill>
                          <w14:schemeClr w14:val="tx1"/>
                        </w14:solidFill>
                      </w14:textFill>
                    </w:rPr>
                  </w:pPr>
                </w:p>
              </w:tc>
              <w:tc>
                <w:tcPr>
                  <w:tcW w:w="467" w:type="pct"/>
                  <w:vMerge w:val="continue"/>
                  <w:noWrap w:val="0"/>
                  <w:vAlign w:val="center"/>
                </w:tcPr>
                <w:p w14:paraId="603BC6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499" w:type="pct"/>
                  <w:vMerge w:val="continue"/>
                  <w:noWrap w:val="0"/>
                  <w:vAlign w:val="center"/>
                </w:tcPr>
                <w:p w14:paraId="015A9E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color w:val="000000" w:themeColor="text1"/>
                      <w:sz w:val="21"/>
                      <w:szCs w:val="21"/>
                      <w:lang w:val="en-US" w:eastAsia="zh-CN"/>
                      <w14:textFill>
                        <w14:solidFill>
                          <w14:schemeClr w14:val="tx1"/>
                        </w14:solidFill>
                      </w14:textFill>
                    </w:rPr>
                  </w:pPr>
                </w:p>
              </w:tc>
              <w:tc>
                <w:tcPr>
                  <w:tcW w:w="556" w:type="pct"/>
                  <w:vMerge w:val="continue"/>
                  <w:noWrap w:val="0"/>
                  <w:vAlign w:val="center"/>
                </w:tcPr>
                <w:p w14:paraId="2B2AE2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color w:val="000000" w:themeColor="text1"/>
                      <w:sz w:val="21"/>
                      <w:szCs w:val="21"/>
                      <w:lang w:val="en-US" w:eastAsia="zh-CN"/>
                      <w14:textFill>
                        <w14:solidFill>
                          <w14:schemeClr w14:val="tx1"/>
                        </w14:solidFill>
                      </w14:textFill>
                    </w:rPr>
                  </w:pPr>
                </w:p>
              </w:tc>
            </w:tr>
          </w:tbl>
          <w:p w14:paraId="456A755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eastAsia" w:ascii="Times New Roman" w:hAnsi="Times New Roman" w:cs="Times New Roman"/>
                <w:bCs/>
                <w:color w:val="auto"/>
                <w:sz w:val="24"/>
              </w:rPr>
              <w:t>（</w:t>
            </w:r>
            <w:r>
              <w:rPr>
                <w:rFonts w:hint="eastAsia" w:ascii="Times New Roman" w:hAnsi="Times New Roman" w:cs="Times New Roman"/>
                <w:bCs/>
                <w:color w:val="auto"/>
                <w:sz w:val="24"/>
                <w:lang w:val="en-US" w:eastAsia="zh-CN"/>
              </w:rPr>
              <w:t>3</w:t>
            </w:r>
            <w:r>
              <w:rPr>
                <w:rFonts w:hint="eastAsia" w:ascii="Times New Roman" w:hAnsi="Times New Roman" w:cs="Times New Roman"/>
                <w:bCs/>
                <w:color w:val="auto"/>
                <w:sz w:val="24"/>
              </w:rPr>
              <w:t>）</w:t>
            </w:r>
            <w:r>
              <w:rPr>
                <w:rFonts w:hint="default" w:ascii="Times New Roman" w:hAnsi="Times New Roman" w:cs="Times New Roman"/>
                <w:bCs/>
                <w:color w:val="auto"/>
                <w:sz w:val="24"/>
              </w:rPr>
              <w:t>排放口基本情况</w:t>
            </w:r>
          </w:p>
          <w:p w14:paraId="0E3D5CA5">
            <w:pPr>
              <w:keepNext w:val="0"/>
              <w:keepLines w:val="0"/>
              <w:suppressLineNumbers w:val="0"/>
              <w:tabs>
                <w:tab w:val="left" w:pos="2539"/>
              </w:tabs>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排放口基本情况见表4</w:t>
            </w:r>
            <w:r>
              <w:rPr>
                <w:rFonts w:hint="eastAsia" w:ascii="Times New Roman" w:hAnsi="Times New Roman" w:cs="Times New Roman"/>
                <w:bCs/>
                <w:color w:val="auto"/>
                <w:sz w:val="24"/>
              </w:rPr>
              <w:t>-</w:t>
            </w:r>
            <w:r>
              <w:rPr>
                <w:rFonts w:hint="eastAsia" w:cs="Times New Roman"/>
                <w:bCs/>
                <w:color w:val="auto"/>
                <w:sz w:val="24"/>
                <w:lang w:val="en-US" w:eastAsia="zh-CN"/>
              </w:rPr>
              <w:t>3</w:t>
            </w:r>
            <w:r>
              <w:rPr>
                <w:rFonts w:hint="default" w:ascii="Times New Roman" w:hAnsi="Times New Roman" w:cs="Times New Roman"/>
                <w:bCs/>
                <w:color w:val="auto"/>
                <w:sz w:val="24"/>
              </w:rPr>
              <w:t>。</w:t>
            </w:r>
          </w:p>
          <w:p w14:paraId="31E17828">
            <w:pPr>
              <w:keepNext w:val="0"/>
              <w:keepLines w:val="0"/>
              <w:suppressLineNumbers w:val="0"/>
              <w:tabs>
                <w:tab w:val="left" w:pos="2539"/>
              </w:tabs>
              <w:adjustRightInd w:val="0"/>
              <w:snapToGrid w:val="0"/>
              <w:spacing w:before="0" w:beforeAutospacing="0" w:after="0" w:afterAutospacing="0"/>
              <w:ind w:left="0" w:right="0"/>
              <w:jc w:val="center"/>
              <w:rPr>
                <w:rFonts w:hint="default" w:ascii="Times New Roman" w:hAnsi="Times New Roman" w:cs="Times New Roman"/>
                <w:b/>
                <w:color w:val="auto"/>
                <w:sz w:val="24"/>
              </w:rPr>
            </w:pPr>
            <w:r>
              <w:rPr>
                <w:rFonts w:hint="default" w:ascii="Times New Roman" w:hAnsi="Times New Roman" w:cs="Times New Roman"/>
                <w:b/>
                <w:color w:val="auto"/>
                <w:sz w:val="24"/>
              </w:rPr>
              <w:t>表4-</w:t>
            </w:r>
            <w:r>
              <w:rPr>
                <w:rFonts w:hint="eastAsia" w:cs="Times New Roman"/>
                <w:b/>
                <w:color w:val="auto"/>
                <w:sz w:val="24"/>
                <w:lang w:val="en-US" w:eastAsia="zh-CN"/>
              </w:rPr>
              <w:t>3</w:t>
            </w:r>
            <w:r>
              <w:rPr>
                <w:rFonts w:hint="default" w:ascii="Times New Roman" w:hAnsi="Times New Roman" w:cs="Times New Roman"/>
                <w:b/>
                <w:color w:val="auto"/>
                <w:sz w:val="24"/>
              </w:rPr>
              <w:t xml:space="preserve">  排放口基本情况表</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7"/>
              <w:gridCol w:w="1711"/>
              <w:gridCol w:w="1513"/>
              <w:gridCol w:w="449"/>
              <w:gridCol w:w="586"/>
              <w:gridCol w:w="586"/>
              <w:gridCol w:w="811"/>
              <w:gridCol w:w="1940"/>
            </w:tblGrid>
            <w:tr w14:paraId="6A14A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888" w:hRule="atLeast"/>
                <w:jc w:val="center"/>
              </w:trPr>
              <w:tc>
                <w:tcPr>
                  <w:tcW w:w="496" w:type="pct"/>
                  <w:shd w:val="clear" w:color="auto" w:fill="auto"/>
                  <w:noWrap w:val="0"/>
                  <w:vAlign w:val="center"/>
                </w:tcPr>
                <w:p w14:paraId="03913324">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编号</w:t>
                  </w:r>
                </w:p>
              </w:tc>
              <w:tc>
                <w:tcPr>
                  <w:tcW w:w="1014" w:type="pct"/>
                  <w:shd w:val="clear" w:color="auto" w:fill="FFFFFF"/>
                  <w:noWrap w:val="0"/>
                  <w:vAlign w:val="center"/>
                </w:tcPr>
                <w:p w14:paraId="53E3F4BE">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名称</w:t>
                  </w:r>
                </w:p>
              </w:tc>
              <w:tc>
                <w:tcPr>
                  <w:tcW w:w="897" w:type="pct"/>
                  <w:shd w:val="clear" w:color="auto" w:fill="FFFFFF"/>
                  <w:noWrap w:val="0"/>
                  <w:vAlign w:val="center"/>
                </w:tcPr>
                <w:p w14:paraId="1C3AAA67">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排气筒底部中心坐标/°</w:t>
                  </w:r>
                </w:p>
              </w:tc>
              <w:tc>
                <w:tcPr>
                  <w:tcW w:w="266" w:type="pct"/>
                  <w:noWrap w:val="0"/>
                  <w:vAlign w:val="center"/>
                </w:tcPr>
                <w:p w14:paraId="039D5E5D">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排气筒高度/m</w:t>
                  </w:r>
                </w:p>
              </w:tc>
              <w:tc>
                <w:tcPr>
                  <w:tcW w:w="347" w:type="pct"/>
                  <w:noWrap w:val="0"/>
                  <w:vAlign w:val="center"/>
                </w:tcPr>
                <w:p w14:paraId="594E3DFA">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排气筒出口内径/m</w:t>
                  </w:r>
                </w:p>
              </w:tc>
              <w:tc>
                <w:tcPr>
                  <w:tcW w:w="347" w:type="pct"/>
                  <w:noWrap w:val="0"/>
                  <w:vAlign w:val="center"/>
                </w:tcPr>
                <w:p w14:paraId="5F86F0E5">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烟气温度/℃</w:t>
                  </w:r>
                </w:p>
              </w:tc>
              <w:tc>
                <w:tcPr>
                  <w:tcW w:w="480" w:type="pct"/>
                  <w:noWrap w:val="0"/>
                  <w:vAlign w:val="center"/>
                </w:tcPr>
                <w:p w14:paraId="0FE0ECE0">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排放口类型</w:t>
                  </w:r>
                </w:p>
              </w:tc>
              <w:tc>
                <w:tcPr>
                  <w:tcW w:w="1150" w:type="pct"/>
                  <w:noWrap w:val="0"/>
                  <w:vAlign w:val="center"/>
                </w:tcPr>
                <w:p w14:paraId="58ED2B34">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排放标准</w:t>
                  </w:r>
                </w:p>
              </w:tc>
            </w:tr>
            <w:tr w14:paraId="7A06A1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96" w:type="pct"/>
                  <w:shd w:val="clear" w:color="auto" w:fill="auto"/>
                  <w:noWrap w:val="0"/>
                  <w:vAlign w:val="center"/>
                </w:tcPr>
                <w:p w14:paraId="1E629594">
                  <w:pPr>
                    <w:pStyle w:val="6"/>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rPr>
                    <w:t>DA00</w:t>
                  </w:r>
                  <w:r>
                    <w:rPr>
                      <w:rFonts w:hint="eastAsia" w:cs="Times New Roman"/>
                      <w:color w:val="auto"/>
                      <w:szCs w:val="21"/>
                      <w:lang w:val="en-US" w:eastAsia="zh-CN"/>
                    </w:rPr>
                    <w:t>1</w:t>
                  </w:r>
                </w:p>
              </w:tc>
              <w:tc>
                <w:tcPr>
                  <w:tcW w:w="1014" w:type="pct"/>
                  <w:shd w:val="clear" w:color="auto" w:fill="FFFFFF"/>
                  <w:noWrap w:val="0"/>
                  <w:vAlign w:val="center"/>
                </w:tcPr>
                <w:p w14:paraId="22838388">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eastAsia" w:cs="Times New Roman"/>
                      <w:color w:val="auto"/>
                      <w:szCs w:val="21"/>
                      <w:lang w:val="en-US" w:eastAsia="zh-CN"/>
                    </w:rPr>
                    <w:t>1号车间废气</w:t>
                  </w:r>
                  <w:r>
                    <w:rPr>
                      <w:rFonts w:hint="default" w:ascii="Times New Roman" w:hAnsi="Times New Roman" w:cs="Times New Roman"/>
                      <w:color w:val="auto"/>
                      <w:szCs w:val="21"/>
                    </w:rPr>
                    <w:t>排气筒</w:t>
                  </w:r>
                </w:p>
              </w:tc>
              <w:tc>
                <w:tcPr>
                  <w:tcW w:w="897" w:type="pct"/>
                  <w:shd w:val="clear" w:color="auto" w:fill="FFFFFF"/>
                  <w:noWrap w:val="0"/>
                  <w:vAlign w:val="center"/>
                </w:tcPr>
                <w:p w14:paraId="5F688548">
                  <w:pPr>
                    <w:pStyle w:val="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108.84141594,34.30813200</w:t>
                  </w:r>
                </w:p>
              </w:tc>
              <w:tc>
                <w:tcPr>
                  <w:tcW w:w="266" w:type="pct"/>
                  <w:noWrap w:val="0"/>
                  <w:vAlign w:val="center"/>
                </w:tcPr>
                <w:p w14:paraId="4E7C28E2">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15</w:t>
                  </w:r>
                </w:p>
              </w:tc>
              <w:tc>
                <w:tcPr>
                  <w:tcW w:w="347" w:type="pct"/>
                  <w:noWrap w:val="0"/>
                  <w:vAlign w:val="center"/>
                </w:tcPr>
                <w:p w14:paraId="5306C055">
                  <w:pPr>
                    <w:pStyle w:val="6"/>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rPr>
                    <w:t>0.</w:t>
                  </w:r>
                  <w:r>
                    <w:rPr>
                      <w:rFonts w:hint="eastAsia" w:cs="Times New Roman"/>
                      <w:color w:val="auto"/>
                      <w:szCs w:val="21"/>
                      <w:lang w:val="en-US" w:eastAsia="zh-CN"/>
                    </w:rPr>
                    <w:t>4</w:t>
                  </w:r>
                </w:p>
              </w:tc>
              <w:tc>
                <w:tcPr>
                  <w:tcW w:w="347" w:type="pct"/>
                  <w:noWrap w:val="0"/>
                  <w:vAlign w:val="center"/>
                </w:tcPr>
                <w:p w14:paraId="2340271F">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r>
                    <w:rPr>
                      <w:rFonts w:hint="eastAsia" w:ascii="Times New Roman" w:hAnsi="Times New Roman" w:cs="Times New Roman"/>
                      <w:color w:val="auto"/>
                      <w:szCs w:val="21"/>
                    </w:rPr>
                    <w:t>5</w:t>
                  </w:r>
                </w:p>
              </w:tc>
              <w:tc>
                <w:tcPr>
                  <w:tcW w:w="480" w:type="pct"/>
                  <w:noWrap w:val="0"/>
                  <w:vAlign w:val="center"/>
                </w:tcPr>
                <w:p w14:paraId="56E12798">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eastAsia" w:cs="Times New Roman"/>
                      <w:color w:val="auto"/>
                      <w:szCs w:val="21"/>
                      <w:lang w:val="en-US" w:eastAsia="zh-CN"/>
                    </w:rPr>
                    <w:t>主要</w:t>
                  </w:r>
                  <w:r>
                    <w:rPr>
                      <w:rFonts w:hint="default" w:ascii="Times New Roman" w:hAnsi="Times New Roman" w:cs="Times New Roman"/>
                      <w:color w:val="auto"/>
                      <w:szCs w:val="21"/>
                    </w:rPr>
                    <w:t>排放口</w:t>
                  </w:r>
                </w:p>
              </w:tc>
              <w:tc>
                <w:tcPr>
                  <w:tcW w:w="1150" w:type="pct"/>
                  <w:vMerge w:val="restart"/>
                  <w:noWrap w:val="0"/>
                  <w:vAlign w:val="center"/>
                </w:tcPr>
                <w:p w14:paraId="75890483">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default" w:ascii="Times New Roman" w:hAnsi="Times New Roman" w:eastAsia="宋体" w:cs="Times New Roman"/>
                      <w:color w:val="auto"/>
                      <w:szCs w:val="21"/>
                      <w:lang w:val="en-US" w:eastAsia="zh-CN"/>
                    </w:rPr>
                    <w:t>《挥发性有机物排放控制标准》（DB61/T1061-2017）中表1</w:t>
                  </w:r>
                  <w:r>
                    <w:rPr>
                      <w:rFonts w:hint="eastAsia" w:cs="Times New Roman"/>
                      <w:color w:val="auto"/>
                      <w:szCs w:val="21"/>
                      <w:lang w:val="en-US" w:eastAsia="zh-CN"/>
                    </w:rPr>
                    <w:t>印刷排放限值</w:t>
                  </w:r>
                </w:p>
              </w:tc>
            </w:tr>
            <w:tr w14:paraId="24079D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496" w:type="pct"/>
                  <w:shd w:val="clear" w:color="auto" w:fill="auto"/>
                  <w:noWrap w:val="0"/>
                  <w:vAlign w:val="center"/>
                </w:tcPr>
                <w:p w14:paraId="71F5641C">
                  <w:pPr>
                    <w:pStyle w:val="6"/>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rPr>
                    <w:t>DA00</w:t>
                  </w:r>
                  <w:r>
                    <w:rPr>
                      <w:rFonts w:hint="eastAsia" w:cs="Times New Roman"/>
                      <w:color w:val="auto"/>
                      <w:szCs w:val="21"/>
                      <w:lang w:val="en-US" w:eastAsia="zh-CN"/>
                    </w:rPr>
                    <w:t>2</w:t>
                  </w:r>
                </w:p>
              </w:tc>
              <w:tc>
                <w:tcPr>
                  <w:tcW w:w="1014" w:type="pct"/>
                  <w:shd w:val="clear" w:color="auto" w:fill="FFFFFF"/>
                  <w:noWrap w:val="0"/>
                  <w:vAlign w:val="center"/>
                </w:tcPr>
                <w:p w14:paraId="766856AD">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2号、3号车间废气排气筒</w:t>
                  </w:r>
                </w:p>
              </w:tc>
              <w:tc>
                <w:tcPr>
                  <w:tcW w:w="897" w:type="pct"/>
                  <w:shd w:val="clear" w:color="auto" w:fill="FFFFFF"/>
                  <w:noWrap w:val="0"/>
                  <w:vAlign w:val="center"/>
                </w:tcPr>
                <w:p w14:paraId="726167E6">
                  <w:pPr>
                    <w:pStyle w:val="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108.84055763,34.30900714</w:t>
                  </w:r>
                </w:p>
              </w:tc>
              <w:tc>
                <w:tcPr>
                  <w:tcW w:w="266" w:type="pct"/>
                  <w:noWrap w:val="0"/>
                  <w:vAlign w:val="center"/>
                </w:tcPr>
                <w:p w14:paraId="7CFE1BFA">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eastAsia" w:ascii="Times New Roman" w:hAnsi="Times New Roman" w:cs="Times New Roman"/>
                      <w:color w:val="auto"/>
                      <w:szCs w:val="21"/>
                    </w:rPr>
                    <w:t>15</w:t>
                  </w:r>
                </w:p>
              </w:tc>
              <w:tc>
                <w:tcPr>
                  <w:tcW w:w="347" w:type="pct"/>
                  <w:noWrap w:val="0"/>
                  <w:vAlign w:val="center"/>
                </w:tcPr>
                <w:p w14:paraId="0F756246">
                  <w:pPr>
                    <w:pStyle w:val="6"/>
                    <w:keepNext w:val="0"/>
                    <w:keepLines w:val="0"/>
                    <w:suppressLineNumbers w:val="0"/>
                    <w:spacing w:before="0" w:beforeAutospacing="0" w:after="0" w:afterAutospacing="0"/>
                    <w:ind w:left="0" w:right="0" w:firstLine="0" w:firstLineChars="0"/>
                    <w:jc w:val="center"/>
                    <w:rPr>
                      <w:rFonts w:hint="eastAsia" w:ascii="Times New Roman" w:hAnsi="Times New Roman" w:cs="Times New Roman"/>
                      <w:color w:val="auto"/>
                      <w:szCs w:val="21"/>
                    </w:rPr>
                  </w:pPr>
                  <w:r>
                    <w:rPr>
                      <w:rFonts w:hint="default" w:ascii="Times New Roman" w:hAnsi="Times New Roman" w:cs="Times New Roman"/>
                      <w:color w:val="auto"/>
                      <w:szCs w:val="21"/>
                    </w:rPr>
                    <w:t>0.</w:t>
                  </w:r>
                  <w:r>
                    <w:rPr>
                      <w:rFonts w:hint="eastAsia" w:ascii="Times New Roman" w:hAnsi="Times New Roman" w:cs="Times New Roman"/>
                      <w:color w:val="auto"/>
                      <w:szCs w:val="21"/>
                    </w:rPr>
                    <w:t>4</w:t>
                  </w:r>
                </w:p>
              </w:tc>
              <w:tc>
                <w:tcPr>
                  <w:tcW w:w="347" w:type="pct"/>
                  <w:noWrap w:val="0"/>
                  <w:vAlign w:val="center"/>
                </w:tcPr>
                <w:p w14:paraId="70C25081">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eastAsia" w:ascii="Times New Roman" w:hAnsi="Times New Roman" w:cs="Times New Roman"/>
                      <w:color w:val="auto"/>
                      <w:szCs w:val="21"/>
                    </w:rPr>
                    <w:t>25</w:t>
                  </w:r>
                </w:p>
              </w:tc>
              <w:tc>
                <w:tcPr>
                  <w:tcW w:w="480" w:type="pct"/>
                  <w:noWrap w:val="0"/>
                  <w:vAlign w:val="center"/>
                </w:tcPr>
                <w:p w14:paraId="3C2544F0">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eastAsia" w:cs="Times New Roman"/>
                      <w:color w:val="auto"/>
                      <w:szCs w:val="21"/>
                      <w:lang w:val="en-US" w:eastAsia="zh-CN"/>
                    </w:rPr>
                    <w:t>主要</w:t>
                  </w:r>
                  <w:r>
                    <w:rPr>
                      <w:rFonts w:hint="default" w:ascii="Times New Roman" w:hAnsi="Times New Roman" w:cs="Times New Roman"/>
                      <w:color w:val="auto"/>
                      <w:szCs w:val="21"/>
                    </w:rPr>
                    <w:t>排放口</w:t>
                  </w:r>
                </w:p>
              </w:tc>
              <w:tc>
                <w:tcPr>
                  <w:tcW w:w="1150" w:type="pct"/>
                  <w:vMerge w:val="continue"/>
                  <w:noWrap w:val="0"/>
                  <w:vAlign w:val="center"/>
                </w:tcPr>
                <w:p w14:paraId="36E5384B">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p>
              </w:tc>
            </w:tr>
            <w:tr w14:paraId="613F0B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496" w:type="pct"/>
                  <w:shd w:val="clear" w:color="auto" w:fill="auto"/>
                  <w:noWrap w:val="0"/>
                  <w:vAlign w:val="center"/>
                </w:tcPr>
                <w:p w14:paraId="527F6F46">
                  <w:pPr>
                    <w:pStyle w:val="6"/>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rPr>
                    <w:t>DA00</w:t>
                  </w:r>
                  <w:r>
                    <w:rPr>
                      <w:rFonts w:hint="eastAsia" w:cs="Times New Roman"/>
                      <w:color w:val="auto"/>
                      <w:szCs w:val="21"/>
                      <w:lang w:val="en-US" w:eastAsia="zh-CN"/>
                    </w:rPr>
                    <w:t>3</w:t>
                  </w:r>
                </w:p>
              </w:tc>
              <w:tc>
                <w:tcPr>
                  <w:tcW w:w="1014" w:type="pct"/>
                  <w:shd w:val="clear" w:color="auto" w:fill="FFFFFF"/>
                  <w:noWrap w:val="0"/>
                  <w:vAlign w:val="center"/>
                </w:tcPr>
                <w:p w14:paraId="1F6348D8">
                  <w:pPr>
                    <w:pStyle w:val="6"/>
                    <w:keepNext w:val="0"/>
                    <w:keepLines w:val="0"/>
                    <w:suppressLineNumbers w:val="0"/>
                    <w:spacing w:before="0" w:beforeAutospacing="0" w:after="0" w:afterAutospacing="0"/>
                    <w:ind w:left="0" w:right="0" w:firstLine="0" w:firstLineChars="0"/>
                    <w:jc w:val="center"/>
                    <w:rPr>
                      <w:rFonts w:hint="eastAsia" w:ascii="Times New Roman" w:hAnsi="Times New Roman" w:cs="Times New Roman"/>
                      <w:color w:val="auto"/>
                      <w:szCs w:val="21"/>
                    </w:rPr>
                  </w:pPr>
                  <w:r>
                    <w:rPr>
                      <w:rFonts w:hint="eastAsia" w:cs="Times New Roman"/>
                      <w:color w:val="auto"/>
                      <w:szCs w:val="21"/>
                      <w:lang w:val="en-US" w:eastAsia="zh-CN"/>
                    </w:rPr>
                    <w:t>4号车间</w:t>
                  </w:r>
                  <w:r>
                    <w:rPr>
                      <w:rFonts w:hint="default" w:ascii="Times New Roman" w:hAnsi="Times New Roman" w:cs="Times New Roman"/>
                      <w:color w:val="auto"/>
                      <w:szCs w:val="21"/>
                    </w:rPr>
                    <w:t>排气筒</w:t>
                  </w:r>
                </w:p>
              </w:tc>
              <w:tc>
                <w:tcPr>
                  <w:tcW w:w="897" w:type="pct"/>
                  <w:shd w:val="clear" w:color="auto" w:fill="FFFFFF"/>
                  <w:noWrap w:val="0"/>
                  <w:vAlign w:val="center"/>
                </w:tcPr>
                <w:p w14:paraId="5E5A039F">
                  <w:pPr>
                    <w:pStyle w:val="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108.84021163,34.30862828</w:t>
                  </w:r>
                </w:p>
              </w:tc>
              <w:tc>
                <w:tcPr>
                  <w:tcW w:w="266" w:type="pct"/>
                  <w:noWrap w:val="0"/>
                  <w:vAlign w:val="center"/>
                </w:tcPr>
                <w:p w14:paraId="7F1409E3">
                  <w:pPr>
                    <w:pStyle w:val="6"/>
                    <w:keepNext w:val="0"/>
                    <w:keepLines w:val="0"/>
                    <w:suppressLineNumbers w:val="0"/>
                    <w:spacing w:before="0" w:beforeAutospacing="0" w:after="0" w:afterAutospacing="0"/>
                    <w:ind w:left="0" w:right="0" w:firstLine="0" w:firstLineChars="0"/>
                    <w:jc w:val="center"/>
                    <w:rPr>
                      <w:rFonts w:hint="eastAsia" w:ascii="Times New Roman" w:hAnsi="Times New Roman" w:cs="Times New Roman"/>
                      <w:color w:val="auto"/>
                      <w:szCs w:val="21"/>
                    </w:rPr>
                  </w:pPr>
                  <w:r>
                    <w:rPr>
                      <w:rFonts w:hint="default" w:ascii="Times New Roman" w:hAnsi="Times New Roman" w:cs="Times New Roman"/>
                      <w:color w:val="auto"/>
                      <w:szCs w:val="21"/>
                    </w:rPr>
                    <w:t>15</w:t>
                  </w:r>
                </w:p>
              </w:tc>
              <w:tc>
                <w:tcPr>
                  <w:tcW w:w="347" w:type="pct"/>
                  <w:noWrap w:val="0"/>
                  <w:vAlign w:val="center"/>
                </w:tcPr>
                <w:p w14:paraId="74D5DA0B">
                  <w:pPr>
                    <w:pStyle w:val="6"/>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rPr>
                    <w:t>0.</w:t>
                  </w:r>
                  <w:r>
                    <w:rPr>
                      <w:rFonts w:hint="eastAsia" w:cs="Times New Roman"/>
                      <w:color w:val="auto"/>
                      <w:szCs w:val="21"/>
                      <w:lang w:val="en-US" w:eastAsia="zh-CN"/>
                    </w:rPr>
                    <w:t>4</w:t>
                  </w:r>
                </w:p>
              </w:tc>
              <w:tc>
                <w:tcPr>
                  <w:tcW w:w="347" w:type="pct"/>
                  <w:noWrap w:val="0"/>
                  <w:vAlign w:val="center"/>
                </w:tcPr>
                <w:p w14:paraId="66634C64">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25</w:t>
                  </w:r>
                </w:p>
              </w:tc>
              <w:tc>
                <w:tcPr>
                  <w:tcW w:w="480" w:type="pct"/>
                  <w:noWrap w:val="0"/>
                  <w:vAlign w:val="center"/>
                </w:tcPr>
                <w:p w14:paraId="31CD7874">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eastAsia" w:cs="Times New Roman"/>
                      <w:color w:val="auto"/>
                      <w:szCs w:val="21"/>
                      <w:lang w:val="en-US" w:eastAsia="zh-CN"/>
                    </w:rPr>
                    <w:t>主要</w:t>
                  </w:r>
                  <w:r>
                    <w:rPr>
                      <w:rFonts w:hint="default" w:ascii="Times New Roman" w:hAnsi="Times New Roman" w:cs="Times New Roman"/>
                      <w:color w:val="auto"/>
                      <w:szCs w:val="21"/>
                    </w:rPr>
                    <w:t>排放口</w:t>
                  </w:r>
                </w:p>
              </w:tc>
              <w:tc>
                <w:tcPr>
                  <w:tcW w:w="1150" w:type="pct"/>
                  <w:vMerge w:val="continue"/>
                  <w:noWrap w:val="0"/>
                  <w:vAlign w:val="center"/>
                </w:tcPr>
                <w:p w14:paraId="1F54E1B0">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p>
              </w:tc>
            </w:tr>
            <w:tr w14:paraId="3716F6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496" w:type="pct"/>
                  <w:shd w:val="clear" w:color="auto" w:fill="auto"/>
                  <w:noWrap w:val="0"/>
                  <w:vAlign w:val="center"/>
                </w:tcPr>
                <w:p w14:paraId="2AF2DB77">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DA004</w:t>
                  </w:r>
                </w:p>
              </w:tc>
              <w:tc>
                <w:tcPr>
                  <w:tcW w:w="1014" w:type="pct"/>
                  <w:shd w:val="clear" w:color="auto" w:fill="FFFFFF"/>
                  <w:noWrap w:val="0"/>
                  <w:vAlign w:val="center"/>
                </w:tcPr>
                <w:p w14:paraId="4345F63E">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食堂油烟排气筒</w:t>
                  </w:r>
                </w:p>
              </w:tc>
              <w:tc>
                <w:tcPr>
                  <w:tcW w:w="897" w:type="pct"/>
                  <w:shd w:val="clear" w:color="auto" w:fill="FFFFFF"/>
                  <w:noWrap w:val="0"/>
                  <w:vAlign w:val="center"/>
                </w:tcPr>
                <w:p w14:paraId="1958733E">
                  <w:pPr>
                    <w:pStyle w:val="23"/>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108.84020627</w:t>
                  </w:r>
                  <w:r>
                    <w:rPr>
                      <w:rFonts w:hint="eastAsia"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eastAsia="zh-CN"/>
                    </w:rPr>
                    <w:t>34.30916444</w:t>
                  </w:r>
                </w:p>
              </w:tc>
              <w:tc>
                <w:tcPr>
                  <w:tcW w:w="266" w:type="pct"/>
                  <w:noWrap w:val="0"/>
                  <w:vAlign w:val="center"/>
                </w:tcPr>
                <w:p w14:paraId="44E715A5">
                  <w:pPr>
                    <w:pStyle w:val="6"/>
                    <w:keepNext w:val="0"/>
                    <w:keepLines w:val="0"/>
                    <w:suppressLineNumbers w:val="0"/>
                    <w:spacing w:before="0" w:beforeAutospacing="0" w:after="0" w:afterAutospacing="0"/>
                    <w:ind w:left="0" w:right="0" w:firstLine="0" w:firstLineChars="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4</w:t>
                  </w:r>
                </w:p>
              </w:tc>
              <w:tc>
                <w:tcPr>
                  <w:tcW w:w="347" w:type="pct"/>
                  <w:noWrap w:val="0"/>
                  <w:vAlign w:val="center"/>
                </w:tcPr>
                <w:p w14:paraId="3E98FA67">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0.3</w:t>
                  </w:r>
                </w:p>
              </w:tc>
              <w:tc>
                <w:tcPr>
                  <w:tcW w:w="347" w:type="pct"/>
                  <w:noWrap w:val="0"/>
                  <w:vAlign w:val="center"/>
                </w:tcPr>
                <w:p w14:paraId="07B3253D">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35</w:t>
                  </w:r>
                </w:p>
              </w:tc>
              <w:tc>
                <w:tcPr>
                  <w:tcW w:w="480" w:type="pct"/>
                  <w:noWrap w:val="0"/>
                  <w:vAlign w:val="center"/>
                </w:tcPr>
                <w:p w14:paraId="1BAEAA83">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一般排放口</w:t>
                  </w:r>
                </w:p>
              </w:tc>
              <w:tc>
                <w:tcPr>
                  <w:tcW w:w="1150" w:type="pct"/>
                  <w:noWrap w:val="0"/>
                  <w:vAlign w:val="center"/>
                </w:tcPr>
                <w:p w14:paraId="553BDD54">
                  <w:pPr>
                    <w:pStyle w:val="6"/>
                    <w:keepNext w:val="0"/>
                    <w:keepLines w:val="0"/>
                    <w:suppressLineNumbers w:val="0"/>
                    <w:spacing w:before="0" w:beforeAutospacing="0" w:after="0" w:afterAutospacing="0"/>
                    <w:ind w:left="0" w:right="0" w:firstLine="0" w:firstLineChars="0"/>
                    <w:jc w:val="center"/>
                    <w:rPr>
                      <w:rFonts w:hint="default" w:ascii="Times New Roman" w:hAnsi="Times New Roman" w:cs="Times New Roman"/>
                      <w:color w:val="auto"/>
                      <w:szCs w:val="21"/>
                    </w:rPr>
                  </w:pPr>
                  <w:r>
                    <w:rPr>
                      <w:rFonts w:hint="eastAsia"/>
                      <w:color w:val="auto"/>
                      <w:szCs w:val="20"/>
                      <w:highlight w:val="none"/>
                    </w:rPr>
                    <w:t>《饮食业油烟排放标准（试行）》</w:t>
                  </w:r>
                  <w:r>
                    <w:rPr>
                      <w:rFonts w:hint="eastAsia"/>
                      <w:color w:val="auto"/>
                      <w:szCs w:val="20"/>
                      <w:highlight w:val="none"/>
                      <w:lang w:val="en-US" w:eastAsia="zh-CN"/>
                    </w:rPr>
                    <w:t xml:space="preserve"> </w:t>
                  </w:r>
                  <w:r>
                    <w:rPr>
                      <w:rFonts w:hint="eastAsia"/>
                      <w:color w:val="auto"/>
                      <w:szCs w:val="20"/>
                      <w:highlight w:val="none"/>
                    </w:rPr>
                    <w:t>（GB18483-2001）</w:t>
                  </w:r>
                </w:p>
              </w:tc>
            </w:tr>
          </w:tbl>
          <w:p w14:paraId="4175426A">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kern w:val="2"/>
                <w:sz w:val="24"/>
                <w:szCs w:val="24"/>
                <w:lang w:val="en-US" w:eastAsia="zh-CN" w:bidi="ar-SA"/>
              </w:rPr>
              <w:t>（4）</w:t>
            </w:r>
            <w:r>
              <w:rPr>
                <w:rFonts w:hint="eastAsia" w:ascii="Times New Roman" w:hAnsi="Times New Roman" w:cs="Times New Roman"/>
                <w:color w:val="auto"/>
                <w:sz w:val="24"/>
              </w:rPr>
              <w:t>排气筒高度合理性分析</w:t>
            </w:r>
          </w:p>
          <w:p w14:paraId="6824F5C5">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olor w:val="auto"/>
                <w:sz w:val="24"/>
                <w:szCs w:val="24"/>
              </w:rPr>
            </w:pPr>
            <w:r>
              <w:rPr>
                <w:rFonts w:hint="default" w:ascii="Times New Roman" w:hAnsi="Times New Roman" w:cs="Times New Roman"/>
                <w:color w:val="auto"/>
                <w:sz w:val="24"/>
                <w:szCs w:val="32"/>
              </w:rPr>
              <w:t>根据《挥发性有机物排放控制标准》（DB61/T1061-2017）规定，企业排气筒高度原则不低于15m，具体高度由经批复的环境影响评价文件确定。</w:t>
            </w:r>
            <w:r>
              <w:rPr>
                <w:rFonts w:hint="eastAsia" w:ascii="Times New Roman" w:hAnsi="Times New Roman" w:cs="Times New Roman"/>
                <w:color w:val="auto"/>
                <w:sz w:val="24"/>
                <w:szCs w:val="32"/>
                <w:lang w:val="en-US" w:eastAsia="zh-CN"/>
              </w:rPr>
              <w:t>本项目排气筒高度15m符合标准要求</w:t>
            </w:r>
            <w:r>
              <w:rPr>
                <w:rFonts w:hint="default" w:ascii="Times New Roman" w:hAnsi="Times New Roman" w:cs="Times New Roman"/>
                <w:color w:val="auto"/>
                <w:sz w:val="24"/>
                <w:szCs w:val="32"/>
              </w:rPr>
              <w:t>。</w:t>
            </w:r>
          </w:p>
          <w:p w14:paraId="7E86B497">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5</w:t>
            </w:r>
            <w:r>
              <w:rPr>
                <w:rFonts w:hint="eastAsia" w:ascii="Times New Roman" w:hAnsi="Times New Roman" w:cs="Times New Roman"/>
                <w:color w:val="auto"/>
                <w:sz w:val="24"/>
              </w:rPr>
              <w:t>）污染防治措施可行性分析</w:t>
            </w:r>
          </w:p>
          <w:p w14:paraId="710DEAC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32"/>
                <w:lang w:val="en-US" w:eastAsia="zh-CN"/>
              </w:rPr>
            </w:pPr>
            <w:r>
              <w:rPr>
                <w:rFonts w:hint="default" w:ascii="Times New Roman" w:hAnsi="Times New Roman" w:cs="Times New Roman"/>
                <w:color w:val="auto"/>
                <w:sz w:val="24"/>
                <w:szCs w:val="32"/>
              </w:rPr>
              <w:t>本项目</w:t>
            </w:r>
            <w:r>
              <w:rPr>
                <w:rFonts w:hint="eastAsia" w:cs="Times New Roman"/>
                <w:color w:val="auto"/>
                <w:sz w:val="24"/>
                <w:lang w:val="en-US" w:eastAsia="zh-CN"/>
              </w:rPr>
              <w:t>1号车间产生的胶装废气</w:t>
            </w:r>
            <w:r>
              <w:rPr>
                <w:rFonts w:hint="eastAsia" w:ascii="Times New Roman" w:hAnsi="Times New Roman" w:cs="Times New Roman"/>
                <w:color w:val="auto"/>
                <w:sz w:val="24"/>
                <w:szCs w:val="32"/>
                <w:lang w:val="en-US" w:eastAsia="zh-CN"/>
              </w:rPr>
              <w:t>经集气罩+</w:t>
            </w:r>
            <w:r>
              <w:rPr>
                <w:rFonts w:hint="eastAsia" w:cs="Times New Roman"/>
                <w:color w:val="auto"/>
                <w:sz w:val="24"/>
                <w:lang w:val="en-US" w:eastAsia="zh-CN"/>
              </w:rPr>
              <w:t>二级</w:t>
            </w:r>
            <w:r>
              <w:rPr>
                <w:rFonts w:hint="eastAsia" w:ascii="Times New Roman" w:hAnsi="Times New Roman" w:eastAsia="宋体" w:cs="Times New Roman"/>
                <w:color w:val="auto"/>
                <w:sz w:val="24"/>
                <w:lang w:val="en-US" w:eastAsia="zh-CN"/>
              </w:rPr>
              <w:t>活性炭吸附</w:t>
            </w:r>
            <w:r>
              <w:rPr>
                <w:rFonts w:hint="eastAsia" w:ascii="Times New Roman" w:hAnsi="Times New Roman" w:cs="Times New Roman"/>
                <w:color w:val="auto"/>
                <w:sz w:val="24"/>
                <w:szCs w:val="32"/>
                <w:lang w:val="en-US" w:eastAsia="zh-CN"/>
              </w:rPr>
              <w:t>+15m排气筒（DA001）处理排放；</w:t>
            </w:r>
            <w:r>
              <w:rPr>
                <w:rFonts w:hint="eastAsia" w:eastAsia="宋体" w:cs="Times New Roman"/>
                <w:bCs/>
                <w:color w:val="auto"/>
                <w:sz w:val="24"/>
                <w:lang w:val="en-US" w:eastAsia="zh-CN"/>
              </w:rPr>
              <w:t>2号车间产生的</w:t>
            </w:r>
            <w:r>
              <w:rPr>
                <w:rFonts w:hint="eastAsia" w:ascii="Times New Roman" w:hAnsi="Times New Roman" w:eastAsia="宋体" w:cs="Times New Roman"/>
                <w:color w:val="auto"/>
                <w:sz w:val="24"/>
                <w:lang w:val="en-US" w:eastAsia="zh-CN"/>
              </w:rPr>
              <w:t>胶印印刷废气</w:t>
            </w:r>
            <w:r>
              <w:rPr>
                <w:rFonts w:hint="eastAsia" w:eastAsia="宋体" w:cs="Times New Roman"/>
                <w:color w:val="auto"/>
                <w:sz w:val="24"/>
                <w:lang w:val="en-US" w:eastAsia="zh-CN"/>
              </w:rPr>
              <w:t>、</w:t>
            </w:r>
            <w:r>
              <w:rPr>
                <w:rFonts w:hint="eastAsia" w:ascii="Times New Roman" w:hAnsi="Times New Roman" w:eastAsia="宋体" w:cs="Times New Roman"/>
                <w:color w:val="auto"/>
                <w:sz w:val="24"/>
                <w:lang w:val="en-US" w:eastAsia="zh-CN"/>
              </w:rPr>
              <w:t>覆膜</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亮油废气</w:t>
            </w:r>
            <w:r>
              <w:rPr>
                <w:rFonts w:hint="eastAsia" w:eastAsia="宋体" w:cs="Times New Roman"/>
                <w:color w:val="auto"/>
                <w:sz w:val="24"/>
                <w:lang w:val="en-US" w:eastAsia="zh-CN"/>
              </w:rPr>
              <w:t>、胶装废气以及3号车间产生的胶装废气</w:t>
            </w:r>
            <w:r>
              <w:rPr>
                <w:rFonts w:hint="eastAsia" w:ascii="Times New Roman" w:hAnsi="Times New Roman" w:cs="Times New Roman"/>
                <w:color w:val="auto"/>
                <w:sz w:val="24"/>
                <w:szCs w:val="32"/>
                <w:lang w:val="en-US" w:eastAsia="zh-CN"/>
              </w:rPr>
              <w:t>经集气罩+</w:t>
            </w:r>
            <w:r>
              <w:rPr>
                <w:rFonts w:hint="eastAsia" w:cs="Times New Roman"/>
                <w:color w:val="auto"/>
                <w:sz w:val="24"/>
                <w:lang w:val="en-US" w:eastAsia="zh-CN"/>
              </w:rPr>
              <w:t>二级</w:t>
            </w:r>
            <w:r>
              <w:rPr>
                <w:rFonts w:hint="eastAsia" w:ascii="Times New Roman" w:hAnsi="Times New Roman" w:eastAsia="宋体" w:cs="Times New Roman"/>
                <w:color w:val="auto"/>
                <w:sz w:val="24"/>
                <w:lang w:val="en-US" w:eastAsia="zh-CN"/>
              </w:rPr>
              <w:t>活性炭吸附</w:t>
            </w:r>
            <w:r>
              <w:rPr>
                <w:rFonts w:hint="eastAsia" w:ascii="Times New Roman" w:hAnsi="Times New Roman" w:cs="Times New Roman"/>
                <w:color w:val="auto"/>
                <w:sz w:val="24"/>
                <w:szCs w:val="32"/>
                <w:lang w:val="en-US" w:eastAsia="zh-CN"/>
              </w:rPr>
              <w:t>+15m排气筒（DA00</w:t>
            </w:r>
            <w:r>
              <w:rPr>
                <w:rFonts w:hint="eastAsia" w:cs="Times New Roman"/>
                <w:color w:val="auto"/>
                <w:sz w:val="24"/>
                <w:szCs w:val="32"/>
                <w:lang w:val="en-US" w:eastAsia="zh-CN"/>
              </w:rPr>
              <w:t>2</w:t>
            </w:r>
            <w:r>
              <w:rPr>
                <w:rFonts w:hint="eastAsia" w:ascii="Times New Roman" w:hAnsi="Times New Roman" w:cs="Times New Roman"/>
                <w:color w:val="auto"/>
                <w:sz w:val="24"/>
                <w:szCs w:val="32"/>
                <w:lang w:val="en-US" w:eastAsia="zh-CN"/>
              </w:rPr>
              <w:t>）处理排放；</w:t>
            </w:r>
            <w:r>
              <w:rPr>
                <w:rFonts w:hint="eastAsia" w:eastAsia="宋体" w:cs="Times New Roman"/>
                <w:bCs/>
                <w:color w:val="auto"/>
                <w:sz w:val="24"/>
                <w:lang w:val="en-US" w:eastAsia="zh-CN"/>
              </w:rPr>
              <w:t>4号车间产生的</w:t>
            </w:r>
            <w:r>
              <w:rPr>
                <w:rFonts w:hint="eastAsia" w:ascii="Times New Roman" w:hAnsi="Times New Roman" w:eastAsia="宋体" w:cs="Times New Roman"/>
                <w:color w:val="auto"/>
                <w:sz w:val="24"/>
                <w:lang w:val="en-US" w:eastAsia="zh-CN"/>
              </w:rPr>
              <w:t>胶印印刷废气</w:t>
            </w:r>
            <w:r>
              <w:rPr>
                <w:rFonts w:hint="eastAsia" w:cs="Times New Roman"/>
                <w:color w:val="auto"/>
                <w:sz w:val="24"/>
                <w:szCs w:val="32"/>
                <w:lang w:val="en-US" w:eastAsia="zh-CN"/>
              </w:rPr>
              <w:t>经</w:t>
            </w:r>
            <w:r>
              <w:rPr>
                <w:rFonts w:hint="eastAsia" w:ascii="Times New Roman" w:hAnsi="Times New Roman" w:cs="Times New Roman"/>
                <w:color w:val="auto"/>
                <w:sz w:val="24"/>
                <w:szCs w:val="32"/>
                <w:lang w:val="en-US" w:eastAsia="zh-CN"/>
              </w:rPr>
              <w:t>集气罩+</w:t>
            </w:r>
            <w:r>
              <w:rPr>
                <w:rFonts w:hint="eastAsia" w:cs="Times New Roman"/>
                <w:color w:val="auto"/>
                <w:sz w:val="24"/>
                <w:lang w:val="en-US" w:eastAsia="zh-CN"/>
              </w:rPr>
              <w:t>二级</w:t>
            </w:r>
            <w:r>
              <w:rPr>
                <w:rFonts w:hint="eastAsia" w:ascii="Times New Roman" w:hAnsi="Times New Roman" w:eastAsia="宋体" w:cs="Times New Roman"/>
                <w:color w:val="auto"/>
                <w:sz w:val="24"/>
                <w:lang w:val="en-US" w:eastAsia="zh-CN"/>
              </w:rPr>
              <w:t>活性炭吸附</w:t>
            </w:r>
            <w:r>
              <w:rPr>
                <w:rFonts w:hint="eastAsia" w:ascii="Times New Roman" w:hAnsi="Times New Roman" w:cs="Times New Roman"/>
                <w:color w:val="auto"/>
                <w:sz w:val="24"/>
                <w:szCs w:val="32"/>
                <w:lang w:val="en-US" w:eastAsia="zh-CN"/>
              </w:rPr>
              <w:t>+15m排气筒（DA00</w:t>
            </w:r>
            <w:r>
              <w:rPr>
                <w:rFonts w:hint="eastAsia" w:cs="Times New Roman"/>
                <w:color w:val="auto"/>
                <w:sz w:val="24"/>
                <w:szCs w:val="32"/>
                <w:lang w:val="en-US" w:eastAsia="zh-CN"/>
              </w:rPr>
              <w:t>3</w:t>
            </w:r>
            <w:r>
              <w:rPr>
                <w:rFonts w:hint="eastAsia" w:ascii="Times New Roman" w:hAnsi="Times New Roman" w:cs="Times New Roman"/>
                <w:color w:val="auto"/>
                <w:sz w:val="24"/>
                <w:szCs w:val="32"/>
                <w:lang w:val="en-US" w:eastAsia="zh-CN"/>
              </w:rPr>
              <w:t>）处理排放</w:t>
            </w:r>
            <w:r>
              <w:rPr>
                <w:rFonts w:hint="default" w:ascii="Times New Roman" w:hAnsi="Times New Roman" w:cs="Times New Roman"/>
                <w:color w:val="auto"/>
                <w:kern w:val="0"/>
                <w:sz w:val="24"/>
                <w:szCs w:val="32"/>
              </w:rPr>
              <w:t>。</w:t>
            </w:r>
          </w:p>
          <w:p w14:paraId="0141E68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kern w:val="0"/>
                <w:sz w:val="24"/>
                <w:szCs w:val="32"/>
              </w:rPr>
            </w:pPr>
            <w:r>
              <w:rPr>
                <w:rFonts w:hint="default" w:ascii="Times New Roman" w:hAnsi="Times New Roman" w:cs="Times New Roman"/>
                <w:color w:val="auto"/>
                <w:kern w:val="0"/>
                <w:sz w:val="24"/>
                <w:szCs w:val="32"/>
              </w:rPr>
              <w:t>对照《排污许可</w:t>
            </w:r>
            <w:r>
              <w:rPr>
                <w:rFonts w:hint="eastAsia" w:cs="Times New Roman"/>
                <w:color w:val="auto"/>
                <w:kern w:val="0"/>
                <w:sz w:val="24"/>
                <w:szCs w:val="32"/>
                <w:lang w:val="en-US" w:eastAsia="zh-CN"/>
              </w:rPr>
              <w:t>证</w:t>
            </w:r>
            <w:r>
              <w:rPr>
                <w:rFonts w:hint="default" w:ascii="Times New Roman" w:hAnsi="Times New Roman" w:cs="Times New Roman"/>
                <w:color w:val="auto"/>
                <w:kern w:val="0"/>
                <w:sz w:val="24"/>
                <w:szCs w:val="32"/>
              </w:rPr>
              <w:t xml:space="preserve">申请与核发技术规范 </w:t>
            </w:r>
            <w:r>
              <w:rPr>
                <w:rFonts w:hint="eastAsia" w:ascii="宋体" w:hAnsi="宋体" w:eastAsia="宋体" w:cs="宋体"/>
                <w:sz w:val="24"/>
                <w:szCs w:val="24"/>
                <w:lang w:val="en-US" w:eastAsia="zh-CN"/>
              </w:rPr>
              <w:t>印刷工业</w:t>
            </w:r>
            <w:r>
              <w:rPr>
                <w:rFonts w:hint="default" w:ascii="Times New Roman" w:hAnsi="Times New Roman" w:cs="Times New Roman"/>
                <w:color w:val="auto"/>
                <w:kern w:val="0"/>
                <w:sz w:val="24"/>
                <w:szCs w:val="32"/>
              </w:rPr>
              <w:t>》（HJ</w:t>
            </w:r>
            <w:r>
              <w:rPr>
                <w:rFonts w:hint="eastAsia" w:cs="Times New Roman"/>
                <w:color w:val="auto"/>
                <w:kern w:val="0"/>
                <w:sz w:val="24"/>
                <w:szCs w:val="32"/>
                <w:lang w:val="en-US" w:eastAsia="zh-CN"/>
              </w:rPr>
              <w:t>1066</w:t>
            </w:r>
            <w:r>
              <w:rPr>
                <w:rFonts w:hint="eastAsia" w:ascii="Times New Roman" w:hAnsi="Times New Roman" w:cs="Times New Roman"/>
                <w:color w:val="auto"/>
                <w:kern w:val="0"/>
                <w:sz w:val="24"/>
                <w:szCs w:val="32"/>
                <w:lang w:val="en-US" w:eastAsia="zh-CN"/>
              </w:rPr>
              <w:t>-</w:t>
            </w:r>
            <w:r>
              <w:rPr>
                <w:rFonts w:hint="default" w:ascii="Times New Roman" w:hAnsi="Times New Roman" w:cs="Times New Roman"/>
                <w:color w:val="auto"/>
                <w:kern w:val="0"/>
                <w:sz w:val="24"/>
                <w:szCs w:val="32"/>
              </w:rPr>
              <w:t>20</w:t>
            </w:r>
            <w:r>
              <w:rPr>
                <w:rFonts w:hint="eastAsia" w:cs="Times New Roman"/>
                <w:color w:val="auto"/>
                <w:kern w:val="0"/>
                <w:sz w:val="24"/>
                <w:szCs w:val="32"/>
                <w:lang w:val="en-US" w:eastAsia="zh-CN"/>
              </w:rPr>
              <w:t>19</w:t>
            </w:r>
            <w:r>
              <w:rPr>
                <w:rFonts w:hint="default" w:ascii="Times New Roman" w:hAnsi="Times New Roman" w:cs="Times New Roman"/>
                <w:color w:val="auto"/>
                <w:kern w:val="0"/>
                <w:sz w:val="24"/>
                <w:szCs w:val="32"/>
              </w:rPr>
              <w:t>）表</w:t>
            </w:r>
            <w:r>
              <w:rPr>
                <w:rFonts w:hint="eastAsia" w:cs="Times New Roman"/>
                <w:color w:val="auto"/>
                <w:kern w:val="0"/>
                <w:sz w:val="24"/>
                <w:szCs w:val="32"/>
                <w:lang w:val="en-US" w:eastAsia="zh-CN"/>
              </w:rPr>
              <w:t xml:space="preserve">3重点管理排污单位废气产污环节、污染物项目、排放形式及污染防治设施一览表 </w:t>
            </w:r>
            <w:r>
              <w:rPr>
                <w:rFonts w:hint="default" w:ascii="Times New Roman" w:hAnsi="Times New Roman" w:cs="Times New Roman"/>
                <w:color w:val="auto"/>
                <w:kern w:val="0"/>
                <w:sz w:val="24"/>
                <w:szCs w:val="32"/>
              </w:rPr>
              <w:t>，本项目废气处理技术可行。</w:t>
            </w:r>
          </w:p>
          <w:p w14:paraId="10BC5509">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6</w:t>
            </w:r>
            <w:r>
              <w:rPr>
                <w:rFonts w:hint="eastAsia" w:ascii="Times New Roman" w:hAnsi="Times New Roman" w:cs="Times New Roman"/>
                <w:color w:val="auto"/>
                <w:sz w:val="24"/>
              </w:rPr>
              <w:t>）</w:t>
            </w:r>
            <w:r>
              <w:rPr>
                <w:rFonts w:hint="default" w:ascii="Times New Roman" w:hAnsi="Times New Roman" w:cs="Times New Roman"/>
                <w:color w:val="auto"/>
                <w:sz w:val="24"/>
              </w:rPr>
              <w:t>废气达标排放分析</w:t>
            </w:r>
          </w:p>
          <w:p w14:paraId="02C90260">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项目生产过程中产生的</w:t>
            </w:r>
            <w:r>
              <w:rPr>
                <w:rFonts w:hint="eastAsia" w:cs="Times New Roman"/>
                <w:color w:val="auto"/>
                <w:sz w:val="24"/>
                <w:lang w:val="en-US" w:eastAsia="zh-CN"/>
              </w:rPr>
              <w:t>胶印印刷废气、</w:t>
            </w:r>
            <w:r>
              <w:rPr>
                <w:rFonts w:hint="eastAsia" w:ascii="Times New Roman" w:hAnsi="Times New Roman" w:eastAsia="宋体" w:cs="Times New Roman"/>
                <w:color w:val="auto"/>
                <w:sz w:val="24"/>
                <w:lang w:val="en-US" w:eastAsia="zh-CN"/>
              </w:rPr>
              <w:t>覆膜</w:t>
            </w:r>
            <w:r>
              <w:rPr>
                <w:rFonts w:hint="default" w:ascii="Times New Roman" w:hAnsi="Times New Roman" w:eastAsia="宋体" w:cs="Times New Roman"/>
                <w:color w:val="auto"/>
                <w:sz w:val="24"/>
                <w:lang w:val="en-US" w:eastAsia="zh-CN"/>
              </w:rPr>
              <w:t>/</w:t>
            </w:r>
            <w:r>
              <w:rPr>
                <w:rFonts w:hint="eastAsia" w:ascii="Times New Roman" w:hAnsi="Times New Roman" w:eastAsia="宋体" w:cs="Times New Roman"/>
                <w:color w:val="auto"/>
                <w:sz w:val="24"/>
                <w:lang w:val="en-US" w:eastAsia="zh-CN"/>
              </w:rPr>
              <w:t>亮油废气</w:t>
            </w:r>
            <w:r>
              <w:rPr>
                <w:rFonts w:hint="eastAsia" w:eastAsia="宋体" w:cs="Times New Roman"/>
                <w:color w:val="auto"/>
                <w:sz w:val="24"/>
                <w:lang w:val="en-US" w:eastAsia="zh-CN"/>
              </w:rPr>
              <w:t>、</w:t>
            </w:r>
            <w:r>
              <w:rPr>
                <w:rFonts w:hint="eastAsia" w:ascii="Times New Roman" w:hAnsi="Times New Roman" w:eastAsia="宋体" w:cs="Times New Roman"/>
                <w:color w:val="auto"/>
                <w:sz w:val="24"/>
                <w:lang w:val="en-US" w:eastAsia="zh-CN"/>
              </w:rPr>
              <w:t>胶装废气</w:t>
            </w:r>
            <w:r>
              <w:rPr>
                <w:rFonts w:hint="eastAsia" w:eastAsia="宋体" w:cs="Times New Roman"/>
                <w:color w:val="auto"/>
                <w:sz w:val="24"/>
                <w:lang w:val="en-US" w:eastAsia="zh-CN"/>
              </w:rPr>
              <w:t>通过</w:t>
            </w:r>
            <w:r>
              <w:rPr>
                <w:rFonts w:hint="eastAsia" w:cs="Times New Roman"/>
                <w:color w:val="auto"/>
                <w:sz w:val="24"/>
                <w:lang w:val="en-US" w:eastAsia="zh-CN"/>
              </w:rPr>
              <w:t>集气罩+二级</w:t>
            </w:r>
            <w:r>
              <w:rPr>
                <w:rFonts w:hint="eastAsia" w:ascii="Times New Roman" w:hAnsi="Times New Roman" w:eastAsia="宋体" w:cs="Times New Roman"/>
                <w:color w:val="auto"/>
                <w:sz w:val="24"/>
                <w:lang w:val="en-US" w:eastAsia="zh-CN"/>
              </w:rPr>
              <w:t>活性炭吸附</w:t>
            </w:r>
            <w:r>
              <w:rPr>
                <w:rFonts w:hint="eastAsia" w:cs="Times New Roman"/>
                <w:color w:val="auto"/>
                <w:sz w:val="24"/>
                <w:szCs w:val="32"/>
                <w:lang w:val="en-US" w:eastAsia="zh-CN"/>
              </w:rPr>
              <w:t>+</w:t>
            </w:r>
            <w:r>
              <w:rPr>
                <w:rFonts w:hint="eastAsia" w:ascii="Times New Roman" w:hAnsi="Times New Roman" w:cs="Times New Roman"/>
                <w:color w:val="auto"/>
                <w:sz w:val="24"/>
                <w:szCs w:val="32"/>
                <w:lang w:val="en-US" w:eastAsia="zh-CN"/>
              </w:rPr>
              <w:t>15m排气筒处理排放后</w:t>
            </w:r>
            <w:r>
              <w:rPr>
                <w:rFonts w:hint="default" w:ascii="Times New Roman" w:hAnsi="Times New Roman" w:cs="Times New Roman"/>
                <w:sz w:val="24"/>
                <w:szCs w:val="32"/>
              </w:rPr>
              <w:t>，</w:t>
            </w:r>
            <w:r>
              <w:rPr>
                <w:rFonts w:hint="eastAsia" w:cs="Times New Roman"/>
                <w:color w:val="auto"/>
                <w:sz w:val="24"/>
                <w:szCs w:val="32"/>
                <w:lang w:val="en-US" w:eastAsia="zh-CN"/>
              </w:rPr>
              <w:t>非甲烷总烃的排放满足</w:t>
            </w:r>
            <w:r>
              <w:rPr>
                <w:rFonts w:hint="default" w:ascii="Times New Roman" w:hAnsi="Times New Roman" w:cs="Times New Roman"/>
                <w:color w:val="auto"/>
                <w:sz w:val="24"/>
                <w:szCs w:val="32"/>
              </w:rPr>
              <w:t>《挥发性有机物排放控制标准》（DB 61/T 1061-2017）中表1中</w:t>
            </w:r>
            <w:r>
              <w:rPr>
                <w:rFonts w:hint="eastAsia" w:cs="Times New Roman"/>
                <w:color w:val="auto"/>
                <w:sz w:val="24"/>
                <w:szCs w:val="32"/>
                <w:lang w:val="en-US" w:eastAsia="zh-CN"/>
              </w:rPr>
              <w:t>印刷排放</w:t>
            </w:r>
            <w:r>
              <w:rPr>
                <w:rFonts w:hint="default" w:ascii="Times New Roman" w:hAnsi="Times New Roman" w:cs="Times New Roman"/>
                <w:color w:val="auto"/>
                <w:sz w:val="24"/>
                <w:szCs w:val="32"/>
              </w:rPr>
              <w:t>限值</w:t>
            </w:r>
            <w:r>
              <w:rPr>
                <w:rFonts w:hint="default" w:ascii="Times New Roman" w:hAnsi="Times New Roman" w:cs="Times New Roman"/>
                <w:sz w:val="24"/>
                <w:szCs w:val="32"/>
              </w:rPr>
              <w:t>；</w:t>
            </w:r>
            <w:r>
              <w:rPr>
                <w:rFonts w:hint="default" w:ascii="Times New Roman" w:hAnsi="Times New Roman" w:cs="Times New Roman"/>
                <w:color w:val="auto"/>
                <w:sz w:val="24"/>
                <w:szCs w:val="32"/>
              </w:rPr>
              <w:t>厂界非甲烷总烃的排放满足《挥发性有机物排放控制标准》（DB61/T1061-2017）表3企业边界监控点浓度限值；厂区内非甲烷总烃的排放满足《挥发性有机物排放控制标准》（DB61/T1061-2017）</w:t>
            </w:r>
            <w:r>
              <w:rPr>
                <w:rFonts w:hint="default" w:ascii="Times New Roman" w:hAnsi="Times New Roman" w:cs="Times New Roman"/>
                <w:color w:val="auto"/>
                <w:sz w:val="24"/>
                <w:szCs w:val="32"/>
                <w:lang w:val="en-US" w:eastAsia="zh-CN"/>
              </w:rPr>
              <w:t>表</w:t>
            </w:r>
            <w:r>
              <w:rPr>
                <w:rFonts w:hint="eastAsia" w:cs="Times New Roman"/>
                <w:color w:val="auto"/>
                <w:sz w:val="24"/>
                <w:szCs w:val="32"/>
                <w:lang w:val="en-US" w:eastAsia="zh-CN"/>
              </w:rPr>
              <w:t>2</w:t>
            </w:r>
            <w:r>
              <w:rPr>
                <w:rFonts w:hint="default" w:ascii="Times New Roman" w:hAnsi="Times New Roman" w:cs="Times New Roman"/>
                <w:color w:val="auto"/>
                <w:sz w:val="24"/>
                <w:szCs w:val="32"/>
                <w:lang w:val="en-US" w:eastAsia="zh-CN"/>
              </w:rPr>
              <w:t>排放限值</w:t>
            </w:r>
            <w:r>
              <w:rPr>
                <w:rFonts w:hint="default" w:ascii="Times New Roman" w:hAnsi="Times New Roman" w:cs="Times New Roman"/>
                <w:color w:val="auto"/>
                <w:sz w:val="24"/>
                <w:szCs w:val="32"/>
              </w:rPr>
              <w:t>。</w:t>
            </w:r>
            <w:r>
              <w:rPr>
                <w:rFonts w:hint="eastAsia" w:ascii="Times New Roman" w:hAnsi="Times New Roman" w:cs="Times New Roman"/>
                <w:color w:val="auto"/>
                <w:sz w:val="24"/>
                <w:lang w:bidi="ar"/>
              </w:rPr>
              <w:t>因此，项目建成后对周围的环境</w:t>
            </w:r>
            <w:r>
              <w:rPr>
                <w:rFonts w:hint="eastAsia" w:ascii="Times New Roman" w:hAnsi="Times New Roman" w:cs="Times New Roman"/>
                <w:color w:val="auto"/>
                <w:sz w:val="24"/>
              </w:rPr>
              <w:t>一定影响，但是在环境可接受范围内，运营后不会对周边紧邻的敏感目标产生较大影响。</w:t>
            </w:r>
          </w:p>
          <w:p w14:paraId="5C1A65B2">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7</w:t>
            </w:r>
            <w:r>
              <w:rPr>
                <w:rFonts w:hint="eastAsia" w:ascii="Times New Roman" w:hAnsi="Times New Roman" w:cs="Times New Roman"/>
                <w:color w:val="auto"/>
                <w:sz w:val="24"/>
              </w:rPr>
              <w:t>）</w:t>
            </w:r>
            <w:r>
              <w:rPr>
                <w:rFonts w:hint="default" w:ascii="Times New Roman" w:hAnsi="Times New Roman" w:cs="Times New Roman"/>
                <w:color w:val="auto"/>
                <w:sz w:val="24"/>
              </w:rPr>
              <w:t>废气监测要求</w:t>
            </w:r>
          </w:p>
          <w:p w14:paraId="0FB20C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根据《排污单位自行监测技术指南 总则》（HJ819-2017）及《排污许可证申请与核发技术规范 印刷工业》（HJ1066-2019）等要求，</w:t>
            </w:r>
            <w:r>
              <w:rPr>
                <w:rFonts w:hint="default" w:ascii="Times New Roman" w:hAnsi="Times New Roman" w:eastAsia="宋体" w:cs="Times New Roman"/>
                <w:color w:val="auto"/>
                <w:sz w:val="24"/>
                <w:lang w:val="en-US" w:eastAsia="zh-CN"/>
              </w:rPr>
              <w:t>本项目废气污染物自行监测要求如下表：</w:t>
            </w:r>
          </w:p>
          <w:p w14:paraId="5E007F54">
            <w:pPr>
              <w:keepNext w:val="0"/>
              <w:keepLines w:val="0"/>
              <w:suppressLineNumbers w:val="0"/>
              <w:tabs>
                <w:tab w:val="left" w:pos="1052"/>
              </w:tabs>
              <w:adjustRightInd w:val="0"/>
              <w:snapToGrid w:val="0"/>
              <w:spacing w:before="0" w:beforeAutospacing="0" w:after="0" w:afterAutospacing="0"/>
              <w:ind w:left="0" w:right="0"/>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w:t>
            </w:r>
            <w:r>
              <w:rPr>
                <w:rFonts w:hint="eastAsia" w:cs="Times New Roman"/>
                <w:b/>
                <w:bCs/>
                <w:color w:val="auto"/>
                <w:sz w:val="24"/>
                <w:lang w:val="en-US" w:eastAsia="zh-CN"/>
              </w:rPr>
              <w:t>4</w:t>
            </w:r>
            <w:r>
              <w:rPr>
                <w:rFonts w:hint="default" w:ascii="Times New Roman" w:hAnsi="Times New Roman" w:cs="Times New Roman"/>
                <w:b/>
                <w:bCs/>
                <w:color w:val="auto"/>
                <w:sz w:val="24"/>
              </w:rPr>
              <w:t xml:space="preserve">  废气</w:t>
            </w:r>
            <w:r>
              <w:rPr>
                <w:rFonts w:hint="eastAsia" w:ascii="Times New Roman" w:hAnsi="Times New Roman" w:cs="Times New Roman"/>
                <w:b/>
                <w:bCs/>
                <w:color w:val="auto"/>
                <w:sz w:val="24"/>
              </w:rPr>
              <w:t>全厂</w:t>
            </w:r>
            <w:r>
              <w:rPr>
                <w:rFonts w:hint="default" w:ascii="Times New Roman" w:hAnsi="Times New Roman" w:cs="Times New Roman"/>
                <w:b/>
                <w:bCs/>
                <w:color w:val="auto"/>
                <w:sz w:val="24"/>
              </w:rPr>
              <w:t>环境监测计划</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1100"/>
              <w:gridCol w:w="2191"/>
              <w:gridCol w:w="2422"/>
              <w:gridCol w:w="2717"/>
            </w:tblGrid>
            <w:tr w14:paraId="39A6D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1" w:hRule="atLeast"/>
                <w:jc w:val="center"/>
              </w:trPr>
              <w:tc>
                <w:tcPr>
                  <w:tcW w:w="1952" w:type="pct"/>
                  <w:gridSpan w:val="2"/>
                  <w:noWrap w:val="0"/>
                  <w:vAlign w:val="center"/>
                </w:tcPr>
                <w:p w14:paraId="449DFADE">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监测点位</w:t>
                  </w:r>
                </w:p>
              </w:tc>
              <w:tc>
                <w:tcPr>
                  <w:tcW w:w="1436" w:type="pct"/>
                  <w:noWrap w:val="0"/>
                  <w:vAlign w:val="center"/>
                </w:tcPr>
                <w:p w14:paraId="07E51ED9">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监测因子</w:t>
                  </w:r>
                </w:p>
              </w:tc>
              <w:tc>
                <w:tcPr>
                  <w:tcW w:w="1611" w:type="pct"/>
                  <w:noWrap w:val="0"/>
                  <w:vAlign w:val="center"/>
                </w:tcPr>
                <w:p w14:paraId="634484BF">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监测频率</w:t>
                  </w:r>
                </w:p>
              </w:tc>
            </w:tr>
            <w:tr w14:paraId="3CEF2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71" w:hRule="atLeast"/>
                <w:jc w:val="center"/>
              </w:trPr>
              <w:tc>
                <w:tcPr>
                  <w:tcW w:w="653" w:type="pct"/>
                  <w:vMerge w:val="restart"/>
                  <w:noWrap w:val="0"/>
                  <w:vAlign w:val="center"/>
                </w:tcPr>
                <w:p w14:paraId="202BB32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有组织</w:t>
                  </w:r>
                </w:p>
              </w:tc>
              <w:tc>
                <w:tcPr>
                  <w:tcW w:w="1299" w:type="pct"/>
                  <w:noWrap w:val="0"/>
                  <w:vAlign w:val="center"/>
                </w:tcPr>
                <w:p w14:paraId="6DE2F7D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rPr>
                    <w:t>DA00</w:t>
                  </w:r>
                  <w:r>
                    <w:rPr>
                      <w:rFonts w:hint="eastAsia" w:cs="Times New Roman"/>
                      <w:color w:val="auto"/>
                      <w:szCs w:val="21"/>
                      <w:lang w:val="en-US" w:eastAsia="zh-CN"/>
                    </w:rPr>
                    <w:t>1</w:t>
                  </w:r>
                </w:p>
              </w:tc>
              <w:tc>
                <w:tcPr>
                  <w:tcW w:w="1436" w:type="pct"/>
                  <w:noWrap w:val="0"/>
                  <w:vAlign w:val="center"/>
                </w:tcPr>
                <w:p w14:paraId="45164D0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color w:val="auto"/>
                      <w:szCs w:val="21"/>
                      <w:lang w:val="en-US" w:eastAsia="zh-CN"/>
                    </w:rPr>
                    <w:t>非甲烷总烃</w:t>
                  </w:r>
                </w:p>
              </w:tc>
              <w:tc>
                <w:tcPr>
                  <w:tcW w:w="1611" w:type="pct"/>
                  <w:noWrap w:val="0"/>
                  <w:vAlign w:val="center"/>
                </w:tcPr>
                <w:p w14:paraId="7E34F99E">
                  <w:pPr>
                    <w:pStyle w:val="3"/>
                    <w:keepNext w:val="0"/>
                    <w:keepLines w:val="0"/>
                    <w:suppressLineNumbers w:val="0"/>
                    <w:adjustRightInd w:val="0"/>
                    <w:snapToGrid w:val="0"/>
                    <w:spacing w:before="0" w:beforeAutospacing="0" w:after="0" w:afterAutospacing="0"/>
                    <w:ind w:left="0" w:leftChars="0" w:right="0"/>
                    <w:jc w:val="center"/>
                    <w:rPr>
                      <w:rFonts w:hint="eastAsia" w:ascii="Times New Roman" w:hAnsi="Times New Roman" w:cs="Times New Roman"/>
                      <w:color w:val="auto"/>
                      <w:sz w:val="21"/>
                      <w:szCs w:val="21"/>
                    </w:rPr>
                  </w:pPr>
                  <w:r>
                    <w:rPr>
                      <w:rFonts w:hint="default" w:ascii="Times New Roman" w:hAnsi="Times New Roman" w:cs="Times New Roman"/>
                      <w:color w:val="auto"/>
                      <w:sz w:val="21"/>
                      <w:szCs w:val="21"/>
                    </w:rPr>
                    <w:t>1次/</w:t>
                  </w:r>
                  <w:r>
                    <w:rPr>
                      <w:rFonts w:hint="eastAsia" w:ascii="Times New Roman" w:hAnsi="Times New Roman" w:cs="Times New Roman"/>
                      <w:color w:val="auto"/>
                      <w:sz w:val="21"/>
                      <w:szCs w:val="21"/>
                    </w:rPr>
                    <w:t>年</w:t>
                  </w:r>
                </w:p>
              </w:tc>
            </w:tr>
            <w:tr w14:paraId="48448E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71" w:hRule="atLeast"/>
                <w:jc w:val="center"/>
              </w:trPr>
              <w:tc>
                <w:tcPr>
                  <w:tcW w:w="653" w:type="pct"/>
                  <w:vMerge w:val="continue"/>
                  <w:noWrap w:val="0"/>
                  <w:vAlign w:val="center"/>
                </w:tcPr>
                <w:p w14:paraId="031DBAD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p>
              </w:tc>
              <w:tc>
                <w:tcPr>
                  <w:tcW w:w="1299" w:type="pct"/>
                  <w:noWrap w:val="0"/>
                  <w:vAlign w:val="center"/>
                </w:tcPr>
                <w:p w14:paraId="494985C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rPr>
                    <w:t>DA00</w:t>
                  </w:r>
                  <w:r>
                    <w:rPr>
                      <w:rFonts w:hint="eastAsia" w:cs="Times New Roman"/>
                      <w:color w:val="auto"/>
                      <w:szCs w:val="21"/>
                      <w:lang w:val="en-US" w:eastAsia="zh-CN"/>
                    </w:rPr>
                    <w:t>2</w:t>
                  </w:r>
                </w:p>
              </w:tc>
              <w:tc>
                <w:tcPr>
                  <w:tcW w:w="1436" w:type="pct"/>
                  <w:noWrap w:val="0"/>
                  <w:vAlign w:val="center"/>
                </w:tcPr>
                <w:p w14:paraId="3AA4A5BC">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szCs w:val="21"/>
                    </w:rPr>
                  </w:pPr>
                  <w:r>
                    <w:rPr>
                      <w:rFonts w:hint="eastAsia" w:cs="Times New Roman"/>
                      <w:color w:val="auto"/>
                      <w:szCs w:val="21"/>
                      <w:lang w:val="en-US" w:eastAsia="zh-CN"/>
                    </w:rPr>
                    <w:t>非甲烷总烃</w:t>
                  </w:r>
                </w:p>
              </w:tc>
              <w:tc>
                <w:tcPr>
                  <w:tcW w:w="1611" w:type="pct"/>
                  <w:noWrap w:val="0"/>
                  <w:vAlign w:val="center"/>
                </w:tcPr>
                <w:p w14:paraId="068E2F01">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w:t>
                  </w:r>
                  <w:r>
                    <w:rPr>
                      <w:rFonts w:hint="eastAsia" w:ascii="Times New Roman" w:hAnsi="Times New Roman" w:cs="Times New Roman"/>
                      <w:color w:val="auto"/>
                      <w:sz w:val="21"/>
                      <w:szCs w:val="21"/>
                    </w:rPr>
                    <w:t>年</w:t>
                  </w:r>
                </w:p>
              </w:tc>
            </w:tr>
            <w:tr w14:paraId="7056F8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71" w:hRule="atLeast"/>
                <w:jc w:val="center"/>
              </w:trPr>
              <w:tc>
                <w:tcPr>
                  <w:tcW w:w="653" w:type="pct"/>
                  <w:vMerge w:val="continue"/>
                  <w:noWrap w:val="0"/>
                  <w:vAlign w:val="center"/>
                </w:tcPr>
                <w:p w14:paraId="0E019E4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p>
              </w:tc>
              <w:tc>
                <w:tcPr>
                  <w:tcW w:w="1299" w:type="pct"/>
                  <w:noWrap w:val="0"/>
                  <w:vAlign w:val="center"/>
                </w:tcPr>
                <w:p w14:paraId="110B7F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DA003</w:t>
                  </w:r>
                </w:p>
              </w:tc>
              <w:tc>
                <w:tcPr>
                  <w:tcW w:w="1436" w:type="pct"/>
                  <w:noWrap w:val="0"/>
                  <w:vAlign w:val="center"/>
                </w:tcPr>
                <w:p w14:paraId="428F61F0">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szCs w:val="21"/>
                    </w:rPr>
                  </w:pPr>
                  <w:r>
                    <w:rPr>
                      <w:rFonts w:hint="eastAsia" w:cs="Times New Roman"/>
                      <w:color w:val="auto"/>
                      <w:szCs w:val="21"/>
                      <w:lang w:val="en-US" w:eastAsia="zh-CN"/>
                    </w:rPr>
                    <w:t>非甲烷总烃</w:t>
                  </w:r>
                </w:p>
              </w:tc>
              <w:tc>
                <w:tcPr>
                  <w:tcW w:w="1611" w:type="pct"/>
                  <w:noWrap w:val="0"/>
                  <w:vAlign w:val="center"/>
                </w:tcPr>
                <w:p w14:paraId="3E06148D">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w:t>
                  </w:r>
                  <w:r>
                    <w:rPr>
                      <w:rFonts w:hint="eastAsia" w:ascii="Times New Roman" w:hAnsi="Times New Roman" w:cs="Times New Roman"/>
                      <w:color w:val="auto"/>
                      <w:sz w:val="21"/>
                      <w:szCs w:val="21"/>
                    </w:rPr>
                    <w:t>年</w:t>
                  </w:r>
                </w:p>
              </w:tc>
            </w:tr>
            <w:tr w14:paraId="2F7B6C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71" w:hRule="atLeast"/>
                <w:jc w:val="center"/>
              </w:trPr>
              <w:tc>
                <w:tcPr>
                  <w:tcW w:w="653" w:type="pct"/>
                  <w:vMerge w:val="continue"/>
                  <w:noWrap w:val="0"/>
                  <w:vAlign w:val="center"/>
                </w:tcPr>
                <w:p w14:paraId="36BEA1F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p>
              </w:tc>
              <w:tc>
                <w:tcPr>
                  <w:tcW w:w="1299" w:type="pct"/>
                  <w:noWrap w:val="0"/>
                  <w:vAlign w:val="center"/>
                </w:tcPr>
                <w:p w14:paraId="4BE7EEEC">
                  <w:pPr>
                    <w:keepNext w:val="0"/>
                    <w:keepLines w:val="0"/>
                    <w:suppressLineNumbers w:val="0"/>
                    <w:adjustRightInd w:val="0"/>
                    <w:snapToGrid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DA004</w:t>
                  </w:r>
                </w:p>
              </w:tc>
              <w:tc>
                <w:tcPr>
                  <w:tcW w:w="1436" w:type="pct"/>
                  <w:noWrap w:val="0"/>
                  <w:vAlign w:val="center"/>
                </w:tcPr>
                <w:p w14:paraId="4D6ECFDC">
                  <w:pPr>
                    <w:keepNext w:val="0"/>
                    <w:keepLines w:val="0"/>
                    <w:suppressLineNumbers w:val="0"/>
                    <w:adjustRightInd w:val="0"/>
                    <w:snapToGrid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油烟</w:t>
                  </w:r>
                </w:p>
              </w:tc>
              <w:tc>
                <w:tcPr>
                  <w:tcW w:w="1611" w:type="pct"/>
                  <w:noWrap w:val="0"/>
                  <w:vAlign w:val="center"/>
                </w:tcPr>
                <w:p w14:paraId="1C886A6B">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w:t>
                  </w:r>
                  <w:r>
                    <w:rPr>
                      <w:rFonts w:hint="eastAsia" w:ascii="Times New Roman" w:hAnsi="Times New Roman" w:cs="Times New Roman"/>
                      <w:color w:val="auto"/>
                      <w:sz w:val="21"/>
                      <w:szCs w:val="21"/>
                    </w:rPr>
                    <w:t>年</w:t>
                  </w:r>
                </w:p>
              </w:tc>
            </w:tr>
            <w:tr w14:paraId="7ABE6C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653" w:type="pct"/>
                  <w:vMerge w:val="restart"/>
                  <w:noWrap w:val="0"/>
                  <w:vAlign w:val="center"/>
                </w:tcPr>
                <w:p w14:paraId="429E3AB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rPr>
                    <w:t>无组织</w:t>
                  </w:r>
                </w:p>
              </w:tc>
              <w:tc>
                <w:tcPr>
                  <w:tcW w:w="1299" w:type="pct"/>
                  <w:noWrap w:val="0"/>
                  <w:vAlign w:val="center"/>
                </w:tcPr>
                <w:p w14:paraId="26BA55D8">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Times New Roman"/>
                      <w:color w:val="auto"/>
                      <w:szCs w:val="21"/>
                    </w:rPr>
                  </w:pPr>
                  <w:r>
                    <w:rPr>
                      <w:rFonts w:hint="default" w:ascii="Times New Roman" w:hAnsi="Times New Roman" w:cs="Times New Roman"/>
                      <w:color w:val="auto"/>
                      <w:sz w:val="21"/>
                      <w:szCs w:val="21"/>
                    </w:rPr>
                    <w:t>厂界（上风向1个点</w:t>
                  </w:r>
                  <w:r>
                    <w:rPr>
                      <w:rFonts w:hint="eastAsia" w:ascii="Times New Roman" w:hAnsi="Times New Roman" w:cs="Times New Roman"/>
                      <w:color w:val="auto"/>
                      <w:sz w:val="21"/>
                      <w:szCs w:val="21"/>
                    </w:rPr>
                    <w:t>、</w:t>
                  </w:r>
                  <w:r>
                    <w:rPr>
                      <w:rFonts w:hint="default" w:ascii="Times New Roman" w:hAnsi="Times New Roman" w:cs="Times New Roman"/>
                      <w:color w:val="auto"/>
                      <w:sz w:val="21"/>
                      <w:szCs w:val="21"/>
                    </w:rPr>
                    <w:t>下风向3个点）</w:t>
                  </w:r>
                </w:p>
              </w:tc>
              <w:tc>
                <w:tcPr>
                  <w:tcW w:w="1436" w:type="pct"/>
                  <w:noWrap w:val="0"/>
                  <w:vAlign w:val="center"/>
                </w:tcPr>
                <w:p w14:paraId="041264D6">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 w:val="21"/>
                      <w:szCs w:val="21"/>
                    </w:rPr>
                    <w:t>非甲烷总烃</w:t>
                  </w:r>
                </w:p>
              </w:tc>
              <w:tc>
                <w:tcPr>
                  <w:tcW w:w="1611" w:type="pct"/>
                  <w:noWrap w:val="0"/>
                  <w:vAlign w:val="center"/>
                </w:tcPr>
                <w:p w14:paraId="31109FB7">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1次/年</w:t>
                  </w:r>
                </w:p>
              </w:tc>
            </w:tr>
            <w:tr w14:paraId="408236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653" w:type="pct"/>
                  <w:vMerge w:val="continue"/>
                  <w:noWrap w:val="0"/>
                  <w:vAlign w:val="center"/>
                </w:tcPr>
                <w:p w14:paraId="2A25945B">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auto"/>
                      <w:szCs w:val="21"/>
                    </w:rPr>
                  </w:pPr>
                </w:p>
              </w:tc>
              <w:tc>
                <w:tcPr>
                  <w:tcW w:w="1299" w:type="pct"/>
                  <w:noWrap w:val="0"/>
                  <w:vAlign w:val="center"/>
                </w:tcPr>
                <w:p w14:paraId="701FCE19">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cs="Times New Roman"/>
                      <w:color w:val="auto"/>
                      <w:szCs w:val="21"/>
                    </w:rPr>
                  </w:pPr>
                  <w:r>
                    <w:rPr>
                      <w:rFonts w:hint="eastAsia" w:ascii="Times New Roman" w:hAnsi="Times New Roman" w:cs="Times New Roman"/>
                      <w:color w:val="auto"/>
                      <w:sz w:val="21"/>
                      <w:szCs w:val="21"/>
                      <w:highlight w:val="none"/>
                      <w:lang w:val="en-US" w:eastAsia="zh-CN"/>
                    </w:rPr>
                    <w:t>厂区内（3个点）</w:t>
                  </w:r>
                </w:p>
              </w:tc>
              <w:tc>
                <w:tcPr>
                  <w:tcW w:w="1436" w:type="pct"/>
                  <w:noWrap w:val="0"/>
                  <w:vAlign w:val="center"/>
                </w:tcPr>
                <w:p w14:paraId="7065AE7D">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cs="Times New Roman"/>
                      <w:color w:val="auto"/>
                      <w:szCs w:val="21"/>
                      <w:lang w:val="en-US" w:eastAsia="zh-CN"/>
                    </w:rPr>
                  </w:pPr>
                  <w:r>
                    <w:rPr>
                      <w:rFonts w:hint="default" w:ascii="Times New Roman" w:hAnsi="Times New Roman" w:cs="Times New Roman"/>
                      <w:color w:val="auto"/>
                      <w:sz w:val="21"/>
                      <w:szCs w:val="21"/>
                    </w:rPr>
                    <w:t>非甲烷总烃</w:t>
                  </w:r>
                </w:p>
              </w:tc>
              <w:tc>
                <w:tcPr>
                  <w:tcW w:w="1611" w:type="pct"/>
                  <w:noWrap w:val="0"/>
                  <w:vAlign w:val="center"/>
                </w:tcPr>
                <w:p w14:paraId="2DA5B3DD">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1次/年</w:t>
                  </w:r>
                </w:p>
              </w:tc>
            </w:tr>
          </w:tbl>
          <w:p w14:paraId="350EA7A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rPr>
              <w:t>（</w:t>
            </w:r>
            <w:r>
              <w:rPr>
                <w:rFonts w:hint="eastAsia" w:ascii="Times New Roman" w:hAnsi="Times New Roman" w:cs="Times New Roman"/>
                <w:color w:val="auto"/>
                <w:sz w:val="24"/>
                <w:lang w:val="en-US" w:eastAsia="zh-CN"/>
              </w:rPr>
              <w:t>8</w:t>
            </w:r>
            <w:r>
              <w:rPr>
                <w:rFonts w:hint="eastAsia" w:ascii="Times New Roman" w:hAnsi="Times New Roman" w:cs="Times New Roman"/>
                <w:color w:val="auto"/>
                <w:sz w:val="24"/>
              </w:rPr>
              <w:t>）非正常排放</w:t>
            </w:r>
            <w:r>
              <w:rPr>
                <w:rFonts w:hint="default" w:ascii="Times New Roman" w:hAnsi="Times New Roman" w:cs="Times New Roman"/>
                <w:color w:val="auto"/>
                <w:sz w:val="24"/>
              </w:rPr>
              <w:t>情况</w:t>
            </w:r>
          </w:p>
          <w:p w14:paraId="28C035BA">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kern w:val="0"/>
                <w:sz w:val="24"/>
                <w:szCs w:val="32"/>
              </w:rPr>
            </w:pPr>
            <w:r>
              <w:rPr>
                <w:rFonts w:hint="default" w:ascii="Times New Roman" w:hAnsi="Times New Roman" w:cs="Times New Roman"/>
                <w:kern w:val="0"/>
                <w:sz w:val="24"/>
                <w:szCs w:val="32"/>
              </w:rPr>
              <w:t>本项目非正常工况主要为项目环保设施失效。当环保设施失效时，污染物未经处理直接排放，对周围环境影响较大。本次评价要求当发生环保设施失效的情况时，应立即停止生产，对环保设施进行检修，待环保设施可正常运行后，再进行生产。本项目污染物非正常排放情况见下表。</w:t>
            </w:r>
          </w:p>
          <w:p w14:paraId="629138B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kern w:val="0"/>
                <w:sz w:val="24"/>
                <w:szCs w:val="32"/>
              </w:rPr>
            </w:pPr>
            <w:r>
              <w:rPr>
                <w:rFonts w:hint="default" w:ascii="Times New Roman" w:hAnsi="Times New Roman" w:cs="Times New Roman"/>
                <w:b/>
                <w:bCs/>
                <w:kern w:val="0"/>
                <w:sz w:val="24"/>
                <w:szCs w:val="32"/>
              </w:rPr>
              <w:t>表4-</w:t>
            </w:r>
            <w:r>
              <w:rPr>
                <w:rFonts w:hint="eastAsia" w:cs="Times New Roman"/>
                <w:b/>
                <w:bCs/>
                <w:kern w:val="0"/>
                <w:sz w:val="24"/>
                <w:szCs w:val="32"/>
                <w:lang w:val="en-US" w:eastAsia="zh-CN"/>
              </w:rPr>
              <w:t>5</w:t>
            </w:r>
            <w:r>
              <w:rPr>
                <w:rFonts w:hint="default" w:ascii="Times New Roman" w:hAnsi="Times New Roman" w:cs="Times New Roman"/>
                <w:b/>
                <w:bCs/>
                <w:kern w:val="0"/>
                <w:sz w:val="24"/>
                <w:szCs w:val="32"/>
              </w:rPr>
              <w:t xml:space="preserve">  非正常情况排放量核算表</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805"/>
              <w:gridCol w:w="996"/>
              <w:gridCol w:w="761"/>
              <w:gridCol w:w="1110"/>
              <w:gridCol w:w="1002"/>
              <w:gridCol w:w="829"/>
              <w:gridCol w:w="591"/>
              <w:gridCol w:w="856"/>
              <w:gridCol w:w="1483"/>
            </w:tblGrid>
            <w:tr w14:paraId="735CF0E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477" w:type="pct"/>
                  <w:noWrap w:val="0"/>
                  <w:vAlign w:val="center"/>
                </w:tcPr>
                <w:p w14:paraId="43D053D1">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污染源</w:t>
                  </w:r>
                </w:p>
              </w:tc>
              <w:tc>
                <w:tcPr>
                  <w:tcW w:w="590" w:type="pct"/>
                  <w:noWrap w:val="0"/>
                  <w:vAlign w:val="center"/>
                </w:tcPr>
                <w:p w14:paraId="35DE20CA">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非正常</w:t>
                  </w:r>
                </w:p>
                <w:p w14:paraId="38DDEC93">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排放原因</w:t>
                  </w:r>
                </w:p>
              </w:tc>
              <w:tc>
                <w:tcPr>
                  <w:tcW w:w="451" w:type="pct"/>
                  <w:noWrap w:val="0"/>
                  <w:vAlign w:val="center"/>
                </w:tcPr>
                <w:p w14:paraId="0540A85C">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污染物</w:t>
                  </w:r>
                </w:p>
              </w:tc>
              <w:tc>
                <w:tcPr>
                  <w:tcW w:w="658" w:type="pct"/>
                  <w:noWrap w:val="0"/>
                  <w:vAlign w:val="center"/>
                </w:tcPr>
                <w:p w14:paraId="11955BC1">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非正常排放浓度/（mg/m</w:t>
                  </w:r>
                  <w:r>
                    <w:rPr>
                      <w:rFonts w:hint="default" w:ascii="Times New Roman" w:hAnsi="Times New Roman" w:cs="Times New Roman"/>
                      <w:b/>
                      <w:bCs/>
                      <w:szCs w:val="21"/>
                      <w:vertAlign w:val="superscript"/>
                    </w:rPr>
                    <w:t>3</w:t>
                  </w:r>
                  <w:r>
                    <w:rPr>
                      <w:rFonts w:hint="default" w:ascii="Times New Roman" w:hAnsi="Times New Roman" w:cs="Times New Roman"/>
                      <w:b/>
                      <w:bCs/>
                      <w:szCs w:val="21"/>
                    </w:rPr>
                    <w:t>）</w:t>
                  </w:r>
                </w:p>
              </w:tc>
              <w:tc>
                <w:tcPr>
                  <w:tcW w:w="594" w:type="pct"/>
                  <w:noWrap w:val="0"/>
                  <w:vAlign w:val="center"/>
                </w:tcPr>
                <w:p w14:paraId="7CA26A2C">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非正常排放速率/（kg/h）</w:t>
                  </w:r>
                </w:p>
              </w:tc>
              <w:tc>
                <w:tcPr>
                  <w:tcW w:w="491" w:type="pct"/>
                  <w:noWrap w:val="0"/>
                  <w:vAlign w:val="center"/>
                </w:tcPr>
                <w:p w14:paraId="473D884E">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单次持续时间/h</w:t>
                  </w:r>
                </w:p>
              </w:tc>
              <w:tc>
                <w:tcPr>
                  <w:tcW w:w="350" w:type="pct"/>
                  <w:noWrap w:val="0"/>
                  <w:vAlign w:val="center"/>
                </w:tcPr>
                <w:p w14:paraId="402E0947">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年发生频次/次</w:t>
                  </w:r>
                </w:p>
              </w:tc>
              <w:tc>
                <w:tcPr>
                  <w:tcW w:w="507" w:type="pct"/>
                  <w:noWrap w:val="0"/>
                  <w:vAlign w:val="center"/>
                </w:tcPr>
                <w:p w14:paraId="068F8381">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排放量/（kg/a）</w:t>
                  </w:r>
                </w:p>
              </w:tc>
              <w:tc>
                <w:tcPr>
                  <w:tcW w:w="879" w:type="pct"/>
                  <w:noWrap w:val="0"/>
                  <w:vAlign w:val="center"/>
                </w:tcPr>
                <w:p w14:paraId="69C8D1CC">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应对措施</w:t>
                  </w:r>
                </w:p>
              </w:tc>
            </w:tr>
            <w:tr w14:paraId="44FBFA5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477" w:type="pct"/>
                  <w:noWrap w:val="0"/>
                  <w:vAlign w:val="center"/>
                </w:tcPr>
                <w:p w14:paraId="5553302F">
                  <w:pPr>
                    <w:pStyle w:val="6"/>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DA00</w:t>
                  </w:r>
                  <w:r>
                    <w:rPr>
                      <w:rFonts w:hint="eastAsia" w:ascii="Times New Roman" w:hAnsi="Times New Roman" w:cs="Times New Roman"/>
                      <w:sz w:val="21"/>
                      <w:szCs w:val="21"/>
                      <w:lang w:val="en-US" w:eastAsia="zh-CN"/>
                    </w:rPr>
                    <w:t>1</w:t>
                  </w:r>
                </w:p>
              </w:tc>
              <w:tc>
                <w:tcPr>
                  <w:tcW w:w="590" w:type="pct"/>
                  <w:vMerge w:val="restart"/>
                  <w:noWrap w:val="0"/>
                  <w:vAlign w:val="center"/>
                </w:tcPr>
                <w:p w14:paraId="6C70951C">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废气处理设施发生故障，处理效率为0</w:t>
                  </w:r>
                </w:p>
              </w:tc>
              <w:tc>
                <w:tcPr>
                  <w:tcW w:w="451" w:type="pct"/>
                  <w:noWrap w:val="0"/>
                  <w:vAlign w:val="center"/>
                </w:tcPr>
                <w:p w14:paraId="188575C4">
                  <w:pPr>
                    <w:pStyle w:val="3"/>
                    <w:keepNext w:val="0"/>
                    <w:keepLines w:val="0"/>
                    <w:suppressLineNumbers w:val="0"/>
                    <w:spacing w:before="0" w:beforeAutospacing="0" w:after="0" w:afterAutospacing="0"/>
                    <w:ind w:left="0" w:leftChars="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非甲烷总烃</w:t>
                  </w:r>
                </w:p>
              </w:tc>
              <w:tc>
                <w:tcPr>
                  <w:tcW w:w="658" w:type="pct"/>
                  <w:noWrap w:val="0"/>
                  <w:vAlign w:val="center"/>
                </w:tcPr>
                <w:p w14:paraId="6645CD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54.17</w:t>
                  </w:r>
                </w:p>
              </w:tc>
              <w:tc>
                <w:tcPr>
                  <w:tcW w:w="594" w:type="pct"/>
                  <w:noWrap w:val="0"/>
                  <w:vAlign w:val="center"/>
                </w:tcPr>
                <w:p w14:paraId="6C6015B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0.325</w:t>
                  </w:r>
                </w:p>
              </w:tc>
              <w:tc>
                <w:tcPr>
                  <w:tcW w:w="491" w:type="pct"/>
                  <w:vMerge w:val="restart"/>
                  <w:noWrap w:val="0"/>
                  <w:vAlign w:val="center"/>
                </w:tcPr>
                <w:p w14:paraId="1197624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0.5</w:t>
                  </w:r>
                </w:p>
              </w:tc>
              <w:tc>
                <w:tcPr>
                  <w:tcW w:w="350" w:type="pct"/>
                  <w:vMerge w:val="restart"/>
                  <w:noWrap w:val="0"/>
                  <w:vAlign w:val="center"/>
                </w:tcPr>
                <w:p w14:paraId="1E76210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2</w:t>
                  </w:r>
                </w:p>
              </w:tc>
              <w:tc>
                <w:tcPr>
                  <w:tcW w:w="507" w:type="pct"/>
                  <w:noWrap w:val="0"/>
                  <w:vAlign w:val="center"/>
                </w:tcPr>
                <w:p w14:paraId="06204B8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0.325</w:t>
                  </w:r>
                </w:p>
              </w:tc>
              <w:tc>
                <w:tcPr>
                  <w:tcW w:w="879" w:type="pct"/>
                  <w:vMerge w:val="restart"/>
                  <w:noWrap w:val="0"/>
                  <w:vAlign w:val="center"/>
                </w:tcPr>
                <w:p w14:paraId="4810B641">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立即停止生产，关闭排放阀，及时检修设备</w:t>
                  </w:r>
                </w:p>
              </w:tc>
            </w:tr>
            <w:tr w14:paraId="6AAF6C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84" w:hRule="atLeast"/>
                <w:jc w:val="center"/>
              </w:trPr>
              <w:tc>
                <w:tcPr>
                  <w:tcW w:w="477" w:type="pct"/>
                  <w:noWrap w:val="0"/>
                  <w:vAlign w:val="center"/>
                </w:tcPr>
                <w:p w14:paraId="6CEC5B9C">
                  <w:pPr>
                    <w:pStyle w:val="6"/>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DA00</w:t>
                  </w:r>
                  <w:r>
                    <w:rPr>
                      <w:rFonts w:hint="eastAsia" w:ascii="Times New Roman" w:hAnsi="Times New Roman" w:cs="Times New Roman"/>
                      <w:sz w:val="21"/>
                      <w:szCs w:val="21"/>
                      <w:lang w:val="en-US" w:eastAsia="zh-CN"/>
                    </w:rPr>
                    <w:t>2</w:t>
                  </w:r>
                </w:p>
              </w:tc>
              <w:tc>
                <w:tcPr>
                  <w:tcW w:w="590" w:type="pct"/>
                  <w:vMerge w:val="continue"/>
                  <w:noWrap w:val="0"/>
                  <w:vAlign w:val="center"/>
                </w:tcPr>
                <w:p w14:paraId="309F48AA">
                  <w:pPr>
                    <w:keepNext w:val="0"/>
                    <w:keepLines w:val="0"/>
                    <w:widowControl/>
                    <w:suppressLineNumbers w:val="0"/>
                    <w:spacing w:before="0" w:beforeAutospacing="0" w:after="0" w:afterAutospacing="0"/>
                    <w:ind w:left="0" w:right="0"/>
                    <w:jc w:val="left"/>
                    <w:rPr>
                      <w:rFonts w:hint="default" w:ascii="Times New Roman" w:hAnsi="Times New Roman" w:cs="Times New Roman"/>
                      <w:szCs w:val="21"/>
                    </w:rPr>
                  </w:pPr>
                </w:p>
              </w:tc>
              <w:tc>
                <w:tcPr>
                  <w:tcW w:w="451" w:type="pct"/>
                  <w:noWrap w:val="0"/>
                  <w:vAlign w:val="center"/>
                </w:tcPr>
                <w:p w14:paraId="49B4D456">
                  <w:pPr>
                    <w:pStyle w:val="3"/>
                    <w:keepNext w:val="0"/>
                    <w:keepLines w:val="0"/>
                    <w:suppressLineNumbers w:val="0"/>
                    <w:spacing w:before="0" w:beforeAutospacing="0" w:after="0" w:afterAutospacing="0"/>
                    <w:ind w:left="0" w:leftChars="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非甲烷总烃</w:t>
                  </w:r>
                </w:p>
              </w:tc>
              <w:tc>
                <w:tcPr>
                  <w:tcW w:w="658" w:type="pct"/>
                  <w:noWrap w:val="0"/>
                  <w:vAlign w:val="center"/>
                </w:tcPr>
                <w:p w14:paraId="1D7F368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szCs w:val="21"/>
                      <w:lang w:val="en-US" w:eastAsia="zh-CN"/>
                      <w14:textFill>
                        <w14:solidFill>
                          <w14:schemeClr w14:val="tx1"/>
                        </w14:solidFill>
                      </w14:textFill>
                    </w:rPr>
                    <w:t>51.67</w:t>
                  </w:r>
                </w:p>
              </w:tc>
              <w:tc>
                <w:tcPr>
                  <w:tcW w:w="594" w:type="pct"/>
                  <w:noWrap w:val="0"/>
                  <w:vAlign w:val="center"/>
                </w:tcPr>
                <w:p w14:paraId="66BCA6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0.31</w:t>
                  </w:r>
                </w:p>
              </w:tc>
              <w:tc>
                <w:tcPr>
                  <w:tcW w:w="491" w:type="pct"/>
                  <w:vMerge w:val="continue"/>
                  <w:noWrap w:val="0"/>
                  <w:vAlign w:val="center"/>
                </w:tcPr>
                <w:p w14:paraId="64B86462">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p>
              </w:tc>
              <w:tc>
                <w:tcPr>
                  <w:tcW w:w="350" w:type="pct"/>
                  <w:vMerge w:val="continue"/>
                  <w:noWrap w:val="0"/>
                  <w:vAlign w:val="center"/>
                </w:tcPr>
                <w:p w14:paraId="380A9A07">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p>
              </w:tc>
              <w:tc>
                <w:tcPr>
                  <w:tcW w:w="507" w:type="pct"/>
                  <w:noWrap w:val="0"/>
                  <w:vAlign w:val="center"/>
                </w:tcPr>
                <w:p w14:paraId="5F8F919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0.31</w:t>
                  </w:r>
                </w:p>
              </w:tc>
              <w:tc>
                <w:tcPr>
                  <w:tcW w:w="879" w:type="pct"/>
                  <w:vMerge w:val="continue"/>
                  <w:noWrap w:val="0"/>
                  <w:vAlign w:val="center"/>
                </w:tcPr>
                <w:p w14:paraId="2683EC21">
                  <w:pPr>
                    <w:keepNext w:val="0"/>
                    <w:keepLines w:val="0"/>
                    <w:widowControl/>
                    <w:suppressLineNumbers w:val="0"/>
                    <w:spacing w:before="0" w:beforeAutospacing="0" w:after="0" w:afterAutospacing="0"/>
                    <w:ind w:left="0" w:right="0"/>
                    <w:jc w:val="left"/>
                    <w:rPr>
                      <w:rFonts w:hint="default" w:ascii="Times New Roman" w:hAnsi="Times New Roman" w:cs="Times New Roman"/>
                      <w:szCs w:val="21"/>
                    </w:rPr>
                  </w:pPr>
                </w:p>
              </w:tc>
            </w:tr>
            <w:tr w14:paraId="7A990D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91" w:hRule="atLeast"/>
                <w:jc w:val="center"/>
              </w:trPr>
              <w:tc>
                <w:tcPr>
                  <w:tcW w:w="477" w:type="pct"/>
                  <w:noWrap w:val="0"/>
                  <w:vAlign w:val="center"/>
                </w:tcPr>
                <w:p w14:paraId="5F5B76B6">
                  <w:pPr>
                    <w:pStyle w:val="6"/>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DA00</w:t>
                  </w:r>
                  <w:r>
                    <w:rPr>
                      <w:rFonts w:hint="eastAsia" w:cs="Times New Roman"/>
                      <w:sz w:val="21"/>
                      <w:szCs w:val="21"/>
                      <w:lang w:val="en-US" w:eastAsia="zh-CN"/>
                    </w:rPr>
                    <w:t>3</w:t>
                  </w:r>
                </w:p>
              </w:tc>
              <w:tc>
                <w:tcPr>
                  <w:tcW w:w="590" w:type="pct"/>
                  <w:vMerge w:val="continue"/>
                  <w:noWrap w:val="0"/>
                  <w:vAlign w:val="center"/>
                </w:tcPr>
                <w:p w14:paraId="1CDBEC1D">
                  <w:pPr>
                    <w:keepNext w:val="0"/>
                    <w:keepLines w:val="0"/>
                    <w:widowControl/>
                    <w:suppressLineNumbers w:val="0"/>
                    <w:spacing w:before="0" w:beforeAutospacing="0" w:after="0" w:afterAutospacing="0"/>
                    <w:ind w:left="0" w:right="0"/>
                    <w:jc w:val="left"/>
                    <w:rPr>
                      <w:rFonts w:hint="default" w:ascii="Times New Roman" w:hAnsi="Times New Roman" w:cs="Times New Roman"/>
                      <w:szCs w:val="21"/>
                    </w:rPr>
                  </w:pPr>
                </w:p>
              </w:tc>
              <w:tc>
                <w:tcPr>
                  <w:tcW w:w="451" w:type="pct"/>
                  <w:noWrap w:val="0"/>
                  <w:vAlign w:val="center"/>
                </w:tcPr>
                <w:p w14:paraId="3299BA93">
                  <w:pPr>
                    <w:pStyle w:val="3"/>
                    <w:keepNext w:val="0"/>
                    <w:keepLines w:val="0"/>
                    <w:suppressLineNumbers w:val="0"/>
                    <w:spacing w:before="0" w:beforeAutospacing="0" w:after="0" w:afterAutospacing="0"/>
                    <w:ind w:left="0" w:leftChars="0" w:right="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非甲烷总烃</w:t>
                  </w:r>
                </w:p>
              </w:tc>
              <w:tc>
                <w:tcPr>
                  <w:tcW w:w="658" w:type="pct"/>
                  <w:noWrap w:val="0"/>
                  <w:vAlign w:val="center"/>
                </w:tcPr>
                <w:p w14:paraId="64E25E7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2.33</w:t>
                  </w:r>
                </w:p>
              </w:tc>
              <w:tc>
                <w:tcPr>
                  <w:tcW w:w="594" w:type="pct"/>
                  <w:noWrap w:val="0"/>
                  <w:vAlign w:val="center"/>
                </w:tcPr>
                <w:p w14:paraId="15FCCD1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0.014</w:t>
                  </w:r>
                </w:p>
              </w:tc>
              <w:tc>
                <w:tcPr>
                  <w:tcW w:w="491" w:type="pct"/>
                  <w:vMerge w:val="continue"/>
                  <w:noWrap w:val="0"/>
                  <w:vAlign w:val="center"/>
                </w:tcPr>
                <w:p w14:paraId="140C942E">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p>
              </w:tc>
              <w:tc>
                <w:tcPr>
                  <w:tcW w:w="350" w:type="pct"/>
                  <w:vMerge w:val="continue"/>
                  <w:noWrap w:val="0"/>
                  <w:vAlign w:val="center"/>
                </w:tcPr>
                <w:p w14:paraId="53A182DB">
                  <w:pPr>
                    <w:keepNext w:val="0"/>
                    <w:keepLines w:val="0"/>
                    <w:widowControl/>
                    <w:suppressLineNumbers w:val="0"/>
                    <w:spacing w:before="0" w:beforeAutospacing="0" w:after="0" w:afterAutospacing="0"/>
                    <w:ind w:left="0" w:right="0"/>
                    <w:jc w:val="left"/>
                    <w:rPr>
                      <w:rFonts w:hint="default" w:ascii="Times New Roman" w:hAnsi="Times New Roman" w:cs="Times New Roman"/>
                      <w:color w:val="000000" w:themeColor="text1"/>
                      <w:szCs w:val="21"/>
                      <w14:textFill>
                        <w14:solidFill>
                          <w14:schemeClr w14:val="tx1"/>
                        </w14:solidFill>
                      </w14:textFill>
                    </w:rPr>
                  </w:pPr>
                </w:p>
              </w:tc>
              <w:tc>
                <w:tcPr>
                  <w:tcW w:w="507" w:type="pct"/>
                  <w:noWrap w:val="0"/>
                  <w:vAlign w:val="center"/>
                </w:tcPr>
                <w:p w14:paraId="091754E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0.014</w:t>
                  </w:r>
                </w:p>
              </w:tc>
              <w:tc>
                <w:tcPr>
                  <w:tcW w:w="879" w:type="pct"/>
                  <w:vMerge w:val="continue"/>
                  <w:noWrap w:val="0"/>
                  <w:vAlign w:val="center"/>
                </w:tcPr>
                <w:p w14:paraId="03F0285A">
                  <w:pPr>
                    <w:keepNext w:val="0"/>
                    <w:keepLines w:val="0"/>
                    <w:widowControl/>
                    <w:suppressLineNumbers w:val="0"/>
                    <w:spacing w:before="0" w:beforeAutospacing="0" w:after="0" w:afterAutospacing="0"/>
                    <w:ind w:left="0" w:right="0"/>
                    <w:jc w:val="left"/>
                    <w:rPr>
                      <w:rFonts w:hint="default" w:ascii="Times New Roman" w:hAnsi="Times New Roman" w:cs="Times New Roman"/>
                      <w:szCs w:val="21"/>
                    </w:rPr>
                  </w:pPr>
                </w:p>
              </w:tc>
            </w:tr>
          </w:tbl>
          <w:p w14:paraId="32589067">
            <w:pPr>
              <w:keepNext w:val="0"/>
              <w:keepLines w:val="0"/>
              <w:suppressLineNumbers w:val="0"/>
              <w:tabs>
                <w:tab w:val="left" w:pos="2851"/>
              </w:tabs>
              <w:adjustRightInd w:val="0"/>
              <w:snapToGrid w:val="0"/>
              <w:spacing w:before="0" w:beforeAutospacing="0" w:after="0" w:afterAutospacing="0" w:line="360" w:lineRule="auto"/>
              <w:ind w:left="0" w:right="0"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2、废水</w:t>
            </w:r>
          </w:p>
          <w:p w14:paraId="251884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cs="Times New Roman"/>
                <w:color w:val="auto"/>
                <w:kern w:val="0"/>
                <w:sz w:val="24"/>
                <w:lang w:val="en-US" w:eastAsia="zh-CN"/>
              </w:rPr>
            </w:pPr>
            <w:r>
              <w:rPr>
                <w:rFonts w:hint="eastAsia" w:ascii="Times New Roman" w:hAnsi="Times New Roman" w:cs="Times New Roman"/>
                <w:color w:val="auto"/>
                <w:kern w:val="0"/>
                <w:sz w:val="24"/>
              </w:rPr>
              <w:t>本项目新增工作人员</w:t>
            </w:r>
            <w:r>
              <w:rPr>
                <w:rFonts w:hint="eastAsia" w:cs="Times New Roman"/>
                <w:color w:val="auto"/>
                <w:kern w:val="0"/>
                <w:sz w:val="24"/>
                <w:lang w:val="en-US" w:eastAsia="zh-CN"/>
              </w:rPr>
              <w:t>40人</w:t>
            </w:r>
            <w:r>
              <w:rPr>
                <w:rFonts w:hint="eastAsia" w:ascii="Times New Roman" w:hAnsi="Times New Roman" w:cs="Times New Roman"/>
                <w:color w:val="auto"/>
                <w:kern w:val="0"/>
                <w:sz w:val="24"/>
              </w:rPr>
              <w:t>，新增生活污水</w:t>
            </w:r>
            <w:r>
              <w:rPr>
                <w:rFonts w:hint="eastAsia" w:cs="Times New Roman"/>
                <w:color w:val="auto"/>
                <w:kern w:val="0"/>
                <w:sz w:val="24"/>
                <w:lang w:val="en-US" w:eastAsia="zh-CN"/>
              </w:rPr>
              <w:t>经化粪池处理后排入市政污水管网</w:t>
            </w:r>
            <w:r>
              <w:rPr>
                <w:rFonts w:hint="eastAsia" w:ascii="Times New Roman" w:hAnsi="Times New Roman" w:cs="Times New Roman"/>
                <w:color w:val="auto"/>
                <w:kern w:val="0"/>
                <w:sz w:val="24"/>
              </w:rPr>
              <w:t>。</w:t>
            </w:r>
            <w:r>
              <w:rPr>
                <w:rFonts w:hint="eastAsia" w:ascii="Times New Roman" w:hAnsi="Times New Roman" w:cs="Times New Roman"/>
                <w:color w:val="auto"/>
                <w:kern w:val="0"/>
                <w:sz w:val="24"/>
                <w:lang w:val="en-US" w:eastAsia="zh-CN"/>
              </w:rPr>
              <w:t>设备清洗废水经废水沉淀池收集处理后，再由油墨污水处理设备处理后循环使用</w:t>
            </w:r>
            <w:r>
              <w:rPr>
                <w:rFonts w:hint="eastAsia" w:cs="Times New Roman"/>
                <w:color w:val="auto"/>
                <w:kern w:val="0"/>
                <w:sz w:val="24"/>
                <w:lang w:val="en-US" w:eastAsia="zh-CN"/>
              </w:rPr>
              <w:t>，不外排</w:t>
            </w:r>
            <w:r>
              <w:rPr>
                <w:rFonts w:hint="eastAsia" w:ascii="Times New Roman" w:hAnsi="Times New Roman" w:cs="Times New Roman"/>
                <w:color w:val="auto"/>
                <w:kern w:val="0"/>
                <w:sz w:val="24"/>
              </w:rPr>
              <w:t>。</w:t>
            </w:r>
            <w:r>
              <w:rPr>
                <w:rFonts w:hint="eastAsia" w:cs="Times New Roman"/>
                <w:color w:val="auto"/>
                <w:kern w:val="0"/>
                <w:sz w:val="24"/>
                <w:lang w:val="en-US" w:eastAsia="zh-CN"/>
              </w:rPr>
              <w:t xml:space="preserve">           </w:t>
            </w:r>
          </w:p>
          <w:p w14:paraId="1B9325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cs="Times New Roman"/>
                <w:color w:val="auto"/>
                <w:kern w:val="0"/>
                <w:sz w:val="24"/>
                <w:lang w:val="en-US" w:eastAsia="zh-CN"/>
              </w:rPr>
            </w:pPr>
            <w:r>
              <w:rPr>
                <w:rFonts w:hint="eastAsia" w:cs="Times New Roman"/>
                <w:color w:val="auto"/>
                <w:kern w:val="0"/>
                <w:sz w:val="24"/>
                <w:lang w:val="en-US" w:eastAsia="zh-CN"/>
              </w:rPr>
              <w:t>（1）生活污水</w:t>
            </w:r>
          </w:p>
          <w:p w14:paraId="0AF8641D">
            <w:pPr>
              <w:keepNext w:val="0"/>
              <w:keepLines w:val="0"/>
              <w:suppressLineNumbers w:val="0"/>
              <w:spacing w:before="0" w:beforeAutospacing="0" w:after="0" w:afterAutospacing="0" w:line="360" w:lineRule="auto"/>
              <w:ind w:left="0" w:right="0" w:firstLine="480" w:firstLineChars="200"/>
              <w:rPr>
                <w:rFonts w:hint="default"/>
                <w:color w:val="000000" w:themeColor="text1"/>
                <w:highlight w:val="none"/>
                <w14:textFill>
                  <w14:solidFill>
                    <w14:schemeClr w14:val="tx1"/>
                  </w14:solidFill>
                </w14:textFill>
              </w:rPr>
            </w:pPr>
            <w:r>
              <w:rPr>
                <w:rFonts w:hint="eastAsia" w:ascii="Times New Roman" w:hAnsi="Times New Roman" w:eastAsia="宋体" w:cs="Times New Roman"/>
                <w:color w:val="auto"/>
                <w:sz w:val="24"/>
                <w:szCs w:val="24"/>
                <w:highlight w:val="none"/>
                <w:lang w:val="en-US" w:eastAsia="zh-CN"/>
              </w:rPr>
              <w:t>改扩建</w:t>
            </w:r>
            <w:r>
              <w:rPr>
                <w:rFonts w:hint="default" w:ascii="Times New Roman" w:hAnsi="Times New Roman" w:eastAsia="宋体" w:cs="Times New Roman"/>
                <w:color w:val="auto"/>
                <w:sz w:val="24"/>
                <w:szCs w:val="24"/>
                <w:highlight w:val="none"/>
                <w:lang w:val="en-US" w:eastAsia="zh-CN"/>
              </w:rPr>
              <w:t>后</w:t>
            </w:r>
            <w:r>
              <w:rPr>
                <w:rFonts w:hint="default" w:ascii="Times New Roman" w:hAnsi="Times New Roman" w:eastAsia="宋体" w:cs="Times New Roman"/>
                <w:color w:val="auto"/>
                <w:sz w:val="24"/>
                <w:szCs w:val="24"/>
              </w:rPr>
              <w:t>项目</w:t>
            </w:r>
            <w:r>
              <w:rPr>
                <w:rFonts w:hint="eastAsia" w:cs="Times New Roman"/>
                <w:color w:val="auto"/>
                <w:sz w:val="24"/>
                <w:szCs w:val="24"/>
                <w:lang w:val="en-US" w:eastAsia="zh-CN"/>
              </w:rPr>
              <w:t>新增40人，</w:t>
            </w:r>
            <w:r>
              <w:rPr>
                <w:rFonts w:hint="default" w:ascii="Times New Roman" w:hAnsi="Times New Roman" w:eastAsia="宋体" w:cs="Times New Roman"/>
                <w:color w:val="auto"/>
                <w:sz w:val="24"/>
                <w:szCs w:val="24"/>
              </w:rPr>
              <w:t>年工作300天。</w:t>
            </w:r>
            <w:r>
              <w:rPr>
                <w:rFonts w:hint="eastAsia" w:ascii="Times New Roman" w:hAnsi="Times New Roman" w:cs="Times New Roman"/>
                <w:bCs/>
                <w:color w:val="auto"/>
                <w:sz w:val="24"/>
                <w:lang w:val="en-US" w:eastAsia="zh-CN"/>
              </w:rPr>
              <w:t>本项目为员工提供</w:t>
            </w:r>
            <w:r>
              <w:rPr>
                <w:rFonts w:hint="eastAsia" w:cs="Times New Roman"/>
                <w:bCs/>
                <w:color w:val="auto"/>
                <w:sz w:val="24"/>
                <w:lang w:val="en-US" w:eastAsia="zh-CN"/>
              </w:rPr>
              <w:t>食宿</w:t>
            </w:r>
            <w:r>
              <w:rPr>
                <w:rFonts w:hint="eastAsia" w:ascii="Times New Roman" w:hAnsi="Times New Roman" w:cs="Times New Roman"/>
                <w:bCs/>
                <w:color w:val="auto"/>
                <w:sz w:val="24"/>
                <w:lang w:val="en-US" w:eastAsia="zh-CN"/>
              </w:rPr>
              <w:t>，</w:t>
            </w:r>
            <w:r>
              <w:rPr>
                <w:rFonts w:hint="eastAsia" w:cs="Times New Roman"/>
                <w:bCs/>
                <w:color w:val="auto"/>
                <w:sz w:val="24"/>
                <w:lang w:val="en-US" w:eastAsia="zh-CN"/>
              </w:rPr>
              <w:t>根据前文给排水分析，生活污水排水量为</w:t>
            </w:r>
            <w:r>
              <w:rPr>
                <w:rFonts w:hint="eastAsia" w:cs="Times New Roman"/>
                <w:color w:val="auto"/>
                <w:sz w:val="24"/>
                <w:lang w:val="en-US" w:eastAsia="zh-CN"/>
              </w:rPr>
              <w:t>960</w:t>
            </w:r>
            <w:r>
              <w:rPr>
                <w:rFonts w:hint="eastAsia" w:ascii="Times New Roman" w:hAnsi="Times New Roman" w:cs="Times New Roman"/>
                <w:color w:val="auto"/>
                <w:sz w:val="24"/>
                <w:lang w:val="en-US" w:eastAsia="zh-CN"/>
              </w:rPr>
              <w:t>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/a，</w:t>
            </w:r>
            <w:r>
              <w:rPr>
                <w:rFonts w:hint="default" w:ascii="Times New Roman" w:hAnsi="Times New Roman" w:eastAsia="宋体" w:cs="Times New Roman"/>
                <w:color w:val="auto"/>
                <w:sz w:val="24"/>
                <w:szCs w:val="24"/>
              </w:rPr>
              <w:t>生活污水中主要污染物为COD、BOD</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、SS</w:t>
            </w:r>
            <w:r>
              <w:rPr>
                <w:rFonts w:hint="default" w:ascii="Times New Roman" w:hAnsi="Times New Roman" w:eastAsia="宋体" w:cs="Times New Roman"/>
                <w:color w:val="auto"/>
                <w:sz w:val="24"/>
                <w:szCs w:val="24"/>
                <w:highlight w:val="none"/>
                <w:lang w:val="en-US" w:eastAsia="zh-CN"/>
              </w:rPr>
              <w:t>、氨氮</w:t>
            </w:r>
            <w:r>
              <w:rPr>
                <w:rFonts w:hint="eastAsia" w:ascii="Times New Roman" w:hAnsi="Times New Roman" w:eastAsia="宋体" w:cs="Times New Roman"/>
                <w:color w:val="auto"/>
                <w:sz w:val="24"/>
                <w:szCs w:val="24"/>
                <w:highlight w:val="none"/>
                <w:lang w:val="en-US" w:eastAsia="zh-CN"/>
              </w:rPr>
              <w:t>、总磷、总氮、动植物油</w:t>
            </w:r>
            <w:r>
              <w:rPr>
                <w:rFonts w:hint="default" w:ascii="Times New Roman" w:hAnsi="Times New Roman" w:eastAsia="宋体" w:cs="Times New Roman"/>
                <w:color w:val="auto"/>
                <w:sz w:val="24"/>
                <w:szCs w:val="24"/>
                <w:highlight w:val="none"/>
                <w:lang w:val="en-US" w:eastAsia="zh-CN"/>
              </w:rPr>
              <w:t>等，项目进水水质参考《给排水设计手册》（第五分册）典型生活污水水质</w:t>
            </w:r>
            <w:r>
              <w:rPr>
                <w:rFonts w:hint="eastAsia" w:ascii="Times New Roman" w:hAnsi="Times New Roman" w:eastAsia="宋体" w:cs="Times New Roman"/>
                <w:color w:val="auto"/>
                <w:sz w:val="24"/>
                <w:szCs w:val="24"/>
                <w:highlight w:val="none"/>
                <w:lang w:val="en-US" w:eastAsia="zh-CN"/>
              </w:rPr>
              <w:t>，本项目生活污水产排情况见下表。</w:t>
            </w:r>
          </w:p>
          <w:p w14:paraId="694784EF">
            <w:pPr>
              <w:pStyle w:val="67"/>
              <w:keepNext w:val="0"/>
              <w:keepLines w:val="0"/>
              <w:widowControl/>
              <w:suppressLineNumbers w:val="0"/>
              <w:spacing w:before="0" w:beforeLines="0" w:beforeAutospacing="0" w:after="0" w:afterAutospacing="0" w:line="240" w:lineRule="auto"/>
              <w:ind w:left="0" w:right="0"/>
              <w:rPr>
                <w:rFonts w:hint="default" w:eastAsia="宋体"/>
                <w:b/>
                <w:bCs/>
                <w:color w:val="000000" w:themeColor="text1"/>
                <w:highlight w:val="none"/>
                <w14:textFill>
                  <w14:solidFill>
                    <w14:schemeClr w14:val="tx1"/>
                  </w14:solidFill>
                </w14:textFill>
              </w:rPr>
            </w:pPr>
            <w:r>
              <w:rPr>
                <w:rFonts w:hint="default" w:eastAsia="宋体"/>
                <w:b/>
                <w:bCs/>
                <w:color w:val="000000" w:themeColor="text1"/>
                <w:highlight w:val="none"/>
                <w14:textFill>
                  <w14:solidFill>
                    <w14:schemeClr w14:val="tx1"/>
                  </w14:solidFill>
                </w14:textFill>
              </w:rPr>
              <w:t>表</w:t>
            </w:r>
            <w:r>
              <w:rPr>
                <w:rFonts w:hint="eastAsia" w:eastAsia="宋体"/>
                <w:b/>
                <w:bCs/>
                <w:color w:val="000000" w:themeColor="text1"/>
                <w:highlight w:val="none"/>
                <w14:textFill>
                  <w14:solidFill>
                    <w14:schemeClr w14:val="tx1"/>
                  </w14:solidFill>
                </w14:textFill>
              </w:rPr>
              <w:t>4-</w:t>
            </w:r>
            <w:r>
              <w:rPr>
                <w:rFonts w:hint="eastAsia" w:eastAsia="宋体"/>
                <w:b/>
                <w:bCs/>
                <w:color w:val="000000" w:themeColor="text1"/>
                <w:highlight w:val="none"/>
                <w:lang w:val="en-US" w:eastAsia="zh-CN"/>
                <w14:textFill>
                  <w14:solidFill>
                    <w14:schemeClr w14:val="tx1"/>
                  </w14:solidFill>
                </w14:textFill>
              </w:rPr>
              <w:t>6</w:t>
            </w:r>
            <w:r>
              <w:rPr>
                <w:rFonts w:hint="default" w:eastAsia="宋体"/>
                <w:b/>
                <w:bCs/>
                <w:color w:val="000000" w:themeColor="text1"/>
                <w:highlight w:val="none"/>
                <w14:textFill>
                  <w14:solidFill>
                    <w14:schemeClr w14:val="tx1"/>
                  </w14:solidFill>
                </w14:textFill>
              </w:rPr>
              <w:t xml:space="preserve"> </w:t>
            </w:r>
            <w:r>
              <w:rPr>
                <w:rFonts w:hint="eastAsia" w:eastAsia="宋体"/>
                <w:b/>
                <w:bCs/>
                <w:color w:val="000000" w:themeColor="text1"/>
                <w:highlight w:val="none"/>
                <w14:textFill>
                  <w14:solidFill>
                    <w14:schemeClr w14:val="tx1"/>
                  </w14:solidFill>
                </w14:textFill>
              </w:rPr>
              <w:t xml:space="preserve"> </w:t>
            </w:r>
            <w:r>
              <w:rPr>
                <w:rFonts w:hint="default" w:eastAsia="宋体"/>
                <w:b/>
                <w:bCs/>
                <w:color w:val="000000" w:themeColor="text1"/>
                <w:highlight w:val="none"/>
                <w14:textFill>
                  <w14:solidFill>
                    <w14:schemeClr w14:val="tx1"/>
                  </w14:solidFill>
                </w14:textFill>
              </w:rPr>
              <w:t>生活污水产排情况</w:t>
            </w:r>
            <w:r>
              <w:rPr>
                <w:rFonts w:hint="eastAsia" w:eastAsia="宋体"/>
                <w:b/>
                <w:bCs/>
                <w:color w:val="000000" w:themeColor="text1"/>
                <w:highlight w:val="none"/>
                <w14:textFill>
                  <w14:solidFill>
                    <w14:schemeClr w14:val="tx1"/>
                  </w14:solidFill>
                </w14:textFill>
              </w:rPr>
              <w:t>一览表</w:t>
            </w:r>
          </w:p>
          <w:tbl>
            <w:tblPr>
              <w:tblStyle w:val="2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5"/>
              <w:gridCol w:w="788"/>
              <w:gridCol w:w="851"/>
              <w:gridCol w:w="415"/>
              <w:gridCol w:w="788"/>
              <w:gridCol w:w="1181"/>
              <w:gridCol w:w="1063"/>
              <w:gridCol w:w="1144"/>
              <w:gridCol w:w="1418"/>
            </w:tblGrid>
            <w:tr w14:paraId="535133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vMerge w:val="restart"/>
                  <w:tcBorders>
                    <w:tl2br w:val="nil"/>
                    <w:tr2bl w:val="nil"/>
                  </w:tcBorders>
                  <w:vAlign w:val="center"/>
                </w:tcPr>
                <w:p w14:paraId="0B03FFA5">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污染物</w:t>
                  </w:r>
                </w:p>
              </w:tc>
              <w:tc>
                <w:tcPr>
                  <w:tcW w:w="971" w:type="pct"/>
                  <w:gridSpan w:val="2"/>
                  <w:tcBorders>
                    <w:tl2br w:val="nil"/>
                    <w:tr2bl w:val="nil"/>
                  </w:tcBorders>
                  <w:vAlign w:val="center"/>
                </w:tcPr>
                <w:p w14:paraId="3995460D">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产生情况</w:t>
                  </w:r>
                </w:p>
              </w:tc>
              <w:tc>
                <w:tcPr>
                  <w:tcW w:w="246" w:type="pct"/>
                  <w:vMerge w:val="restart"/>
                  <w:tcBorders>
                    <w:tl2br w:val="nil"/>
                    <w:tr2bl w:val="nil"/>
                  </w:tcBorders>
                  <w:vAlign w:val="center"/>
                </w:tcPr>
                <w:p w14:paraId="09B9B110">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治理措施</w:t>
                  </w:r>
                </w:p>
              </w:tc>
              <w:tc>
                <w:tcPr>
                  <w:tcW w:w="467" w:type="pct"/>
                  <w:vMerge w:val="restart"/>
                  <w:tcBorders>
                    <w:tl2br w:val="nil"/>
                    <w:tr2bl w:val="nil"/>
                  </w:tcBorders>
                  <w:vAlign w:val="center"/>
                </w:tcPr>
                <w:p w14:paraId="53D6ED57">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去除率（%）</w:t>
                  </w:r>
                </w:p>
              </w:tc>
              <w:tc>
                <w:tcPr>
                  <w:tcW w:w="1330" w:type="pct"/>
                  <w:gridSpan w:val="2"/>
                  <w:tcBorders>
                    <w:tl2br w:val="nil"/>
                    <w:tr2bl w:val="nil"/>
                  </w:tcBorders>
                  <w:vAlign w:val="center"/>
                </w:tcPr>
                <w:p w14:paraId="3E35758D">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排放情况</w:t>
                  </w:r>
                </w:p>
              </w:tc>
              <w:tc>
                <w:tcPr>
                  <w:tcW w:w="1518" w:type="pct"/>
                  <w:gridSpan w:val="2"/>
                  <w:tcBorders>
                    <w:tl2br w:val="nil"/>
                    <w:tr2bl w:val="nil"/>
                  </w:tcBorders>
                  <w:vAlign w:val="center"/>
                </w:tcPr>
                <w:p w14:paraId="00A66C62">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标准限值（</w:t>
                  </w:r>
                  <w:r>
                    <w:rPr>
                      <w:rFonts w:hint="default"/>
                      <w:color w:val="000000" w:themeColor="text1"/>
                      <w:sz w:val="21"/>
                      <w:szCs w:val="21"/>
                      <w:highlight w:val="none"/>
                      <w14:textFill>
                        <w14:solidFill>
                          <w14:schemeClr w14:val="tx1"/>
                        </w14:solidFill>
                      </w14:textFill>
                    </w:rPr>
                    <w:t>mg/L</w:t>
                  </w:r>
                  <w:r>
                    <w:rPr>
                      <w:rFonts w:hint="eastAsia"/>
                      <w:color w:val="000000" w:themeColor="text1"/>
                      <w:sz w:val="21"/>
                      <w:szCs w:val="21"/>
                      <w:highlight w:val="none"/>
                      <w14:textFill>
                        <w14:solidFill>
                          <w14:schemeClr w14:val="tx1"/>
                        </w14:solidFill>
                      </w14:textFill>
                    </w:rPr>
                    <w:t>）</w:t>
                  </w:r>
                </w:p>
              </w:tc>
            </w:tr>
            <w:tr w14:paraId="10591A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vMerge w:val="continue"/>
                  <w:tcBorders>
                    <w:tl2br w:val="nil"/>
                    <w:tr2bl w:val="nil"/>
                  </w:tcBorders>
                  <w:vAlign w:val="center"/>
                </w:tcPr>
                <w:p w14:paraId="36B57691">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467" w:type="pct"/>
                  <w:tcBorders>
                    <w:tl2br w:val="nil"/>
                    <w:tr2bl w:val="nil"/>
                  </w:tcBorders>
                  <w:vAlign w:val="center"/>
                </w:tcPr>
                <w:p w14:paraId="335B9D25">
                  <w:pPr>
                    <w:pStyle w:val="65"/>
                    <w:keepNext w:val="0"/>
                    <w:keepLines w:val="0"/>
                    <w:widowControl/>
                    <w:suppressLineNumbers w:val="0"/>
                    <w:spacing w:before="0" w:beforeAutospacing="0" w:after="0" w:afterAutospacing="0"/>
                    <w:ind w:left="0" w:right="0"/>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浓度</w:t>
                  </w:r>
                  <w:r>
                    <w:rPr>
                      <w:rFonts w:hint="eastAsia"/>
                      <w:color w:val="000000" w:themeColor="text1"/>
                      <w:sz w:val="21"/>
                      <w:szCs w:val="21"/>
                      <w:highlight w:val="none"/>
                      <w:lang w:val="en-US" w:eastAsia="zh-CN"/>
                      <w14:textFill>
                        <w14:solidFill>
                          <w14:schemeClr w14:val="tx1"/>
                        </w14:solidFill>
                      </w14:textFill>
                    </w:rPr>
                    <w:t>(</w:t>
                  </w:r>
                  <w:r>
                    <w:rPr>
                      <w:rFonts w:hint="eastAsia"/>
                      <w:color w:val="000000" w:themeColor="text1"/>
                      <w:sz w:val="21"/>
                      <w:szCs w:val="21"/>
                      <w:highlight w:val="none"/>
                      <w14:textFill>
                        <w14:solidFill>
                          <w14:schemeClr w14:val="tx1"/>
                        </w14:solidFill>
                      </w14:textFill>
                    </w:rPr>
                    <w:t>mg/L</w:t>
                  </w:r>
                  <w:r>
                    <w:rPr>
                      <w:rFonts w:hint="eastAsia"/>
                      <w:color w:val="000000" w:themeColor="text1"/>
                      <w:sz w:val="21"/>
                      <w:szCs w:val="21"/>
                      <w:highlight w:val="none"/>
                      <w:lang w:val="en-US" w:eastAsia="zh-CN"/>
                      <w14:textFill>
                        <w14:solidFill>
                          <w14:schemeClr w14:val="tx1"/>
                        </w14:solidFill>
                      </w14:textFill>
                    </w:rPr>
                    <w:t>)</w:t>
                  </w:r>
                </w:p>
              </w:tc>
              <w:tc>
                <w:tcPr>
                  <w:tcW w:w="504" w:type="pct"/>
                  <w:tcBorders>
                    <w:tl2br w:val="nil"/>
                    <w:tr2bl w:val="nil"/>
                  </w:tcBorders>
                  <w:vAlign w:val="center"/>
                </w:tcPr>
                <w:p w14:paraId="7183946D">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产生量(t/a)</w:t>
                  </w:r>
                </w:p>
              </w:tc>
              <w:tc>
                <w:tcPr>
                  <w:tcW w:w="246" w:type="pct"/>
                  <w:vMerge w:val="continue"/>
                  <w:tcBorders>
                    <w:tl2br w:val="nil"/>
                    <w:tr2bl w:val="nil"/>
                  </w:tcBorders>
                  <w:vAlign w:val="center"/>
                </w:tcPr>
                <w:p w14:paraId="6A36C696">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467" w:type="pct"/>
                  <w:vMerge w:val="continue"/>
                  <w:tcBorders>
                    <w:tl2br w:val="nil"/>
                    <w:tr2bl w:val="nil"/>
                  </w:tcBorders>
                  <w:vAlign w:val="center"/>
                </w:tcPr>
                <w:p w14:paraId="3CD02BD3">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700" w:type="pct"/>
                  <w:tcBorders>
                    <w:tl2br w:val="nil"/>
                    <w:tr2bl w:val="nil"/>
                  </w:tcBorders>
                  <w:vAlign w:val="center"/>
                </w:tcPr>
                <w:p w14:paraId="0670A8D2">
                  <w:pPr>
                    <w:pStyle w:val="65"/>
                    <w:keepNext w:val="0"/>
                    <w:keepLines w:val="0"/>
                    <w:widowControl/>
                    <w:suppressLineNumbers w:val="0"/>
                    <w:spacing w:before="0" w:beforeAutospacing="0" w:after="0" w:afterAutospacing="0"/>
                    <w:ind w:left="0" w:right="0"/>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浓度</w:t>
                  </w:r>
                  <w:r>
                    <w:rPr>
                      <w:rFonts w:hint="eastAsia"/>
                      <w:color w:val="000000" w:themeColor="text1"/>
                      <w:sz w:val="21"/>
                      <w:szCs w:val="21"/>
                      <w:highlight w:val="none"/>
                      <w:lang w:val="en-US" w:eastAsia="zh-CN"/>
                      <w14:textFill>
                        <w14:solidFill>
                          <w14:schemeClr w14:val="tx1"/>
                        </w14:solidFill>
                      </w14:textFill>
                    </w:rPr>
                    <w:t>(</w:t>
                  </w:r>
                  <w:r>
                    <w:rPr>
                      <w:rFonts w:hint="eastAsia"/>
                      <w:color w:val="000000" w:themeColor="text1"/>
                      <w:sz w:val="21"/>
                      <w:szCs w:val="21"/>
                      <w:highlight w:val="none"/>
                      <w14:textFill>
                        <w14:solidFill>
                          <w14:schemeClr w14:val="tx1"/>
                        </w14:solidFill>
                      </w14:textFill>
                    </w:rPr>
                    <w:t>mg/L</w:t>
                  </w:r>
                  <w:r>
                    <w:rPr>
                      <w:rFonts w:hint="eastAsia"/>
                      <w:color w:val="000000" w:themeColor="text1"/>
                      <w:sz w:val="21"/>
                      <w:szCs w:val="21"/>
                      <w:highlight w:val="none"/>
                      <w:lang w:val="en-US" w:eastAsia="zh-CN"/>
                      <w14:textFill>
                        <w14:solidFill>
                          <w14:schemeClr w14:val="tx1"/>
                        </w14:solidFill>
                      </w14:textFill>
                    </w:rPr>
                    <w:t>)</w:t>
                  </w:r>
                </w:p>
              </w:tc>
              <w:tc>
                <w:tcPr>
                  <w:tcW w:w="630" w:type="pct"/>
                  <w:tcBorders>
                    <w:tl2br w:val="nil"/>
                    <w:tr2bl w:val="nil"/>
                  </w:tcBorders>
                  <w:vAlign w:val="center"/>
                </w:tcPr>
                <w:p w14:paraId="7BDC616F">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排放量(t/a)</w:t>
                  </w:r>
                </w:p>
              </w:tc>
              <w:tc>
                <w:tcPr>
                  <w:tcW w:w="678" w:type="pct"/>
                  <w:tcBorders>
                    <w:tl2br w:val="nil"/>
                    <w:tr2bl w:val="nil"/>
                  </w:tcBorders>
                  <w:vAlign w:val="center"/>
                </w:tcPr>
                <w:p w14:paraId="6BF5F8CA">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default"/>
                      <w:color w:val="000000" w:themeColor="text1"/>
                      <w:sz w:val="21"/>
                      <w:szCs w:val="21"/>
                      <w:highlight w:val="none"/>
                      <w14:textFill>
                        <w14:solidFill>
                          <w14:schemeClr w14:val="tx1"/>
                        </w14:solidFill>
                      </w14:textFill>
                    </w:rPr>
                    <w:t>GB</w:t>
                  </w:r>
                  <w:r>
                    <w:rPr>
                      <w:rFonts w:hint="eastAsia"/>
                      <w:color w:val="000000" w:themeColor="text1"/>
                      <w:sz w:val="21"/>
                      <w:szCs w:val="21"/>
                      <w:highlight w:val="none"/>
                      <w14:textFill>
                        <w14:solidFill>
                          <w14:schemeClr w14:val="tx1"/>
                        </w14:solidFill>
                      </w14:textFill>
                    </w:rPr>
                    <w:t>8978-1996限值</w:t>
                  </w:r>
                </w:p>
              </w:tc>
              <w:tc>
                <w:tcPr>
                  <w:tcW w:w="839" w:type="pct"/>
                  <w:tcBorders>
                    <w:tl2br w:val="nil"/>
                    <w:tr2bl w:val="nil"/>
                  </w:tcBorders>
                  <w:vAlign w:val="center"/>
                </w:tcPr>
                <w:p w14:paraId="26F34798">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default"/>
                      <w:color w:val="000000" w:themeColor="text1"/>
                      <w:sz w:val="21"/>
                      <w:szCs w:val="21"/>
                      <w:highlight w:val="none"/>
                      <w14:textFill>
                        <w14:solidFill>
                          <w14:schemeClr w14:val="tx1"/>
                        </w14:solidFill>
                      </w14:textFill>
                    </w:rPr>
                    <w:t>GB/T31962-2015</w:t>
                  </w:r>
                  <w:r>
                    <w:rPr>
                      <w:rFonts w:hint="eastAsia"/>
                      <w:color w:val="000000" w:themeColor="text1"/>
                      <w:sz w:val="21"/>
                      <w:szCs w:val="21"/>
                      <w:highlight w:val="none"/>
                      <w14:textFill>
                        <w14:solidFill>
                          <w14:schemeClr w14:val="tx1"/>
                        </w14:solidFill>
                      </w14:textFill>
                    </w:rPr>
                    <w:t>B级标准</w:t>
                  </w:r>
                </w:p>
              </w:tc>
            </w:tr>
            <w:tr w14:paraId="6922BC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465" w:type="pct"/>
                  <w:tcBorders>
                    <w:tl2br w:val="nil"/>
                    <w:tr2bl w:val="nil"/>
                  </w:tcBorders>
                  <w:vAlign w:val="center"/>
                </w:tcPr>
                <w:p w14:paraId="5F8F08D5">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水量</w:t>
                  </w:r>
                </w:p>
              </w:tc>
              <w:tc>
                <w:tcPr>
                  <w:tcW w:w="467" w:type="pct"/>
                  <w:tcBorders>
                    <w:tl2br w:val="nil"/>
                    <w:tr2bl w:val="nil"/>
                  </w:tcBorders>
                  <w:vAlign w:val="center"/>
                </w:tcPr>
                <w:p w14:paraId="624ACE49">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504" w:type="pct"/>
                  <w:tcBorders>
                    <w:tl2br w:val="nil"/>
                    <w:tr2bl w:val="nil"/>
                  </w:tcBorders>
                  <w:vAlign w:val="center"/>
                </w:tcPr>
                <w:p w14:paraId="1237BB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highlight w:val="none"/>
                      <w:lang w:val="en-US" w:eastAsia="zh-CN" w:bidi="ar-SA"/>
                      <w14:textFill>
                        <w14:solidFill>
                          <w14:schemeClr w14:val="tx1"/>
                        </w14:solidFill>
                      </w14:textFill>
                    </w:rPr>
                    <w:t>960</w:t>
                  </w:r>
                </w:p>
              </w:tc>
              <w:tc>
                <w:tcPr>
                  <w:tcW w:w="246" w:type="pct"/>
                  <w:vMerge w:val="restart"/>
                  <w:tcBorders>
                    <w:tl2br w:val="nil"/>
                    <w:tr2bl w:val="nil"/>
                  </w:tcBorders>
                  <w:vAlign w:val="center"/>
                </w:tcPr>
                <w:p w14:paraId="72860479">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化粪池</w:t>
                  </w:r>
                </w:p>
              </w:tc>
              <w:tc>
                <w:tcPr>
                  <w:tcW w:w="467" w:type="pct"/>
                  <w:tcBorders>
                    <w:tl2br w:val="nil"/>
                    <w:tr2bl w:val="nil"/>
                  </w:tcBorders>
                  <w:vAlign w:val="center"/>
                </w:tcPr>
                <w:p w14:paraId="50D648F5">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700" w:type="pct"/>
                  <w:tcBorders>
                    <w:tl2br w:val="nil"/>
                    <w:tr2bl w:val="nil"/>
                  </w:tcBorders>
                  <w:vAlign w:val="center"/>
                </w:tcPr>
                <w:p w14:paraId="65224E6A">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630" w:type="pct"/>
                  <w:tcBorders>
                    <w:tl2br w:val="nil"/>
                    <w:tr2bl w:val="nil"/>
                  </w:tcBorders>
                  <w:vAlign w:val="center"/>
                </w:tcPr>
                <w:p w14:paraId="270239CD">
                  <w:pPr>
                    <w:pStyle w:val="65"/>
                    <w:keepNext w:val="0"/>
                    <w:keepLines w:val="0"/>
                    <w:widowControl/>
                    <w:suppressLineNumbers w:val="0"/>
                    <w:spacing w:before="0" w:beforeAutospacing="0" w:after="0" w:afterAutospacing="0"/>
                    <w:ind w:left="0" w:right="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960</w:t>
                  </w:r>
                </w:p>
              </w:tc>
              <w:tc>
                <w:tcPr>
                  <w:tcW w:w="678" w:type="pct"/>
                  <w:tcBorders>
                    <w:tl2br w:val="nil"/>
                    <w:tr2bl w:val="nil"/>
                  </w:tcBorders>
                  <w:vAlign w:val="center"/>
                </w:tcPr>
                <w:p w14:paraId="2979E249">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839" w:type="pct"/>
                  <w:tcBorders>
                    <w:tl2br w:val="nil"/>
                    <w:tr2bl w:val="nil"/>
                  </w:tcBorders>
                  <w:vAlign w:val="center"/>
                </w:tcPr>
                <w:p w14:paraId="230F9733">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r>
            <w:tr w14:paraId="10C9A7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tcBorders>
                    <w:tl2br w:val="nil"/>
                    <w:tr2bl w:val="nil"/>
                  </w:tcBorders>
                  <w:vAlign w:val="center"/>
                </w:tcPr>
                <w:p w14:paraId="73FA2332">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COD</w:t>
                  </w:r>
                </w:p>
              </w:tc>
              <w:tc>
                <w:tcPr>
                  <w:tcW w:w="467" w:type="pct"/>
                  <w:tcBorders>
                    <w:tl2br w:val="nil"/>
                    <w:tr2bl w:val="nil"/>
                  </w:tcBorders>
                  <w:vAlign w:val="center"/>
                </w:tcPr>
                <w:p w14:paraId="700615A5">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350</w:t>
                  </w:r>
                </w:p>
              </w:tc>
              <w:tc>
                <w:tcPr>
                  <w:tcW w:w="794" w:type="dxa"/>
                  <w:tcBorders>
                    <w:tl2br w:val="nil"/>
                    <w:tr2bl w:val="nil"/>
                  </w:tcBorders>
                  <w:vAlign w:val="center"/>
                </w:tcPr>
                <w:p w14:paraId="475059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0.336</w:t>
                  </w:r>
                </w:p>
              </w:tc>
              <w:tc>
                <w:tcPr>
                  <w:tcW w:w="246" w:type="pct"/>
                  <w:vMerge w:val="continue"/>
                  <w:tcBorders>
                    <w:tl2br w:val="nil"/>
                    <w:tr2bl w:val="nil"/>
                  </w:tcBorders>
                  <w:vAlign w:val="center"/>
                </w:tcPr>
                <w:p w14:paraId="4A8125CF">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467" w:type="pct"/>
                  <w:tcBorders>
                    <w:tl2br w:val="nil"/>
                    <w:tr2bl w:val="nil"/>
                  </w:tcBorders>
                  <w:vAlign w:val="center"/>
                </w:tcPr>
                <w:p w14:paraId="0A097AC4">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w:t>
                  </w:r>
                </w:p>
              </w:tc>
              <w:tc>
                <w:tcPr>
                  <w:tcW w:w="700" w:type="pct"/>
                  <w:tcBorders>
                    <w:tl2br w:val="nil"/>
                    <w:tr2bl w:val="nil"/>
                  </w:tcBorders>
                  <w:vAlign w:val="center"/>
                </w:tcPr>
                <w:p w14:paraId="0FEBEFCD">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280</w:t>
                  </w:r>
                </w:p>
              </w:tc>
              <w:tc>
                <w:tcPr>
                  <w:tcW w:w="794" w:type="dxa"/>
                  <w:tcBorders>
                    <w:tl2br w:val="nil"/>
                    <w:tr2bl w:val="nil"/>
                  </w:tcBorders>
                  <w:vAlign w:val="center"/>
                </w:tcPr>
                <w:p w14:paraId="5E35AB7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0.26</w:t>
                  </w:r>
                  <w:r>
                    <w:rPr>
                      <w:rFonts w:hint="eastAsia" w:ascii="Times New Roman" w:hAnsi="Times New Roman" w:eastAsia="宋体" w:cs="Times New Roman"/>
                      <w:i w:val="0"/>
                      <w:iCs w:val="0"/>
                      <w:color w:val="000000"/>
                      <w:kern w:val="0"/>
                      <w:sz w:val="22"/>
                      <w:szCs w:val="22"/>
                      <w:u w:val="none"/>
                      <w:lang w:val="en-US" w:eastAsia="zh-CN" w:bidi="ar"/>
                    </w:rPr>
                    <w:t>9</w:t>
                  </w:r>
                </w:p>
              </w:tc>
              <w:tc>
                <w:tcPr>
                  <w:tcW w:w="678" w:type="pct"/>
                  <w:tcBorders>
                    <w:tl2br w:val="nil"/>
                    <w:tr2bl w:val="nil"/>
                  </w:tcBorders>
                  <w:vAlign w:val="center"/>
                </w:tcPr>
                <w:p w14:paraId="7EB3E0A5">
                  <w:pPr>
                    <w:pStyle w:val="65"/>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500</w:t>
                  </w:r>
                </w:p>
              </w:tc>
              <w:tc>
                <w:tcPr>
                  <w:tcW w:w="839" w:type="pct"/>
                  <w:tcBorders>
                    <w:tl2br w:val="nil"/>
                    <w:tr2bl w:val="nil"/>
                  </w:tcBorders>
                  <w:vAlign w:val="center"/>
                </w:tcPr>
                <w:p w14:paraId="3D6D9187">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r>
            <w:tr w14:paraId="3F8F87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tcBorders>
                    <w:tl2br w:val="nil"/>
                    <w:tr2bl w:val="nil"/>
                  </w:tcBorders>
                  <w:vAlign w:val="center"/>
                </w:tcPr>
                <w:p w14:paraId="676199C4">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BOD</w:t>
                  </w:r>
                  <w:r>
                    <w:rPr>
                      <w:rFonts w:hint="eastAsia"/>
                      <w:color w:val="000000" w:themeColor="text1"/>
                      <w:sz w:val="21"/>
                      <w:szCs w:val="21"/>
                      <w:highlight w:val="none"/>
                      <w:vertAlign w:val="subscript"/>
                      <w14:textFill>
                        <w14:solidFill>
                          <w14:schemeClr w14:val="tx1"/>
                        </w14:solidFill>
                      </w14:textFill>
                    </w:rPr>
                    <w:t>5</w:t>
                  </w:r>
                </w:p>
              </w:tc>
              <w:tc>
                <w:tcPr>
                  <w:tcW w:w="467" w:type="pct"/>
                  <w:tcBorders>
                    <w:tl2br w:val="nil"/>
                    <w:tr2bl w:val="nil"/>
                  </w:tcBorders>
                  <w:vAlign w:val="center"/>
                </w:tcPr>
                <w:p w14:paraId="031F1C88">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220</w:t>
                  </w:r>
                </w:p>
              </w:tc>
              <w:tc>
                <w:tcPr>
                  <w:tcW w:w="794" w:type="dxa"/>
                  <w:tcBorders>
                    <w:tl2br w:val="nil"/>
                    <w:tr2bl w:val="nil"/>
                  </w:tcBorders>
                  <w:vAlign w:val="center"/>
                </w:tcPr>
                <w:p w14:paraId="357E5C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0.211</w:t>
                  </w:r>
                </w:p>
              </w:tc>
              <w:tc>
                <w:tcPr>
                  <w:tcW w:w="246" w:type="pct"/>
                  <w:vMerge w:val="continue"/>
                  <w:tcBorders>
                    <w:tl2br w:val="nil"/>
                    <w:tr2bl w:val="nil"/>
                  </w:tcBorders>
                  <w:vAlign w:val="center"/>
                </w:tcPr>
                <w:p w14:paraId="3B6E0C01">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467" w:type="pct"/>
                  <w:tcBorders>
                    <w:tl2br w:val="nil"/>
                    <w:tr2bl w:val="nil"/>
                  </w:tcBorders>
                  <w:vAlign w:val="center"/>
                </w:tcPr>
                <w:p w14:paraId="0EA5581B">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w:t>
                  </w:r>
                </w:p>
              </w:tc>
              <w:tc>
                <w:tcPr>
                  <w:tcW w:w="700" w:type="pct"/>
                  <w:tcBorders>
                    <w:tl2br w:val="nil"/>
                    <w:tr2bl w:val="nil"/>
                  </w:tcBorders>
                  <w:vAlign w:val="center"/>
                </w:tcPr>
                <w:p w14:paraId="24624645">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176</w:t>
                  </w:r>
                </w:p>
              </w:tc>
              <w:tc>
                <w:tcPr>
                  <w:tcW w:w="794" w:type="dxa"/>
                  <w:tcBorders>
                    <w:tl2br w:val="nil"/>
                    <w:tr2bl w:val="nil"/>
                  </w:tcBorders>
                  <w:vAlign w:val="center"/>
                </w:tcPr>
                <w:p w14:paraId="6431ED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0.169</w:t>
                  </w:r>
                </w:p>
              </w:tc>
              <w:tc>
                <w:tcPr>
                  <w:tcW w:w="678" w:type="pct"/>
                  <w:tcBorders>
                    <w:tl2br w:val="nil"/>
                    <w:tr2bl w:val="nil"/>
                  </w:tcBorders>
                  <w:vAlign w:val="center"/>
                </w:tcPr>
                <w:p w14:paraId="78468593">
                  <w:pPr>
                    <w:pStyle w:val="65"/>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300</w:t>
                  </w:r>
                </w:p>
              </w:tc>
              <w:tc>
                <w:tcPr>
                  <w:tcW w:w="839" w:type="pct"/>
                  <w:tcBorders>
                    <w:tl2br w:val="nil"/>
                    <w:tr2bl w:val="nil"/>
                  </w:tcBorders>
                  <w:vAlign w:val="center"/>
                </w:tcPr>
                <w:p w14:paraId="62821A09">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r>
            <w:tr w14:paraId="24C551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tcBorders>
                    <w:tl2br w:val="nil"/>
                    <w:tr2bl w:val="nil"/>
                  </w:tcBorders>
                  <w:vAlign w:val="center"/>
                </w:tcPr>
                <w:p w14:paraId="5C712128">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SS</w:t>
                  </w:r>
                </w:p>
              </w:tc>
              <w:tc>
                <w:tcPr>
                  <w:tcW w:w="467" w:type="pct"/>
                  <w:tcBorders>
                    <w:tl2br w:val="nil"/>
                    <w:tr2bl w:val="nil"/>
                  </w:tcBorders>
                  <w:vAlign w:val="center"/>
                </w:tcPr>
                <w:p w14:paraId="13B00274">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300</w:t>
                  </w:r>
                </w:p>
              </w:tc>
              <w:tc>
                <w:tcPr>
                  <w:tcW w:w="794" w:type="dxa"/>
                  <w:tcBorders>
                    <w:tl2br w:val="nil"/>
                    <w:tr2bl w:val="nil"/>
                  </w:tcBorders>
                  <w:vAlign w:val="center"/>
                </w:tcPr>
                <w:p w14:paraId="75923F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0.288</w:t>
                  </w:r>
                </w:p>
              </w:tc>
              <w:tc>
                <w:tcPr>
                  <w:tcW w:w="246" w:type="pct"/>
                  <w:vMerge w:val="continue"/>
                  <w:tcBorders>
                    <w:tl2br w:val="nil"/>
                    <w:tr2bl w:val="nil"/>
                  </w:tcBorders>
                  <w:vAlign w:val="center"/>
                </w:tcPr>
                <w:p w14:paraId="16B44700">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467" w:type="pct"/>
                  <w:tcBorders>
                    <w:tl2br w:val="nil"/>
                    <w:tr2bl w:val="nil"/>
                  </w:tcBorders>
                  <w:vAlign w:val="center"/>
                </w:tcPr>
                <w:p w14:paraId="5D78DDE9">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w:t>
                  </w:r>
                </w:p>
              </w:tc>
              <w:tc>
                <w:tcPr>
                  <w:tcW w:w="700" w:type="pct"/>
                  <w:tcBorders>
                    <w:tl2br w:val="nil"/>
                    <w:tr2bl w:val="nil"/>
                  </w:tcBorders>
                  <w:vAlign w:val="center"/>
                </w:tcPr>
                <w:p w14:paraId="10092EFB">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270</w:t>
                  </w:r>
                </w:p>
              </w:tc>
              <w:tc>
                <w:tcPr>
                  <w:tcW w:w="794" w:type="dxa"/>
                  <w:tcBorders>
                    <w:tl2br w:val="nil"/>
                    <w:tr2bl w:val="nil"/>
                  </w:tcBorders>
                  <w:vAlign w:val="center"/>
                </w:tcPr>
                <w:p w14:paraId="580C9C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0.259</w:t>
                  </w:r>
                </w:p>
              </w:tc>
              <w:tc>
                <w:tcPr>
                  <w:tcW w:w="678" w:type="pct"/>
                  <w:tcBorders>
                    <w:tl2br w:val="nil"/>
                    <w:tr2bl w:val="nil"/>
                  </w:tcBorders>
                  <w:vAlign w:val="center"/>
                </w:tcPr>
                <w:p w14:paraId="754E46A1">
                  <w:pPr>
                    <w:pStyle w:val="65"/>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400</w:t>
                  </w:r>
                </w:p>
              </w:tc>
              <w:tc>
                <w:tcPr>
                  <w:tcW w:w="839" w:type="pct"/>
                  <w:tcBorders>
                    <w:tl2br w:val="nil"/>
                    <w:tr2bl w:val="nil"/>
                  </w:tcBorders>
                  <w:vAlign w:val="center"/>
                </w:tcPr>
                <w:p w14:paraId="45B6981B">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r>
            <w:tr w14:paraId="3B2EDE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tcBorders>
                    <w:tl2br w:val="nil"/>
                    <w:tr2bl w:val="nil"/>
                  </w:tcBorders>
                  <w:vAlign w:val="center"/>
                </w:tcPr>
                <w:p w14:paraId="4E008C64">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NH</w:t>
                  </w:r>
                  <w:r>
                    <w:rPr>
                      <w:rFonts w:hint="eastAsia"/>
                      <w:color w:val="000000" w:themeColor="text1"/>
                      <w:sz w:val="21"/>
                      <w:szCs w:val="21"/>
                      <w:highlight w:val="none"/>
                      <w:vertAlign w:val="subscript"/>
                      <w14:textFill>
                        <w14:solidFill>
                          <w14:schemeClr w14:val="tx1"/>
                        </w14:solidFill>
                      </w14:textFill>
                    </w:rPr>
                    <w:t>3</w:t>
                  </w:r>
                  <w:r>
                    <w:rPr>
                      <w:rFonts w:hint="eastAsia"/>
                      <w:color w:val="000000" w:themeColor="text1"/>
                      <w:sz w:val="21"/>
                      <w:szCs w:val="21"/>
                      <w:highlight w:val="none"/>
                      <w14:textFill>
                        <w14:solidFill>
                          <w14:schemeClr w14:val="tx1"/>
                        </w14:solidFill>
                      </w14:textFill>
                    </w:rPr>
                    <w:t>-N</w:t>
                  </w:r>
                </w:p>
              </w:tc>
              <w:tc>
                <w:tcPr>
                  <w:tcW w:w="467" w:type="pct"/>
                  <w:tcBorders>
                    <w:tl2br w:val="nil"/>
                    <w:tr2bl w:val="nil"/>
                  </w:tcBorders>
                  <w:vAlign w:val="center"/>
                </w:tcPr>
                <w:p w14:paraId="664E896D">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36</w:t>
                  </w:r>
                </w:p>
              </w:tc>
              <w:tc>
                <w:tcPr>
                  <w:tcW w:w="794" w:type="dxa"/>
                  <w:tcBorders>
                    <w:tl2br w:val="nil"/>
                    <w:tr2bl w:val="nil"/>
                  </w:tcBorders>
                  <w:vAlign w:val="center"/>
                </w:tcPr>
                <w:p w14:paraId="57A642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0.0346</w:t>
                  </w:r>
                </w:p>
              </w:tc>
              <w:tc>
                <w:tcPr>
                  <w:tcW w:w="246" w:type="pct"/>
                  <w:vMerge w:val="continue"/>
                  <w:tcBorders>
                    <w:tl2br w:val="nil"/>
                    <w:tr2bl w:val="nil"/>
                  </w:tcBorders>
                  <w:vAlign w:val="center"/>
                </w:tcPr>
                <w:p w14:paraId="6AA79754">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467" w:type="pct"/>
                  <w:tcBorders>
                    <w:tl2br w:val="nil"/>
                    <w:tr2bl w:val="nil"/>
                  </w:tcBorders>
                  <w:vAlign w:val="center"/>
                </w:tcPr>
                <w:p w14:paraId="12817A8E">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p>
              </w:tc>
              <w:tc>
                <w:tcPr>
                  <w:tcW w:w="700" w:type="pct"/>
                  <w:tcBorders>
                    <w:tl2br w:val="nil"/>
                    <w:tr2bl w:val="nil"/>
                  </w:tcBorders>
                  <w:vAlign w:val="center"/>
                </w:tcPr>
                <w:p w14:paraId="0B56A2CF">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36</w:t>
                  </w:r>
                </w:p>
              </w:tc>
              <w:tc>
                <w:tcPr>
                  <w:tcW w:w="794" w:type="dxa"/>
                  <w:tcBorders>
                    <w:tl2br w:val="nil"/>
                    <w:tr2bl w:val="nil"/>
                  </w:tcBorders>
                  <w:vAlign w:val="center"/>
                </w:tcPr>
                <w:p w14:paraId="6CD5F8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0.0346</w:t>
                  </w:r>
                </w:p>
              </w:tc>
              <w:tc>
                <w:tcPr>
                  <w:tcW w:w="678" w:type="pct"/>
                  <w:tcBorders>
                    <w:tl2br w:val="nil"/>
                    <w:tr2bl w:val="nil"/>
                  </w:tcBorders>
                  <w:vAlign w:val="center"/>
                </w:tcPr>
                <w:p w14:paraId="1745E68B">
                  <w:pPr>
                    <w:pStyle w:val="65"/>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w:t>
                  </w:r>
                </w:p>
              </w:tc>
              <w:tc>
                <w:tcPr>
                  <w:tcW w:w="839" w:type="pct"/>
                  <w:tcBorders>
                    <w:tl2br w:val="nil"/>
                    <w:tr2bl w:val="nil"/>
                  </w:tcBorders>
                  <w:vAlign w:val="center"/>
                </w:tcPr>
                <w:p w14:paraId="5FD2D41E">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45</w:t>
                  </w:r>
                </w:p>
              </w:tc>
            </w:tr>
            <w:tr w14:paraId="58E37D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tcBorders>
                    <w:tl2br w:val="nil"/>
                    <w:tr2bl w:val="nil"/>
                  </w:tcBorders>
                  <w:vAlign w:val="center"/>
                </w:tcPr>
                <w:p w14:paraId="1D101A5F">
                  <w:pPr>
                    <w:pStyle w:val="65"/>
                    <w:keepNext w:val="0"/>
                    <w:keepLines w:val="0"/>
                    <w:widowControl/>
                    <w:suppressLineNumbers w:val="0"/>
                    <w:spacing w:before="0" w:beforeAutospacing="0" w:after="0" w:afterAutospacing="0"/>
                    <w:ind w:left="0" w:right="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TN</w:t>
                  </w:r>
                </w:p>
              </w:tc>
              <w:tc>
                <w:tcPr>
                  <w:tcW w:w="467" w:type="pct"/>
                  <w:tcBorders>
                    <w:tl2br w:val="nil"/>
                    <w:tr2bl w:val="nil"/>
                  </w:tcBorders>
                  <w:vAlign w:val="center"/>
                </w:tcPr>
                <w:p w14:paraId="0ADE4BE9">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50</w:t>
                  </w:r>
                </w:p>
              </w:tc>
              <w:tc>
                <w:tcPr>
                  <w:tcW w:w="794" w:type="dxa"/>
                  <w:tcBorders>
                    <w:tl2br w:val="nil"/>
                    <w:tr2bl w:val="nil"/>
                  </w:tcBorders>
                  <w:vAlign w:val="center"/>
                </w:tcPr>
                <w:p w14:paraId="2EEDCE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0.048</w:t>
                  </w:r>
                </w:p>
              </w:tc>
              <w:tc>
                <w:tcPr>
                  <w:tcW w:w="246" w:type="pct"/>
                  <w:vMerge w:val="continue"/>
                  <w:tcBorders>
                    <w:tl2br w:val="nil"/>
                    <w:tr2bl w:val="nil"/>
                  </w:tcBorders>
                  <w:vAlign w:val="center"/>
                </w:tcPr>
                <w:p w14:paraId="5C3F4C29">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467" w:type="pct"/>
                  <w:tcBorders>
                    <w:tl2br w:val="nil"/>
                    <w:tr2bl w:val="nil"/>
                  </w:tcBorders>
                  <w:vAlign w:val="center"/>
                </w:tcPr>
                <w:p w14:paraId="4262D47B">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0</w:t>
                  </w:r>
                </w:p>
              </w:tc>
              <w:tc>
                <w:tcPr>
                  <w:tcW w:w="700" w:type="pct"/>
                  <w:tcBorders>
                    <w:tl2br w:val="nil"/>
                    <w:tr2bl w:val="nil"/>
                  </w:tcBorders>
                  <w:vAlign w:val="center"/>
                </w:tcPr>
                <w:p w14:paraId="0A4D4C53">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50</w:t>
                  </w:r>
                </w:p>
              </w:tc>
              <w:tc>
                <w:tcPr>
                  <w:tcW w:w="794" w:type="dxa"/>
                  <w:tcBorders>
                    <w:tl2br w:val="nil"/>
                    <w:tr2bl w:val="nil"/>
                  </w:tcBorders>
                  <w:vAlign w:val="center"/>
                </w:tcPr>
                <w:p w14:paraId="062ADF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0.048</w:t>
                  </w:r>
                </w:p>
              </w:tc>
              <w:tc>
                <w:tcPr>
                  <w:tcW w:w="678" w:type="pct"/>
                  <w:tcBorders>
                    <w:tl2br w:val="nil"/>
                    <w:tr2bl w:val="nil"/>
                  </w:tcBorders>
                  <w:vAlign w:val="center"/>
                </w:tcPr>
                <w:p w14:paraId="5E6979AD">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w:t>
                  </w:r>
                </w:p>
              </w:tc>
              <w:tc>
                <w:tcPr>
                  <w:tcW w:w="839" w:type="pct"/>
                  <w:tcBorders>
                    <w:tl2br w:val="nil"/>
                    <w:tr2bl w:val="nil"/>
                  </w:tcBorders>
                  <w:vAlign w:val="center"/>
                </w:tcPr>
                <w:p w14:paraId="2A2257B2">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70</w:t>
                  </w:r>
                </w:p>
              </w:tc>
            </w:tr>
            <w:tr w14:paraId="117DC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tcBorders>
                    <w:tl2br w:val="nil"/>
                    <w:tr2bl w:val="nil"/>
                  </w:tcBorders>
                  <w:vAlign w:val="center"/>
                </w:tcPr>
                <w:p w14:paraId="0B1EFF86">
                  <w:pPr>
                    <w:pStyle w:val="65"/>
                    <w:keepNext w:val="0"/>
                    <w:keepLines w:val="0"/>
                    <w:widowControl/>
                    <w:suppressLineNumbers w:val="0"/>
                    <w:spacing w:before="0" w:beforeAutospacing="0" w:after="0" w:afterAutospacing="0"/>
                    <w:ind w:left="0" w:right="0"/>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TP</w:t>
                  </w:r>
                </w:p>
              </w:tc>
              <w:tc>
                <w:tcPr>
                  <w:tcW w:w="467" w:type="pct"/>
                  <w:tcBorders>
                    <w:tl2br w:val="nil"/>
                    <w:tr2bl w:val="nil"/>
                  </w:tcBorders>
                  <w:vAlign w:val="center"/>
                </w:tcPr>
                <w:p w14:paraId="2AE796A6">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5</w:t>
                  </w:r>
                </w:p>
              </w:tc>
              <w:tc>
                <w:tcPr>
                  <w:tcW w:w="794" w:type="dxa"/>
                  <w:tcBorders>
                    <w:tl2br w:val="nil"/>
                    <w:tr2bl w:val="nil"/>
                  </w:tcBorders>
                  <w:vAlign w:val="center"/>
                </w:tcPr>
                <w:p w14:paraId="7E2277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0.0048</w:t>
                  </w:r>
                </w:p>
              </w:tc>
              <w:tc>
                <w:tcPr>
                  <w:tcW w:w="246" w:type="pct"/>
                  <w:vMerge w:val="continue"/>
                  <w:tcBorders>
                    <w:tl2br w:val="nil"/>
                    <w:tr2bl w:val="nil"/>
                  </w:tcBorders>
                  <w:vAlign w:val="center"/>
                </w:tcPr>
                <w:p w14:paraId="50DEC7DB">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467" w:type="pct"/>
                  <w:tcBorders>
                    <w:tl2br w:val="nil"/>
                    <w:tr2bl w:val="nil"/>
                  </w:tcBorders>
                  <w:vAlign w:val="center"/>
                </w:tcPr>
                <w:p w14:paraId="7C11A872">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0</w:t>
                  </w:r>
                </w:p>
              </w:tc>
              <w:tc>
                <w:tcPr>
                  <w:tcW w:w="700" w:type="pct"/>
                  <w:tcBorders>
                    <w:tl2br w:val="nil"/>
                    <w:tr2bl w:val="nil"/>
                  </w:tcBorders>
                  <w:vAlign w:val="center"/>
                </w:tcPr>
                <w:p w14:paraId="4099E4DB">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5</w:t>
                  </w:r>
                </w:p>
              </w:tc>
              <w:tc>
                <w:tcPr>
                  <w:tcW w:w="794" w:type="dxa"/>
                  <w:tcBorders>
                    <w:tl2br w:val="nil"/>
                    <w:tr2bl w:val="nil"/>
                  </w:tcBorders>
                  <w:vAlign w:val="center"/>
                </w:tcPr>
                <w:p w14:paraId="4325D4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0.0048</w:t>
                  </w:r>
                </w:p>
              </w:tc>
              <w:tc>
                <w:tcPr>
                  <w:tcW w:w="678" w:type="pct"/>
                  <w:tcBorders>
                    <w:tl2br w:val="nil"/>
                    <w:tr2bl w:val="nil"/>
                  </w:tcBorders>
                  <w:vAlign w:val="center"/>
                </w:tcPr>
                <w:p w14:paraId="663AF620">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w:t>
                  </w:r>
                </w:p>
              </w:tc>
              <w:tc>
                <w:tcPr>
                  <w:tcW w:w="839" w:type="pct"/>
                  <w:tcBorders>
                    <w:tl2br w:val="nil"/>
                    <w:tr2bl w:val="nil"/>
                  </w:tcBorders>
                  <w:vAlign w:val="center"/>
                </w:tcPr>
                <w:p w14:paraId="050FC02E">
                  <w:pPr>
                    <w:pStyle w:val="65"/>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0"/>
                      <w:highlight w:val="none"/>
                      <w:lang w:val="en-US" w:eastAsia="zh-CN" w:bidi="ar-SA"/>
                    </w:rPr>
                  </w:pPr>
                  <w:r>
                    <w:rPr>
                      <w:rFonts w:hint="eastAsia"/>
                      <w:color w:val="auto"/>
                      <w:szCs w:val="20"/>
                      <w:highlight w:val="none"/>
                    </w:rPr>
                    <w:t>8</w:t>
                  </w:r>
                </w:p>
              </w:tc>
            </w:tr>
            <w:tr w14:paraId="3EF4E6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65" w:type="pct"/>
                  <w:tcBorders>
                    <w:tl2br w:val="nil"/>
                    <w:tr2bl w:val="nil"/>
                  </w:tcBorders>
                  <w:vAlign w:val="center"/>
                </w:tcPr>
                <w:p w14:paraId="49ABAEA6">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动植物油</w:t>
                  </w:r>
                </w:p>
              </w:tc>
              <w:tc>
                <w:tcPr>
                  <w:tcW w:w="467" w:type="pct"/>
                  <w:tcBorders>
                    <w:tl2br w:val="nil"/>
                    <w:tr2bl w:val="nil"/>
                  </w:tcBorders>
                  <w:vAlign w:val="center"/>
                </w:tcPr>
                <w:p w14:paraId="2A8AAF56">
                  <w:pPr>
                    <w:pStyle w:val="65"/>
                    <w:keepNext w:val="0"/>
                    <w:keepLines w:val="0"/>
                    <w:widowControl/>
                    <w:suppressLineNumbers w:val="0"/>
                    <w:spacing w:before="0" w:beforeAutospacing="0" w:after="0" w:afterAutospacing="0"/>
                    <w:ind w:left="0" w:leftChars="0" w:right="0" w:rightChars="0"/>
                    <w:jc w:val="center"/>
                    <w:rPr>
                      <w:rFonts w:hint="default" w:eastAsia="宋体"/>
                      <w:color w:val="auto"/>
                      <w:szCs w:val="20"/>
                      <w:highlight w:val="none"/>
                      <w:lang w:val="en-US" w:eastAsia="zh-CN"/>
                    </w:rPr>
                  </w:pPr>
                  <w:r>
                    <w:rPr>
                      <w:rFonts w:hint="eastAsia"/>
                      <w:color w:val="auto"/>
                      <w:szCs w:val="20"/>
                      <w:highlight w:val="none"/>
                      <w:lang w:val="en-US" w:eastAsia="zh-CN"/>
                    </w:rPr>
                    <w:t>0.58</w:t>
                  </w:r>
                </w:p>
              </w:tc>
              <w:tc>
                <w:tcPr>
                  <w:tcW w:w="794" w:type="dxa"/>
                  <w:tcBorders>
                    <w:tl2br w:val="nil"/>
                    <w:tr2bl w:val="nil"/>
                  </w:tcBorders>
                  <w:vAlign w:val="center"/>
                </w:tcPr>
                <w:p w14:paraId="7986134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0.000</w:t>
                  </w:r>
                  <w:r>
                    <w:rPr>
                      <w:rFonts w:hint="eastAsia" w:ascii="Times New Roman" w:hAnsi="Times New Roman" w:eastAsia="宋体" w:cs="Times New Roman"/>
                      <w:i w:val="0"/>
                      <w:iCs w:val="0"/>
                      <w:color w:val="000000"/>
                      <w:kern w:val="0"/>
                      <w:sz w:val="22"/>
                      <w:szCs w:val="22"/>
                      <w:u w:val="none"/>
                      <w:lang w:val="en-US" w:eastAsia="zh-CN" w:bidi="ar"/>
                    </w:rPr>
                    <w:t>6</w:t>
                  </w:r>
                </w:p>
              </w:tc>
              <w:tc>
                <w:tcPr>
                  <w:tcW w:w="246" w:type="pct"/>
                  <w:tcBorders>
                    <w:tl2br w:val="nil"/>
                    <w:tr2bl w:val="nil"/>
                  </w:tcBorders>
                  <w:vAlign w:val="center"/>
                </w:tcPr>
                <w:p w14:paraId="4F261351">
                  <w:pPr>
                    <w:pStyle w:val="65"/>
                    <w:keepNext w:val="0"/>
                    <w:keepLines w:val="0"/>
                    <w:widowControl/>
                    <w:suppressLineNumbers w:val="0"/>
                    <w:spacing w:before="0" w:beforeAutospacing="0" w:after="0" w:afterAutospacing="0"/>
                    <w:ind w:left="0" w:right="0"/>
                    <w:jc w:val="center"/>
                    <w:rPr>
                      <w:rFonts w:hint="default"/>
                      <w:color w:val="000000" w:themeColor="text1"/>
                      <w:sz w:val="21"/>
                      <w:szCs w:val="21"/>
                      <w:highlight w:val="none"/>
                      <w14:textFill>
                        <w14:solidFill>
                          <w14:schemeClr w14:val="tx1"/>
                        </w14:solidFill>
                      </w14:textFill>
                    </w:rPr>
                  </w:pPr>
                </w:p>
              </w:tc>
              <w:tc>
                <w:tcPr>
                  <w:tcW w:w="467" w:type="pct"/>
                  <w:tcBorders>
                    <w:tl2br w:val="nil"/>
                    <w:tr2bl w:val="nil"/>
                  </w:tcBorders>
                  <w:vAlign w:val="center"/>
                </w:tcPr>
                <w:p w14:paraId="71D728F1">
                  <w:pPr>
                    <w:pStyle w:val="65"/>
                    <w:keepNext w:val="0"/>
                    <w:keepLines w:val="0"/>
                    <w:widowControl/>
                    <w:suppressLineNumbers w:val="0"/>
                    <w:spacing w:before="0" w:beforeAutospacing="0" w:after="0" w:afterAutospacing="0"/>
                    <w:ind w:left="0" w:leftChars="0" w:right="0" w:rightChars="0"/>
                    <w:jc w:val="center"/>
                    <w:rPr>
                      <w:rFonts w:hint="default" w:eastAsia="宋体"/>
                      <w:color w:val="auto"/>
                      <w:szCs w:val="20"/>
                      <w:highlight w:val="none"/>
                      <w:lang w:val="en-US" w:eastAsia="zh-CN"/>
                    </w:rPr>
                  </w:pPr>
                  <w:r>
                    <w:rPr>
                      <w:rFonts w:hint="eastAsia"/>
                      <w:color w:val="auto"/>
                      <w:szCs w:val="20"/>
                      <w:highlight w:val="none"/>
                      <w:lang w:val="en-US" w:eastAsia="zh-CN"/>
                    </w:rPr>
                    <w:t>50</w:t>
                  </w:r>
                </w:p>
              </w:tc>
              <w:tc>
                <w:tcPr>
                  <w:tcW w:w="700" w:type="pct"/>
                  <w:tcBorders>
                    <w:tl2br w:val="nil"/>
                    <w:tr2bl w:val="nil"/>
                  </w:tcBorders>
                  <w:vAlign w:val="center"/>
                </w:tcPr>
                <w:p w14:paraId="07F47C1F">
                  <w:pPr>
                    <w:pStyle w:val="65"/>
                    <w:keepNext w:val="0"/>
                    <w:keepLines w:val="0"/>
                    <w:widowControl/>
                    <w:suppressLineNumbers w:val="0"/>
                    <w:spacing w:before="0" w:beforeAutospacing="0" w:after="0" w:afterAutospacing="0"/>
                    <w:ind w:left="0" w:leftChars="0" w:right="0" w:rightChars="0"/>
                    <w:jc w:val="center"/>
                    <w:rPr>
                      <w:rFonts w:hint="default" w:eastAsia="宋体"/>
                      <w:color w:val="auto"/>
                      <w:szCs w:val="20"/>
                      <w:highlight w:val="none"/>
                      <w:lang w:val="en-US" w:eastAsia="zh-CN"/>
                    </w:rPr>
                  </w:pPr>
                  <w:r>
                    <w:rPr>
                      <w:rFonts w:hint="eastAsia"/>
                      <w:color w:val="auto"/>
                      <w:szCs w:val="20"/>
                      <w:highlight w:val="none"/>
                      <w:lang w:val="en-US" w:eastAsia="zh-CN"/>
                    </w:rPr>
                    <w:t>0.29</w:t>
                  </w:r>
                </w:p>
              </w:tc>
              <w:tc>
                <w:tcPr>
                  <w:tcW w:w="794" w:type="dxa"/>
                  <w:tcBorders>
                    <w:tl2br w:val="nil"/>
                    <w:tr2bl w:val="nil"/>
                  </w:tcBorders>
                  <w:vAlign w:val="center"/>
                </w:tcPr>
                <w:p w14:paraId="5CE80B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u w:val="none"/>
                      <w:lang w:val="en-US" w:eastAsia="zh-CN" w:bidi="ar"/>
                    </w:rPr>
                    <w:t>0.000</w:t>
                  </w:r>
                  <w:r>
                    <w:rPr>
                      <w:rFonts w:hint="eastAsia" w:ascii="Times New Roman" w:hAnsi="Times New Roman" w:eastAsia="宋体" w:cs="Times New Roman"/>
                      <w:i w:val="0"/>
                      <w:iCs w:val="0"/>
                      <w:color w:val="000000"/>
                      <w:kern w:val="0"/>
                      <w:sz w:val="22"/>
                      <w:szCs w:val="22"/>
                      <w:u w:val="none"/>
                      <w:lang w:val="en-US" w:eastAsia="zh-CN" w:bidi="ar"/>
                    </w:rPr>
                    <w:t>3</w:t>
                  </w:r>
                </w:p>
              </w:tc>
              <w:tc>
                <w:tcPr>
                  <w:tcW w:w="678" w:type="pct"/>
                  <w:tcBorders>
                    <w:tl2br w:val="nil"/>
                    <w:tr2bl w:val="nil"/>
                  </w:tcBorders>
                  <w:vAlign w:val="center"/>
                </w:tcPr>
                <w:p w14:paraId="5B6FDFA2">
                  <w:pPr>
                    <w:pStyle w:val="65"/>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100</w:t>
                  </w:r>
                </w:p>
              </w:tc>
              <w:tc>
                <w:tcPr>
                  <w:tcW w:w="839" w:type="pct"/>
                  <w:tcBorders>
                    <w:tl2br w:val="nil"/>
                    <w:tr2bl w:val="nil"/>
                  </w:tcBorders>
                  <w:vAlign w:val="center"/>
                </w:tcPr>
                <w:p w14:paraId="137DDE45">
                  <w:pPr>
                    <w:pStyle w:val="65"/>
                    <w:keepNext w:val="0"/>
                    <w:keepLines w:val="0"/>
                    <w:widowControl/>
                    <w:suppressLineNumbers w:val="0"/>
                    <w:spacing w:before="0" w:beforeAutospacing="0" w:after="0" w:afterAutospacing="0"/>
                    <w:ind w:left="0" w:leftChars="0" w:right="0" w:rightChars="0"/>
                    <w:jc w:val="center"/>
                    <w:rPr>
                      <w:rFonts w:hint="eastAsia" w:eastAsia="宋体"/>
                      <w:color w:val="auto"/>
                      <w:szCs w:val="20"/>
                      <w:highlight w:val="none"/>
                      <w:lang w:val="en-US" w:eastAsia="zh-CN"/>
                    </w:rPr>
                  </w:pPr>
                  <w:r>
                    <w:rPr>
                      <w:rFonts w:hint="eastAsia"/>
                      <w:color w:val="auto"/>
                      <w:szCs w:val="20"/>
                      <w:highlight w:val="none"/>
                      <w:lang w:val="en-US" w:eastAsia="zh-CN"/>
                    </w:rPr>
                    <w:t>/</w:t>
                  </w:r>
                </w:p>
              </w:tc>
            </w:tr>
          </w:tbl>
          <w:p w14:paraId="04C56F1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cs="Times New Roman"/>
                <w:bCs/>
                <w:color w:val="auto"/>
                <w:sz w:val="24"/>
                <w:lang w:val="en-US" w:eastAsia="zh-CN"/>
              </w:rPr>
            </w:pPr>
            <w:r>
              <w:rPr>
                <w:rFonts w:hint="default" w:ascii="Times New Roman" w:hAnsi="Times New Roman" w:eastAsia="宋体" w:cs="Times New Roman"/>
                <w:bCs/>
                <w:color w:val="auto"/>
                <w:sz w:val="24"/>
                <w:lang w:val="en-US" w:eastAsia="zh-CN"/>
              </w:rPr>
              <w:t>由上表可知，本项目所产生的生产废水经过现有项目厂区内</w:t>
            </w:r>
            <w:r>
              <w:rPr>
                <w:rFonts w:hint="eastAsia" w:ascii="Times New Roman" w:hAnsi="Times New Roman" w:eastAsia="宋体" w:cs="Times New Roman"/>
                <w:bCs/>
                <w:color w:val="auto"/>
                <w:sz w:val="24"/>
                <w:lang w:val="en-US" w:eastAsia="zh-CN"/>
              </w:rPr>
              <w:t>化粪池</w:t>
            </w:r>
            <w:r>
              <w:rPr>
                <w:rFonts w:hint="default" w:ascii="Times New Roman" w:hAnsi="Times New Roman" w:eastAsia="宋体" w:cs="Times New Roman"/>
                <w:bCs/>
                <w:color w:val="auto"/>
                <w:sz w:val="24"/>
                <w:lang w:val="en-US" w:eastAsia="zh-CN"/>
              </w:rPr>
              <w:t>处理后能够达到《污水综合排放标准》（GB8978-1996）表4三级标准及《污水排入城镇下水道水质标准》（GB/T31962-2015）表1B级标准</w:t>
            </w:r>
            <w:r>
              <w:rPr>
                <w:rFonts w:hint="eastAsia" w:cs="Times New Roman"/>
                <w:bCs/>
                <w:color w:val="auto"/>
                <w:sz w:val="24"/>
                <w:lang w:val="en-US" w:eastAsia="zh-CN"/>
              </w:rPr>
              <w:t>。</w:t>
            </w:r>
          </w:p>
          <w:p w14:paraId="55B8E15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420" w:leftChars="200" w:right="0" w:rightChars="0"/>
              <w:textAlignment w:val="auto"/>
              <w:rPr>
                <w:rFonts w:hint="eastAsia" w:cs="Times New Roman"/>
                <w:color w:val="000000" w:themeColor="text1"/>
                <w:kern w:val="0"/>
                <w:sz w:val="24"/>
                <w:lang w:val="en-US" w:eastAsia="zh-CN"/>
                <w14:textFill>
                  <w14:solidFill>
                    <w14:schemeClr w14:val="tx1"/>
                  </w14:solidFill>
                </w14:textFill>
              </w:rPr>
            </w:pPr>
            <w:r>
              <w:rPr>
                <w:rFonts w:hint="eastAsia" w:cs="Times New Roman"/>
                <w:color w:val="000000" w:themeColor="text1"/>
                <w:kern w:val="0"/>
                <w:sz w:val="24"/>
                <w:lang w:val="en-US" w:eastAsia="zh-CN"/>
                <w14:textFill>
                  <w14:solidFill>
                    <w14:schemeClr w14:val="tx1"/>
                  </w14:solidFill>
                </w14:textFill>
              </w:rPr>
              <w:t>（2）生产废水</w:t>
            </w:r>
          </w:p>
          <w:p w14:paraId="055896F8">
            <w:pPr>
              <w:pStyle w:val="2"/>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360" w:lineRule="auto"/>
              <w:ind w:leftChars="0" w:right="0" w:firstLine="480" w:firstLineChars="200"/>
              <w:textAlignment w:val="auto"/>
              <w:rPr>
                <w:rFonts w:hint="eastAsia" w:ascii="Times New Roman" w:hAnsi="Times New Roman" w:eastAsia="宋体" w:cs="Times New Roman"/>
                <w:bCs/>
                <w:color w:val="auto"/>
                <w:kern w:val="0"/>
                <w:sz w:val="24"/>
                <w:szCs w:val="20"/>
                <w:lang w:val="en-US" w:eastAsia="zh-CN" w:bidi="ar-SA"/>
              </w:rPr>
            </w:pPr>
            <w:r>
              <w:rPr>
                <w:rFonts w:hint="eastAsia" w:ascii="Times New Roman" w:hAnsi="Times New Roman" w:cs="Times New Roman"/>
                <w:color w:val="auto"/>
                <w:sz w:val="24"/>
                <w:lang w:val="en-US" w:eastAsia="zh-CN"/>
              </w:rPr>
              <w:t>项目印刷机设备需定期进行清洗，清洗废水统一收集于废水专用沉淀池（容积为6m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），沉淀后的废水再经油墨污水处理一体机处理，处理后的清水作为油墨稀释用水回用，不外排</w:t>
            </w:r>
            <w:r>
              <w:rPr>
                <w:rFonts w:hint="default" w:ascii="Times New Roman" w:hAnsi="Times New Roman" w:eastAsia="宋体" w:cs="Times New Roman"/>
                <w:bCs/>
                <w:color w:val="auto"/>
                <w:kern w:val="0"/>
                <w:sz w:val="24"/>
                <w:szCs w:val="20"/>
                <w:lang w:val="en-US" w:eastAsia="zh-CN" w:bidi="ar-SA"/>
              </w:rPr>
              <w:t>。</w:t>
            </w:r>
            <w:r>
              <w:rPr>
                <w:rFonts w:hint="eastAsia" w:ascii="Times New Roman" w:hAnsi="Times New Roman" w:eastAsia="宋体" w:cs="Times New Roman"/>
                <w:bCs/>
                <w:color w:val="auto"/>
                <w:kern w:val="0"/>
                <w:sz w:val="24"/>
                <w:szCs w:val="20"/>
                <w:lang w:val="en-US" w:eastAsia="zh-CN" w:bidi="ar-SA"/>
              </w:rPr>
              <w:t>油墨污水</w:t>
            </w:r>
            <w:r>
              <w:rPr>
                <w:rFonts w:hint="default" w:ascii="Times New Roman" w:hAnsi="Times New Roman" w:eastAsia="宋体" w:cs="Times New Roman"/>
                <w:bCs/>
                <w:color w:val="auto"/>
                <w:kern w:val="0"/>
                <w:sz w:val="24"/>
                <w:szCs w:val="20"/>
                <w:lang w:val="en-US" w:eastAsia="zh-CN" w:bidi="ar-SA"/>
              </w:rPr>
              <w:t>处理设施型号为YZ-1000型，处理能力为1000kg/h，满足本项目处理需求。其处理流程为</w:t>
            </w:r>
            <w:r>
              <w:rPr>
                <w:rFonts w:hint="eastAsia" w:ascii="Times New Roman" w:hAnsi="Times New Roman" w:eastAsia="宋体" w:cs="Times New Roman"/>
                <w:bCs/>
                <w:color w:val="auto"/>
                <w:kern w:val="0"/>
                <w:sz w:val="24"/>
                <w:szCs w:val="20"/>
                <w:lang w:val="en-US" w:eastAsia="zh-CN" w:bidi="ar-SA"/>
              </w:rPr>
              <w:t>沉淀池沉淀后经混凝化学反应，反应沉淀后，</w:t>
            </w:r>
            <w:r>
              <w:rPr>
                <w:rFonts w:hint="default" w:ascii="Times New Roman" w:hAnsi="Times New Roman" w:eastAsia="宋体" w:cs="Times New Roman"/>
                <w:bCs/>
                <w:color w:val="auto"/>
                <w:kern w:val="0"/>
                <w:sz w:val="24"/>
                <w:szCs w:val="20"/>
                <w:lang w:val="en-US" w:eastAsia="zh-CN" w:bidi="ar-SA"/>
              </w:rPr>
              <w:t>再通过压滤机脱水，污泥收集于危废暂存间，滤后水进入初沉槽回用。因已达到回用要求，原设计的后续接触氧化工序未使用。处理工艺见下图</w:t>
            </w:r>
            <w:r>
              <w:rPr>
                <w:rFonts w:hint="eastAsia" w:ascii="Times New Roman" w:hAnsi="Times New Roman" w:eastAsia="宋体" w:cs="Times New Roman"/>
                <w:bCs/>
                <w:color w:val="auto"/>
                <w:kern w:val="0"/>
                <w:sz w:val="24"/>
                <w:szCs w:val="20"/>
                <w:lang w:val="en-US" w:eastAsia="zh-CN" w:bidi="ar-SA"/>
              </w:rPr>
              <w:t>。</w:t>
            </w:r>
          </w:p>
          <w:p w14:paraId="3699EFD3">
            <w:pPr>
              <w:keepNext w:val="0"/>
              <w:keepLines w:val="0"/>
              <w:suppressLineNumbers w:val="0"/>
              <w:spacing w:before="0" w:beforeAutospacing="0" w:after="0" w:afterAutospacing="0"/>
              <w:ind w:left="0" w:right="0"/>
              <w:jc w:val="center"/>
              <w:rPr>
                <w:rFonts w:hint="default"/>
                <w:lang w:val="en-US" w:eastAsia="zh-CN"/>
              </w:rPr>
            </w:pPr>
            <w:r>
              <w:rPr>
                <w:rFonts w:hint="default"/>
                <w:lang w:val="en-US" w:eastAsia="zh-CN"/>
              </w:rPr>
              <w:drawing>
                <wp:inline distT="0" distB="0" distL="114300" distR="114300">
                  <wp:extent cx="5193030" cy="919480"/>
                  <wp:effectExtent l="0" t="0" r="7620" b="13970"/>
                  <wp:docPr id="3" name="F360BE8B-6686-4F3D-AEAF-501FE73E4058-4" descr="C:/Users/Lenovo/AppData/Local/Temp/绘图1(18).png绘图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360BE8B-6686-4F3D-AEAF-501FE73E4058-4" descr="C:/Users/Lenovo/AppData/Local/Temp/绘图1(18).png绘图1(18)"/>
                          <pic:cNvPicPr>
                            <a:picLocks noChangeAspect="1"/>
                          </pic:cNvPicPr>
                        </pic:nvPicPr>
                        <pic:blipFill>
                          <a:blip r:embed="rId12"/>
                          <a:stretch>
                            <a:fillRect/>
                          </a:stretch>
                        </pic:blipFill>
                        <pic:spPr>
                          <a:xfrm>
                            <a:off x="0" y="0"/>
                            <a:ext cx="5193030" cy="919480"/>
                          </a:xfrm>
                          <a:prstGeom prst="rect">
                            <a:avLst/>
                          </a:prstGeom>
                        </pic:spPr>
                      </pic:pic>
                    </a:graphicData>
                  </a:graphic>
                </wp:inline>
              </w:drawing>
            </w:r>
          </w:p>
          <w:p w14:paraId="0CFA6E60">
            <w:pPr>
              <w:keepNext w:val="0"/>
              <w:keepLines w:val="0"/>
              <w:numPr>
                <w:ilvl w:val="0"/>
                <w:numId w:val="0"/>
              </w:numPr>
              <w:suppressLineNumbers w:val="0"/>
              <w:spacing w:before="0" w:beforeAutospacing="0" w:after="0" w:afterAutospacing="0" w:line="360" w:lineRule="auto"/>
              <w:ind w:left="420" w:leftChars="200" w:right="0"/>
              <w:jc w:val="center"/>
              <w:rPr>
                <w:rFonts w:hint="default" w:cs="Times New Roman"/>
                <w:b/>
                <w:bCs w:val="0"/>
                <w:color w:val="auto"/>
                <w:sz w:val="24"/>
                <w:lang w:val="en-US" w:eastAsia="zh-CN"/>
              </w:rPr>
            </w:pPr>
            <w:r>
              <w:rPr>
                <w:rFonts w:hint="eastAsia" w:cs="Times New Roman"/>
                <w:b/>
                <w:bCs w:val="0"/>
                <w:color w:val="auto"/>
                <w:sz w:val="24"/>
                <w:lang w:val="en-US" w:eastAsia="zh-CN"/>
              </w:rPr>
              <w:t>图4-1  油墨污水处理工艺图</w:t>
            </w:r>
          </w:p>
          <w:p w14:paraId="392ADFAA">
            <w:pPr>
              <w:keepNext w:val="0"/>
              <w:keepLines w:val="0"/>
              <w:numPr>
                <w:ilvl w:val="0"/>
                <w:numId w:val="0"/>
              </w:numPr>
              <w:suppressLineNumbers w:val="0"/>
              <w:spacing w:before="0" w:beforeAutospacing="0" w:after="0" w:afterAutospacing="0" w:line="360" w:lineRule="auto"/>
              <w:ind w:left="420" w:leftChars="200" w:right="0"/>
              <w:rPr>
                <w:rFonts w:hint="eastAsia" w:cs="Times New Roman"/>
                <w:bCs/>
                <w:color w:val="auto"/>
                <w:sz w:val="24"/>
                <w:lang w:val="en-US" w:eastAsia="zh-CN"/>
              </w:rPr>
            </w:pPr>
            <w:r>
              <w:rPr>
                <w:rFonts w:hint="eastAsia" w:cs="Times New Roman"/>
                <w:bCs/>
                <w:color w:val="auto"/>
                <w:sz w:val="24"/>
                <w:lang w:val="en-US" w:eastAsia="zh-CN"/>
              </w:rPr>
              <w:t>（3）污水处理厂依托可行性分析</w:t>
            </w:r>
          </w:p>
          <w:p w14:paraId="33FC29A4">
            <w:pPr>
              <w:pStyle w:val="3"/>
              <w:keepNext w:val="0"/>
              <w:keepLines w:val="0"/>
              <w:suppressLineNumbers w:val="0"/>
              <w:adjustRightInd w:val="0"/>
              <w:snapToGrid w:val="0"/>
              <w:spacing w:before="0" w:beforeAutospacing="0" w:after="0" w:afterAutospacing="0" w:line="360" w:lineRule="auto"/>
              <w:ind w:left="0" w:leftChars="0" w:right="0" w:firstLine="480" w:firstLineChars="200"/>
              <w:rPr>
                <w:rFonts w:hint="default" w:cs="Times New Roman"/>
                <w:bCs/>
                <w:color w:val="auto"/>
                <w:sz w:val="24"/>
                <w:lang w:val="en-US" w:eastAsia="zh-CN"/>
              </w:rPr>
            </w:pPr>
            <w:r>
              <w:rPr>
                <w:rFonts w:hint="default" w:ascii="Times New Roman" w:hAnsi="Times New Roman" w:cs="Times New Roman"/>
                <w:bCs/>
              </w:rPr>
              <w:t>本项目</w:t>
            </w:r>
            <w:r>
              <w:rPr>
                <w:rFonts w:hint="eastAsia" w:ascii="Times New Roman" w:hAnsi="Times New Roman" w:cs="Times New Roman"/>
                <w:bCs/>
                <w:lang w:val="en-US" w:eastAsia="zh-CN"/>
              </w:rPr>
              <w:t>生活污水</w:t>
            </w:r>
            <w:r>
              <w:rPr>
                <w:rFonts w:hint="default" w:ascii="Times New Roman" w:hAnsi="Times New Roman" w:cs="Times New Roman"/>
                <w:bCs/>
              </w:rPr>
              <w:t>经现有项目厂区内</w:t>
            </w:r>
            <w:r>
              <w:rPr>
                <w:rFonts w:hint="eastAsia" w:ascii="Times New Roman" w:hAnsi="Times New Roman" w:cs="Times New Roman"/>
                <w:bCs/>
                <w:lang w:val="en-US" w:eastAsia="zh-CN"/>
              </w:rPr>
              <w:t>化粪池</w:t>
            </w:r>
            <w:r>
              <w:rPr>
                <w:rFonts w:hint="default" w:ascii="Times New Roman" w:hAnsi="Times New Roman" w:cs="Times New Roman"/>
                <w:bCs/>
              </w:rPr>
              <w:t>处理后，达到《污水综合排放标准》（GB8978-1996）三级标准以及《污水排入城镇下水道水质标准》（GB/T 31962-2015）表1B级标准要求后，通过市政管网排入</w:t>
            </w:r>
            <w:r>
              <w:rPr>
                <w:rFonts w:hint="eastAsia" w:ascii="Times New Roman" w:hAnsi="Times New Roman" w:cs="Times New Roman"/>
                <w:bCs/>
                <w:lang w:val="en-US" w:eastAsia="zh-CN"/>
              </w:rPr>
              <w:t>西安市第六</w:t>
            </w:r>
            <w:r>
              <w:rPr>
                <w:rFonts w:hint="default" w:ascii="Times New Roman" w:hAnsi="Times New Roman" w:cs="Times New Roman"/>
                <w:bCs/>
              </w:rPr>
              <w:t>污水处理厂进行集中处理。</w:t>
            </w:r>
          </w:p>
          <w:p w14:paraId="2D36C18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cs="Times New Roman"/>
                <w:bCs/>
                <w:color w:val="auto"/>
                <w:sz w:val="24"/>
                <w:lang w:val="en-US" w:eastAsia="zh-CN"/>
              </w:rPr>
            </w:pPr>
            <w:r>
              <w:rPr>
                <w:rFonts w:hint="default" w:cs="Times New Roman"/>
                <w:bCs/>
                <w:color w:val="auto"/>
                <w:sz w:val="24"/>
                <w:lang w:val="en-US" w:eastAsia="zh-CN"/>
              </w:rPr>
              <w:t>西安市第六污水处理厂位于西安市北郊六村堡的北绕城高速以北，太平河、郑西高铁以南，尚航路以东，福银高速以西，总占地面积16.95公顷，该污水处理厂分两期建设，采用以A2 /O为主的生物处理工艺。一期工程10 ×10</w:t>
            </w:r>
            <w:r>
              <w:rPr>
                <w:rFonts w:hint="default" w:cs="Times New Roman"/>
                <w:bCs/>
                <w:color w:val="auto"/>
                <w:sz w:val="24"/>
                <w:vertAlign w:val="superscript"/>
                <w:lang w:val="en-US" w:eastAsia="zh-CN"/>
              </w:rPr>
              <w:t>4</w:t>
            </w:r>
            <w:r>
              <w:rPr>
                <w:rFonts w:hint="default" w:cs="Times New Roman"/>
                <w:bCs/>
                <w:color w:val="auto"/>
                <w:sz w:val="24"/>
                <w:lang w:val="en-US" w:eastAsia="zh-CN"/>
              </w:rPr>
              <w:t>m</w:t>
            </w:r>
            <w:r>
              <w:rPr>
                <w:rFonts w:hint="default" w:cs="Times New Roman"/>
                <w:bCs/>
                <w:color w:val="auto"/>
                <w:sz w:val="24"/>
                <w:vertAlign w:val="superscript"/>
                <w:lang w:val="en-US" w:eastAsia="zh-CN"/>
              </w:rPr>
              <w:t>3</w:t>
            </w:r>
            <w:r>
              <w:rPr>
                <w:rFonts w:hint="default" w:cs="Times New Roman"/>
                <w:bCs/>
                <w:color w:val="auto"/>
                <w:sz w:val="24"/>
                <w:lang w:val="en-US" w:eastAsia="zh-CN"/>
              </w:rPr>
              <w:t>/d及二期的5×10</w:t>
            </w:r>
            <w:r>
              <w:rPr>
                <w:rFonts w:hint="default" w:cs="Times New Roman"/>
                <w:bCs/>
                <w:color w:val="auto"/>
                <w:sz w:val="24"/>
                <w:vertAlign w:val="superscript"/>
                <w:lang w:val="en-US" w:eastAsia="zh-CN"/>
              </w:rPr>
              <w:t>4</w:t>
            </w:r>
            <w:r>
              <w:rPr>
                <w:rFonts w:hint="default" w:cs="Times New Roman"/>
                <w:bCs/>
                <w:color w:val="auto"/>
                <w:sz w:val="24"/>
                <w:lang w:val="en-US" w:eastAsia="zh-CN"/>
              </w:rPr>
              <w:t>m</w:t>
            </w:r>
            <w:r>
              <w:rPr>
                <w:rFonts w:hint="default" w:cs="Times New Roman"/>
                <w:bCs/>
                <w:color w:val="auto"/>
                <w:sz w:val="24"/>
                <w:vertAlign w:val="superscript"/>
                <w:lang w:val="en-US" w:eastAsia="zh-CN"/>
              </w:rPr>
              <w:t>3</w:t>
            </w:r>
            <w:r>
              <w:rPr>
                <w:rFonts w:hint="default" w:cs="Times New Roman"/>
                <w:bCs/>
                <w:color w:val="auto"/>
                <w:sz w:val="24"/>
                <w:lang w:val="en-US" w:eastAsia="zh-CN"/>
              </w:rPr>
              <w:t>/d 工程于2016年8月进行验收，并于2016年10月28日取得西安市环境保护局沣渭新区分局关于西安市第六污水处理厂（15万吨/天处理规模）竣工环保验收的批复（市环沣渭验[2016]10号）。二期工程剩余5×10</w:t>
            </w:r>
            <w:r>
              <w:rPr>
                <w:rFonts w:hint="default" w:cs="Times New Roman"/>
                <w:bCs/>
                <w:color w:val="auto"/>
                <w:sz w:val="24"/>
                <w:vertAlign w:val="superscript"/>
                <w:lang w:val="en-US" w:eastAsia="zh-CN"/>
              </w:rPr>
              <w:t>4</w:t>
            </w:r>
            <w:r>
              <w:rPr>
                <w:rFonts w:hint="default" w:cs="Times New Roman"/>
                <w:bCs/>
                <w:color w:val="auto"/>
                <w:sz w:val="24"/>
                <w:lang w:val="en-US" w:eastAsia="zh-CN"/>
              </w:rPr>
              <w:t>m</w:t>
            </w:r>
            <w:r>
              <w:rPr>
                <w:rFonts w:hint="default" w:cs="Times New Roman"/>
                <w:bCs/>
                <w:color w:val="auto"/>
                <w:sz w:val="24"/>
                <w:vertAlign w:val="superscript"/>
                <w:lang w:val="en-US" w:eastAsia="zh-CN"/>
              </w:rPr>
              <w:t>3</w:t>
            </w:r>
            <w:r>
              <w:rPr>
                <w:rFonts w:hint="default" w:cs="Times New Roman"/>
                <w:bCs/>
                <w:color w:val="auto"/>
                <w:sz w:val="24"/>
                <w:lang w:val="en-US" w:eastAsia="zh-CN"/>
              </w:rPr>
              <w:t>/d已建成并完成调试。于2018年4月完成竣工环保验收并全部正式投入使用，污水处理后满足陕西省黄河流域污水综合排放标准（DB61/224-2018）中标准。西安市第六污水处理厂服务范围具体包括：主要收集和处理西安市主城区西北端沿皂河流域（包括三桥工业区）、六村堡组团及纪阳组团范围内的生产废水和生活污水，服务面积约3388公顷，其服务范围目前绝大部分位于沣东新城。本项目在西安市污水处理厂的收水范围之内，故项目产生的废水处理依托西安市污水处理厂处理可行。</w:t>
            </w:r>
          </w:p>
          <w:p w14:paraId="605E38DD">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b/>
                <w:sz w:val="24"/>
              </w:rPr>
            </w:pPr>
            <w:r>
              <w:rPr>
                <w:rFonts w:hint="default" w:ascii="Times New Roman" w:hAnsi="Times New Roman" w:cs="Times New Roman"/>
                <w:b/>
                <w:sz w:val="24"/>
              </w:rPr>
              <w:t>表4-</w:t>
            </w:r>
            <w:r>
              <w:rPr>
                <w:rFonts w:hint="eastAsia" w:cs="Times New Roman"/>
                <w:b/>
                <w:sz w:val="24"/>
                <w:lang w:val="en-US" w:eastAsia="zh-CN"/>
              </w:rPr>
              <w:t xml:space="preserve">7  </w:t>
            </w:r>
            <w:r>
              <w:rPr>
                <w:rFonts w:hint="default" w:ascii="Times New Roman" w:hAnsi="Times New Roman" w:cs="Times New Roman"/>
                <w:b/>
                <w:sz w:val="24"/>
              </w:rPr>
              <w:t xml:space="preserve"> 废水类别、污染物及污染治理设施信息表</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34"/>
              <w:gridCol w:w="744"/>
              <w:gridCol w:w="958"/>
              <w:gridCol w:w="999"/>
              <w:gridCol w:w="594"/>
              <w:gridCol w:w="682"/>
              <w:gridCol w:w="682"/>
              <w:gridCol w:w="1098"/>
              <w:gridCol w:w="874"/>
              <w:gridCol w:w="685"/>
              <w:gridCol w:w="683"/>
            </w:tblGrid>
            <w:tr w14:paraId="291A63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258" w:type="pct"/>
                  <w:vMerge w:val="restart"/>
                  <w:noWrap w:val="0"/>
                  <w:vAlign w:val="center"/>
                </w:tcPr>
                <w:p w14:paraId="695E7700">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序号</w:t>
                  </w:r>
                </w:p>
              </w:tc>
              <w:tc>
                <w:tcPr>
                  <w:tcW w:w="441" w:type="pct"/>
                  <w:vMerge w:val="restart"/>
                  <w:noWrap w:val="0"/>
                  <w:vAlign w:val="center"/>
                </w:tcPr>
                <w:p w14:paraId="504120D1">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废水类别</w:t>
                  </w:r>
                </w:p>
              </w:tc>
              <w:tc>
                <w:tcPr>
                  <w:tcW w:w="568" w:type="pct"/>
                  <w:vMerge w:val="restart"/>
                  <w:noWrap w:val="0"/>
                  <w:vAlign w:val="center"/>
                </w:tcPr>
                <w:p w14:paraId="3FAF9246">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污染物种类</w:t>
                  </w:r>
                </w:p>
              </w:tc>
              <w:tc>
                <w:tcPr>
                  <w:tcW w:w="592" w:type="pct"/>
                  <w:vMerge w:val="restart"/>
                  <w:noWrap w:val="0"/>
                  <w:vAlign w:val="center"/>
                </w:tcPr>
                <w:p w14:paraId="4F6E2A8A">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排放去向</w:t>
                  </w:r>
                </w:p>
              </w:tc>
              <w:tc>
                <w:tcPr>
                  <w:tcW w:w="352" w:type="pct"/>
                  <w:vMerge w:val="restart"/>
                  <w:noWrap w:val="0"/>
                  <w:vAlign w:val="center"/>
                </w:tcPr>
                <w:p w14:paraId="1EEF3CCF">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排放规律</w:t>
                  </w:r>
                </w:p>
              </w:tc>
              <w:tc>
                <w:tcPr>
                  <w:tcW w:w="1459" w:type="pct"/>
                  <w:gridSpan w:val="3"/>
                  <w:noWrap w:val="0"/>
                  <w:vAlign w:val="center"/>
                </w:tcPr>
                <w:p w14:paraId="2776836E">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污染治理设施</w:t>
                  </w:r>
                </w:p>
              </w:tc>
              <w:tc>
                <w:tcPr>
                  <w:tcW w:w="518" w:type="pct"/>
                  <w:vMerge w:val="restart"/>
                  <w:noWrap w:val="0"/>
                  <w:vAlign w:val="center"/>
                </w:tcPr>
                <w:p w14:paraId="09483DF7">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排放口编号</w:t>
                  </w:r>
                </w:p>
              </w:tc>
              <w:tc>
                <w:tcPr>
                  <w:tcW w:w="406" w:type="pct"/>
                  <w:vMerge w:val="restart"/>
                  <w:noWrap w:val="0"/>
                  <w:vAlign w:val="center"/>
                </w:tcPr>
                <w:p w14:paraId="14DB6F78">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排放口设置是否符合要求</w:t>
                  </w:r>
                </w:p>
              </w:tc>
              <w:tc>
                <w:tcPr>
                  <w:tcW w:w="405" w:type="pct"/>
                  <w:vMerge w:val="restart"/>
                  <w:noWrap w:val="0"/>
                  <w:vAlign w:val="center"/>
                </w:tcPr>
                <w:p w14:paraId="6D328D4A">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排放口类型</w:t>
                  </w:r>
                </w:p>
              </w:tc>
            </w:tr>
            <w:tr w14:paraId="0022DB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258" w:type="pct"/>
                  <w:vMerge w:val="continue"/>
                  <w:noWrap w:val="0"/>
                  <w:vAlign w:val="center"/>
                </w:tcPr>
                <w:p w14:paraId="580123AD">
                  <w:pPr>
                    <w:keepNext w:val="0"/>
                    <w:keepLines w:val="0"/>
                    <w:suppressLineNumbers w:val="0"/>
                    <w:spacing w:before="0" w:beforeAutospacing="0" w:after="0" w:afterAutospacing="0"/>
                    <w:ind w:left="0" w:right="0"/>
                    <w:rPr>
                      <w:rFonts w:hint="default" w:ascii="Times New Roman" w:hAnsi="Times New Roman" w:cs="Times New Roman"/>
                    </w:rPr>
                  </w:pPr>
                </w:p>
              </w:tc>
              <w:tc>
                <w:tcPr>
                  <w:tcW w:w="441" w:type="pct"/>
                  <w:vMerge w:val="continue"/>
                  <w:noWrap w:val="0"/>
                  <w:vAlign w:val="center"/>
                </w:tcPr>
                <w:p w14:paraId="6D4E380E">
                  <w:pPr>
                    <w:keepNext w:val="0"/>
                    <w:keepLines w:val="0"/>
                    <w:suppressLineNumbers w:val="0"/>
                    <w:spacing w:before="0" w:beforeAutospacing="0" w:after="0" w:afterAutospacing="0"/>
                    <w:ind w:left="0" w:right="0"/>
                    <w:rPr>
                      <w:rFonts w:hint="default" w:ascii="Times New Roman" w:hAnsi="Times New Roman" w:cs="Times New Roman"/>
                    </w:rPr>
                  </w:pPr>
                </w:p>
              </w:tc>
              <w:tc>
                <w:tcPr>
                  <w:tcW w:w="568" w:type="pct"/>
                  <w:vMerge w:val="continue"/>
                  <w:noWrap w:val="0"/>
                  <w:vAlign w:val="center"/>
                </w:tcPr>
                <w:p w14:paraId="0E6E482D">
                  <w:pPr>
                    <w:keepNext w:val="0"/>
                    <w:keepLines w:val="0"/>
                    <w:suppressLineNumbers w:val="0"/>
                    <w:spacing w:before="0" w:beforeAutospacing="0" w:after="0" w:afterAutospacing="0"/>
                    <w:ind w:left="0" w:right="0"/>
                    <w:rPr>
                      <w:rFonts w:hint="default" w:ascii="Times New Roman" w:hAnsi="Times New Roman" w:cs="Times New Roman"/>
                    </w:rPr>
                  </w:pPr>
                </w:p>
              </w:tc>
              <w:tc>
                <w:tcPr>
                  <w:tcW w:w="592" w:type="pct"/>
                  <w:vMerge w:val="continue"/>
                  <w:noWrap w:val="0"/>
                  <w:vAlign w:val="center"/>
                </w:tcPr>
                <w:p w14:paraId="1B0D0685">
                  <w:pPr>
                    <w:keepNext w:val="0"/>
                    <w:keepLines w:val="0"/>
                    <w:suppressLineNumbers w:val="0"/>
                    <w:spacing w:before="0" w:beforeAutospacing="0" w:after="0" w:afterAutospacing="0"/>
                    <w:ind w:left="0" w:right="0"/>
                    <w:rPr>
                      <w:rFonts w:hint="default" w:ascii="Times New Roman" w:hAnsi="Times New Roman" w:cs="Times New Roman"/>
                    </w:rPr>
                  </w:pPr>
                </w:p>
              </w:tc>
              <w:tc>
                <w:tcPr>
                  <w:tcW w:w="352" w:type="pct"/>
                  <w:vMerge w:val="continue"/>
                  <w:noWrap w:val="0"/>
                  <w:vAlign w:val="center"/>
                </w:tcPr>
                <w:p w14:paraId="7B27200C">
                  <w:pPr>
                    <w:keepNext w:val="0"/>
                    <w:keepLines w:val="0"/>
                    <w:suppressLineNumbers w:val="0"/>
                    <w:spacing w:before="0" w:beforeAutospacing="0" w:after="0" w:afterAutospacing="0"/>
                    <w:ind w:left="0" w:right="0"/>
                    <w:rPr>
                      <w:rFonts w:hint="default" w:ascii="Times New Roman" w:hAnsi="Times New Roman" w:cs="Times New Roman"/>
                    </w:rPr>
                  </w:pPr>
                </w:p>
              </w:tc>
              <w:tc>
                <w:tcPr>
                  <w:tcW w:w="404" w:type="pct"/>
                  <w:noWrap w:val="0"/>
                  <w:vAlign w:val="center"/>
                </w:tcPr>
                <w:p w14:paraId="1E5AB8F9">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污染物治理设施编号</w:t>
                  </w:r>
                </w:p>
              </w:tc>
              <w:tc>
                <w:tcPr>
                  <w:tcW w:w="404" w:type="pct"/>
                  <w:noWrap w:val="0"/>
                  <w:vAlign w:val="center"/>
                </w:tcPr>
                <w:p w14:paraId="63039155">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污染治理设施名称</w:t>
                  </w:r>
                </w:p>
              </w:tc>
              <w:tc>
                <w:tcPr>
                  <w:tcW w:w="651" w:type="pct"/>
                  <w:noWrap w:val="0"/>
                  <w:vAlign w:val="center"/>
                </w:tcPr>
                <w:p w14:paraId="011866C1">
                  <w:pPr>
                    <w:keepNext w:val="0"/>
                    <w:keepLines w:val="0"/>
                    <w:suppressLineNumbers w:val="0"/>
                    <w:spacing w:before="0" w:beforeAutospacing="0" w:after="0" w:afterAutospacing="0"/>
                    <w:ind w:left="0" w:right="0"/>
                    <w:jc w:val="center"/>
                    <w:rPr>
                      <w:rFonts w:hint="default" w:ascii="Times New Roman" w:hAnsi="Times New Roman" w:cs="Times New Roman"/>
                      <w:b/>
                      <w:bCs/>
                    </w:rPr>
                  </w:pPr>
                  <w:r>
                    <w:rPr>
                      <w:rFonts w:hint="default" w:ascii="Times New Roman" w:hAnsi="Times New Roman" w:cs="Times New Roman"/>
                      <w:b/>
                      <w:bCs/>
                    </w:rPr>
                    <w:t>污染治理设施工艺</w:t>
                  </w:r>
                </w:p>
              </w:tc>
              <w:tc>
                <w:tcPr>
                  <w:tcW w:w="518" w:type="pct"/>
                  <w:vMerge w:val="continue"/>
                  <w:noWrap w:val="0"/>
                  <w:vAlign w:val="center"/>
                </w:tcPr>
                <w:p w14:paraId="0B41FCB5">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406" w:type="pct"/>
                  <w:vMerge w:val="continue"/>
                  <w:noWrap w:val="0"/>
                  <w:vAlign w:val="center"/>
                </w:tcPr>
                <w:p w14:paraId="77CFE44D">
                  <w:pPr>
                    <w:keepNext w:val="0"/>
                    <w:keepLines w:val="0"/>
                    <w:suppressLineNumbers w:val="0"/>
                    <w:spacing w:before="0" w:beforeAutospacing="0" w:after="0" w:afterAutospacing="0"/>
                    <w:ind w:left="0" w:right="0"/>
                    <w:jc w:val="center"/>
                    <w:rPr>
                      <w:rFonts w:hint="default" w:ascii="Times New Roman" w:hAnsi="Times New Roman" w:cs="Times New Roman"/>
                    </w:rPr>
                  </w:pPr>
                </w:p>
              </w:tc>
              <w:tc>
                <w:tcPr>
                  <w:tcW w:w="405" w:type="pct"/>
                  <w:vMerge w:val="continue"/>
                  <w:noWrap w:val="0"/>
                  <w:vAlign w:val="center"/>
                </w:tcPr>
                <w:p w14:paraId="6D1E854B">
                  <w:pPr>
                    <w:keepNext w:val="0"/>
                    <w:keepLines w:val="0"/>
                    <w:suppressLineNumbers w:val="0"/>
                    <w:spacing w:before="0" w:beforeAutospacing="0" w:after="0" w:afterAutospacing="0"/>
                    <w:ind w:left="0" w:right="0"/>
                    <w:jc w:val="center"/>
                    <w:rPr>
                      <w:rFonts w:hint="default" w:ascii="Times New Roman" w:hAnsi="Times New Roman" w:cs="Times New Roman"/>
                    </w:rPr>
                  </w:pPr>
                </w:p>
              </w:tc>
            </w:tr>
            <w:tr w14:paraId="3838930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618" w:hRule="atLeast"/>
              </w:trPr>
              <w:tc>
                <w:tcPr>
                  <w:tcW w:w="258" w:type="pct"/>
                  <w:noWrap w:val="0"/>
                  <w:vAlign w:val="center"/>
                </w:tcPr>
                <w:p w14:paraId="6D3C60E0">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1</w:t>
                  </w:r>
                </w:p>
              </w:tc>
              <w:tc>
                <w:tcPr>
                  <w:tcW w:w="441" w:type="pct"/>
                  <w:noWrap w:val="0"/>
                  <w:vAlign w:val="center"/>
                </w:tcPr>
                <w:p w14:paraId="35775F8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val="en-US" w:eastAsia="zh-CN"/>
                    </w:rPr>
                    <w:t>生活污水</w:t>
                  </w:r>
                </w:p>
              </w:tc>
              <w:tc>
                <w:tcPr>
                  <w:tcW w:w="568" w:type="pct"/>
                  <w:noWrap w:val="0"/>
                  <w:vAlign w:val="center"/>
                </w:tcPr>
                <w:p w14:paraId="23B19D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olor w:val="000000" w:themeColor="text1"/>
                      <w:szCs w:val="20"/>
                      <w:highlight w:val="none"/>
                      <w14:textFill>
                        <w14:solidFill>
                          <w14:schemeClr w14:val="tx1"/>
                        </w14:solidFill>
                      </w14:textFill>
                    </w:rPr>
                    <w:t>COD</w:t>
                  </w:r>
                  <w:r>
                    <w:rPr>
                      <w:rFonts w:hint="eastAsia"/>
                      <w:color w:val="000000" w:themeColor="text1"/>
                      <w:szCs w:val="20"/>
                      <w:highlight w:val="none"/>
                      <w:lang w:eastAsia="zh-CN"/>
                      <w14:textFill>
                        <w14:solidFill>
                          <w14:schemeClr w14:val="tx1"/>
                        </w14:solidFill>
                      </w14:textFill>
                    </w:rPr>
                    <w:t>、</w:t>
                  </w:r>
                  <w:r>
                    <w:rPr>
                      <w:rFonts w:hint="eastAsia"/>
                      <w:color w:val="000000" w:themeColor="text1"/>
                      <w:szCs w:val="20"/>
                      <w:highlight w:val="none"/>
                      <w14:textFill>
                        <w14:solidFill>
                          <w14:schemeClr w14:val="tx1"/>
                        </w14:solidFill>
                      </w14:textFill>
                    </w:rPr>
                    <w:t>BOD</w:t>
                  </w:r>
                  <w:r>
                    <w:rPr>
                      <w:rFonts w:hint="eastAsia"/>
                      <w:color w:val="000000" w:themeColor="text1"/>
                      <w:szCs w:val="20"/>
                      <w:highlight w:val="none"/>
                      <w:vertAlign w:val="subscript"/>
                      <w14:textFill>
                        <w14:solidFill>
                          <w14:schemeClr w14:val="tx1"/>
                        </w14:solidFill>
                      </w14:textFill>
                    </w:rPr>
                    <w:t>5</w:t>
                  </w:r>
                  <w:r>
                    <w:rPr>
                      <w:rFonts w:hint="eastAsia"/>
                      <w:color w:val="000000" w:themeColor="text1"/>
                      <w:szCs w:val="20"/>
                      <w:highlight w:val="none"/>
                      <w:lang w:eastAsia="zh-CN"/>
                      <w14:textFill>
                        <w14:solidFill>
                          <w14:schemeClr w14:val="tx1"/>
                        </w14:solidFill>
                      </w14:textFill>
                    </w:rPr>
                    <w:t>、</w:t>
                  </w:r>
                  <w:r>
                    <w:rPr>
                      <w:rFonts w:hint="eastAsia"/>
                      <w:color w:val="000000" w:themeColor="text1"/>
                      <w:szCs w:val="20"/>
                      <w:highlight w:val="none"/>
                      <w14:textFill>
                        <w14:solidFill>
                          <w14:schemeClr w14:val="tx1"/>
                        </w14:solidFill>
                      </w14:textFill>
                    </w:rPr>
                    <w:t>SS</w:t>
                  </w:r>
                  <w:r>
                    <w:rPr>
                      <w:rFonts w:hint="eastAsia"/>
                      <w:color w:val="000000" w:themeColor="text1"/>
                      <w:szCs w:val="20"/>
                      <w:highlight w:val="none"/>
                      <w:lang w:eastAsia="zh-CN"/>
                      <w14:textFill>
                        <w14:solidFill>
                          <w14:schemeClr w14:val="tx1"/>
                        </w14:solidFill>
                      </w14:textFill>
                    </w:rPr>
                    <w:t>、</w:t>
                  </w:r>
                  <w:r>
                    <w:rPr>
                      <w:rFonts w:hint="eastAsia"/>
                      <w:color w:val="000000" w:themeColor="text1"/>
                      <w:szCs w:val="20"/>
                      <w:highlight w:val="none"/>
                      <w14:textFill>
                        <w14:solidFill>
                          <w14:schemeClr w14:val="tx1"/>
                        </w14:solidFill>
                      </w14:textFill>
                    </w:rPr>
                    <w:t>NH</w:t>
                  </w:r>
                  <w:r>
                    <w:rPr>
                      <w:rFonts w:hint="eastAsia"/>
                      <w:color w:val="000000" w:themeColor="text1"/>
                      <w:szCs w:val="20"/>
                      <w:highlight w:val="none"/>
                      <w:vertAlign w:val="subscript"/>
                      <w14:textFill>
                        <w14:solidFill>
                          <w14:schemeClr w14:val="tx1"/>
                        </w14:solidFill>
                      </w14:textFill>
                    </w:rPr>
                    <w:t>3</w:t>
                  </w:r>
                  <w:r>
                    <w:rPr>
                      <w:rFonts w:hint="eastAsia"/>
                      <w:color w:val="000000" w:themeColor="text1"/>
                      <w:szCs w:val="20"/>
                      <w:highlight w:val="none"/>
                      <w14:textFill>
                        <w14:solidFill>
                          <w14:schemeClr w14:val="tx1"/>
                        </w14:solidFill>
                      </w14:textFill>
                    </w:rPr>
                    <w:t>-N</w:t>
                  </w:r>
                  <w:r>
                    <w:rPr>
                      <w:rFonts w:hint="eastAsia"/>
                      <w:color w:val="000000" w:themeColor="text1"/>
                      <w:szCs w:val="20"/>
                      <w:highlight w:val="none"/>
                      <w:lang w:eastAsia="zh-CN"/>
                      <w14:textFill>
                        <w14:solidFill>
                          <w14:schemeClr w14:val="tx1"/>
                        </w14:solidFill>
                      </w14:textFill>
                    </w:rPr>
                    <w:t>、</w:t>
                  </w:r>
                  <w:r>
                    <w:rPr>
                      <w:rFonts w:hint="eastAsia"/>
                      <w:color w:val="000000" w:themeColor="text1"/>
                      <w:szCs w:val="20"/>
                      <w:highlight w:val="none"/>
                      <w:lang w:val="en-US" w:eastAsia="zh-CN"/>
                      <w14:textFill>
                        <w14:solidFill>
                          <w14:schemeClr w14:val="tx1"/>
                        </w14:solidFill>
                      </w14:textFill>
                    </w:rPr>
                    <w:t>TN、TP、动植物油</w:t>
                  </w:r>
                </w:p>
              </w:tc>
              <w:tc>
                <w:tcPr>
                  <w:tcW w:w="592" w:type="pct"/>
                  <w:noWrap w:val="0"/>
                  <w:vAlign w:val="center"/>
                </w:tcPr>
                <w:p w14:paraId="67E4CBA4">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eastAsia" w:ascii="Times New Roman" w:hAnsi="Times New Roman" w:cs="Times New Roman"/>
                      <w:color w:val="auto"/>
                      <w:lang w:val="en-US" w:eastAsia="zh-CN"/>
                    </w:rPr>
                    <w:t>西安市第六</w:t>
                  </w:r>
                  <w:r>
                    <w:rPr>
                      <w:rFonts w:hint="default" w:ascii="Times New Roman" w:hAnsi="Times New Roman" w:cs="Times New Roman"/>
                      <w:color w:val="auto"/>
                    </w:rPr>
                    <w:t>污水处理厂</w:t>
                  </w:r>
                </w:p>
              </w:tc>
              <w:tc>
                <w:tcPr>
                  <w:tcW w:w="352" w:type="pct"/>
                  <w:noWrap w:val="0"/>
                  <w:vAlign w:val="center"/>
                </w:tcPr>
                <w:p w14:paraId="3B93FD92">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间歇排放</w:t>
                  </w:r>
                </w:p>
              </w:tc>
              <w:tc>
                <w:tcPr>
                  <w:tcW w:w="404" w:type="pct"/>
                  <w:noWrap w:val="0"/>
                  <w:vAlign w:val="center"/>
                </w:tcPr>
                <w:p w14:paraId="2CDD6338">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TW001</w:t>
                  </w:r>
                </w:p>
              </w:tc>
              <w:tc>
                <w:tcPr>
                  <w:tcW w:w="404" w:type="pct"/>
                  <w:noWrap w:val="0"/>
                  <w:vAlign w:val="center"/>
                </w:tcPr>
                <w:p w14:paraId="0C6DC72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lang w:eastAsia="zh-CN"/>
                    </w:rPr>
                  </w:pPr>
                  <w:r>
                    <w:rPr>
                      <w:rFonts w:hint="default" w:ascii="Times New Roman" w:hAnsi="Times New Roman" w:cs="Times New Roman"/>
                      <w:color w:val="auto"/>
                    </w:rPr>
                    <w:t>厂区内</w:t>
                  </w:r>
                  <w:r>
                    <w:rPr>
                      <w:rFonts w:hint="eastAsia" w:ascii="Times New Roman" w:hAnsi="Times New Roman" w:cs="Times New Roman"/>
                      <w:color w:val="auto"/>
                      <w:lang w:val="en-US" w:eastAsia="zh-CN"/>
                    </w:rPr>
                    <w:t>化粪池</w:t>
                  </w:r>
                </w:p>
              </w:tc>
              <w:tc>
                <w:tcPr>
                  <w:tcW w:w="651" w:type="pct"/>
                  <w:noWrap w:val="0"/>
                  <w:vAlign w:val="center"/>
                </w:tcPr>
                <w:p w14:paraId="38DD8EE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lang w:eastAsia="zh-CN"/>
                    </w:rPr>
                  </w:pPr>
                  <w:r>
                    <w:rPr>
                      <w:rFonts w:hint="eastAsia" w:ascii="Times New Roman" w:hAnsi="Times New Roman" w:cs="Times New Roman"/>
                      <w:color w:val="auto"/>
                      <w:lang w:val="en-US" w:eastAsia="zh-CN"/>
                    </w:rPr>
                    <w:t>化粪池</w:t>
                  </w:r>
                </w:p>
              </w:tc>
              <w:tc>
                <w:tcPr>
                  <w:tcW w:w="518" w:type="pct"/>
                  <w:noWrap w:val="0"/>
                  <w:vAlign w:val="center"/>
                </w:tcPr>
                <w:p w14:paraId="1C25C569">
                  <w:pPr>
                    <w:keepNext w:val="0"/>
                    <w:keepLines w:val="0"/>
                    <w:suppressLineNumbers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DW001</w:t>
                  </w:r>
                </w:p>
              </w:tc>
              <w:tc>
                <w:tcPr>
                  <w:tcW w:w="406" w:type="pct"/>
                  <w:noWrap w:val="0"/>
                  <w:vAlign w:val="center"/>
                </w:tcPr>
                <w:p w14:paraId="6DFF87F8">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是</w:t>
                  </w:r>
                </w:p>
              </w:tc>
              <w:tc>
                <w:tcPr>
                  <w:tcW w:w="405" w:type="pct"/>
                  <w:noWrap w:val="0"/>
                  <w:vAlign w:val="center"/>
                </w:tcPr>
                <w:p w14:paraId="69BD6258">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一般排放口</w:t>
                  </w:r>
                </w:p>
              </w:tc>
            </w:tr>
          </w:tbl>
          <w:p w14:paraId="4D952A42">
            <w:pPr>
              <w:keepNext w:val="0"/>
              <w:keepLines w:val="0"/>
              <w:numPr>
                <w:ilvl w:val="0"/>
                <w:numId w:val="0"/>
              </w:numPr>
              <w:suppressLineNumbers w:val="0"/>
              <w:spacing w:before="0" w:beforeAutospacing="0" w:after="0" w:afterAutospacing="0" w:line="360" w:lineRule="auto"/>
              <w:ind w:left="420" w:leftChars="200" w:right="0"/>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w:t>
            </w:r>
            <w:r>
              <w:rPr>
                <w:rFonts w:hint="eastAsia" w:cs="Times New Roman"/>
                <w:bCs/>
                <w:color w:val="auto"/>
                <w:sz w:val="24"/>
                <w:lang w:val="en-US" w:eastAsia="zh-CN"/>
              </w:rPr>
              <w:t>4</w:t>
            </w:r>
            <w:r>
              <w:rPr>
                <w:rFonts w:hint="default" w:ascii="Times New Roman" w:hAnsi="Times New Roman" w:eastAsia="宋体" w:cs="Times New Roman"/>
                <w:bCs/>
                <w:color w:val="auto"/>
                <w:sz w:val="24"/>
                <w:lang w:val="en-US" w:eastAsia="zh-CN"/>
              </w:rPr>
              <w:t>）监测要求</w:t>
            </w:r>
          </w:p>
          <w:p w14:paraId="5A707A4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highlight w:val="none"/>
                <w:lang w:val="en-US" w:eastAsia="zh-CN"/>
              </w:rPr>
              <w:t>本项目</w:t>
            </w:r>
            <w:r>
              <w:rPr>
                <w:rFonts w:hint="eastAsia" w:cs="Times New Roman"/>
                <w:color w:val="auto"/>
                <w:sz w:val="24"/>
                <w:highlight w:val="none"/>
                <w:lang w:val="en-US" w:eastAsia="zh-CN"/>
              </w:rPr>
              <w:t>废水污染源与环境监测计划见下表所示</w:t>
            </w:r>
            <w:r>
              <w:rPr>
                <w:rFonts w:hint="default" w:ascii="Times New Roman" w:hAnsi="Times New Roman" w:eastAsia="宋体" w:cs="Times New Roman"/>
                <w:color w:val="auto"/>
                <w:sz w:val="24"/>
                <w:highlight w:val="none"/>
                <w:lang w:val="en-US" w:eastAsia="zh-CN"/>
              </w:rPr>
              <w:t>：</w:t>
            </w:r>
          </w:p>
          <w:p w14:paraId="605ED5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4"/>
                <w:szCs w:val="20"/>
                <w:highlight w:val="none"/>
                <w:lang w:val="en-US"/>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4-</w:t>
            </w:r>
            <w:r>
              <w:rPr>
                <w:rFonts w:hint="eastAsia" w:cs="Times New Roman"/>
                <w:b/>
                <w:color w:val="auto"/>
                <w:sz w:val="24"/>
                <w:highlight w:val="none"/>
                <w:lang w:val="en-US" w:eastAsia="zh-CN"/>
              </w:rPr>
              <w:t>8</w:t>
            </w:r>
            <w:r>
              <w:rPr>
                <w:rFonts w:hint="default" w:ascii="Times New Roman" w:hAnsi="Times New Roman" w:eastAsia="宋体" w:cs="Times New Roman"/>
                <w:b/>
                <w:color w:val="auto"/>
                <w:sz w:val="24"/>
                <w:highlight w:val="none"/>
              </w:rPr>
              <w:t xml:space="preserve">  </w:t>
            </w:r>
            <w:r>
              <w:rPr>
                <w:rFonts w:hint="eastAsia" w:cs="Times New Roman"/>
                <w:b/>
                <w:color w:val="auto"/>
                <w:sz w:val="24"/>
                <w:highlight w:val="none"/>
                <w:lang w:val="en-US" w:eastAsia="zh-CN"/>
              </w:rPr>
              <w:t>运营期废水监测一览表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1766"/>
              <w:gridCol w:w="1233"/>
              <w:gridCol w:w="4040"/>
            </w:tblGrid>
            <w:tr w14:paraId="33E6E3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5" w:type="pct"/>
                  <w:noWrap w:val="0"/>
                  <w:vAlign w:val="center"/>
                </w:tcPr>
                <w:p w14:paraId="7A80E6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pacing w:val="0"/>
                      <w:kern w:val="21"/>
                      <w:sz w:val="21"/>
                      <w:szCs w:val="21"/>
                      <w:highlight w:val="none"/>
                      <w:lang w:val="en-US" w:eastAsia="zh-CN"/>
                    </w:rPr>
                  </w:pPr>
                  <w:r>
                    <w:rPr>
                      <w:rFonts w:hint="default" w:ascii="Times New Roman" w:hAnsi="Times New Roman" w:eastAsia="宋体" w:cs="Times New Roman"/>
                      <w:bCs/>
                      <w:color w:val="auto"/>
                      <w:spacing w:val="0"/>
                      <w:kern w:val="21"/>
                      <w:sz w:val="21"/>
                      <w:szCs w:val="21"/>
                      <w:highlight w:val="none"/>
                      <w:lang w:val="en-US" w:eastAsia="zh-CN"/>
                    </w:rPr>
                    <w:t>监测点位</w:t>
                  </w:r>
                </w:p>
              </w:tc>
              <w:tc>
                <w:tcPr>
                  <w:tcW w:w="1047" w:type="pct"/>
                  <w:noWrap w:val="0"/>
                  <w:vAlign w:val="center"/>
                </w:tcPr>
                <w:p w14:paraId="5B18BD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Cs/>
                      <w:color w:val="auto"/>
                      <w:spacing w:val="0"/>
                      <w:kern w:val="21"/>
                      <w:sz w:val="21"/>
                      <w:szCs w:val="21"/>
                      <w:highlight w:val="none"/>
                      <w:lang w:val="en-US" w:eastAsia="zh-CN"/>
                    </w:rPr>
                    <w:t>监测因子</w:t>
                  </w:r>
                </w:p>
              </w:tc>
              <w:tc>
                <w:tcPr>
                  <w:tcW w:w="731" w:type="pct"/>
                  <w:noWrap w:val="0"/>
                  <w:vAlign w:val="center"/>
                </w:tcPr>
                <w:p w14:paraId="61C2DC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pacing w:val="0"/>
                      <w:kern w:val="21"/>
                      <w:sz w:val="21"/>
                      <w:szCs w:val="21"/>
                      <w:highlight w:val="none"/>
                    </w:rPr>
                    <w:t>监测</w:t>
                  </w:r>
                  <w:r>
                    <w:rPr>
                      <w:rFonts w:hint="default" w:ascii="Times New Roman" w:hAnsi="Times New Roman" w:eastAsia="宋体" w:cs="Times New Roman"/>
                      <w:bCs/>
                      <w:color w:val="auto"/>
                      <w:spacing w:val="0"/>
                      <w:kern w:val="21"/>
                      <w:sz w:val="21"/>
                      <w:szCs w:val="21"/>
                      <w:highlight w:val="none"/>
                      <w:lang w:val="en-US" w:eastAsia="zh-CN"/>
                    </w:rPr>
                    <w:t>频次</w:t>
                  </w:r>
                </w:p>
              </w:tc>
              <w:tc>
                <w:tcPr>
                  <w:tcW w:w="2395" w:type="pct"/>
                  <w:noWrap w:val="0"/>
                  <w:vAlign w:val="center"/>
                </w:tcPr>
                <w:p w14:paraId="39ED1F4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pacing w:val="0"/>
                      <w:kern w:val="21"/>
                      <w:sz w:val="21"/>
                      <w:szCs w:val="21"/>
                      <w:highlight w:val="none"/>
                      <w:lang w:val="en-US" w:eastAsia="zh-CN"/>
                    </w:rPr>
                  </w:pPr>
                  <w:r>
                    <w:rPr>
                      <w:rFonts w:hint="eastAsia" w:cs="Times New Roman"/>
                      <w:bCs/>
                      <w:color w:val="auto"/>
                      <w:spacing w:val="0"/>
                      <w:kern w:val="21"/>
                      <w:sz w:val="21"/>
                      <w:szCs w:val="21"/>
                      <w:highlight w:val="none"/>
                      <w:lang w:val="en-US" w:eastAsia="zh-CN"/>
                    </w:rPr>
                    <w:t>控制指标</w:t>
                  </w:r>
                </w:p>
              </w:tc>
            </w:tr>
            <w:tr w14:paraId="4AAB6E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25" w:type="pct"/>
                  <w:noWrap w:val="0"/>
                  <w:vAlign w:val="center"/>
                </w:tcPr>
                <w:p w14:paraId="157AD5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厂区总排口DW001</w:t>
                  </w:r>
                </w:p>
              </w:tc>
              <w:tc>
                <w:tcPr>
                  <w:tcW w:w="1047" w:type="pct"/>
                  <w:noWrap w:val="0"/>
                  <w:vAlign w:val="center"/>
                </w:tcPr>
                <w:p w14:paraId="54218D15">
                  <w:pPr>
                    <w:pStyle w:val="65"/>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olor w:val="000000" w:themeColor="text1"/>
                      <w:szCs w:val="20"/>
                      <w:highlight w:val="none"/>
                      <w14:textFill>
                        <w14:solidFill>
                          <w14:schemeClr w14:val="tx1"/>
                        </w14:solidFill>
                      </w14:textFill>
                    </w:rPr>
                    <w:t>COD</w:t>
                  </w:r>
                  <w:r>
                    <w:rPr>
                      <w:rFonts w:hint="eastAsia"/>
                      <w:color w:val="000000" w:themeColor="text1"/>
                      <w:szCs w:val="20"/>
                      <w:highlight w:val="none"/>
                      <w:lang w:eastAsia="zh-CN"/>
                      <w14:textFill>
                        <w14:solidFill>
                          <w14:schemeClr w14:val="tx1"/>
                        </w14:solidFill>
                      </w14:textFill>
                    </w:rPr>
                    <w:t>、</w:t>
                  </w:r>
                  <w:r>
                    <w:rPr>
                      <w:rFonts w:hint="eastAsia"/>
                      <w:color w:val="000000" w:themeColor="text1"/>
                      <w:szCs w:val="20"/>
                      <w:highlight w:val="none"/>
                      <w14:textFill>
                        <w14:solidFill>
                          <w14:schemeClr w14:val="tx1"/>
                        </w14:solidFill>
                      </w14:textFill>
                    </w:rPr>
                    <w:t>BOD</w:t>
                  </w:r>
                  <w:r>
                    <w:rPr>
                      <w:rFonts w:hint="eastAsia"/>
                      <w:color w:val="000000" w:themeColor="text1"/>
                      <w:szCs w:val="20"/>
                      <w:highlight w:val="none"/>
                      <w:vertAlign w:val="subscript"/>
                      <w14:textFill>
                        <w14:solidFill>
                          <w14:schemeClr w14:val="tx1"/>
                        </w14:solidFill>
                      </w14:textFill>
                    </w:rPr>
                    <w:t>5</w:t>
                  </w:r>
                  <w:r>
                    <w:rPr>
                      <w:rFonts w:hint="eastAsia"/>
                      <w:color w:val="000000" w:themeColor="text1"/>
                      <w:szCs w:val="20"/>
                      <w:highlight w:val="none"/>
                      <w:lang w:eastAsia="zh-CN"/>
                      <w14:textFill>
                        <w14:solidFill>
                          <w14:schemeClr w14:val="tx1"/>
                        </w14:solidFill>
                      </w14:textFill>
                    </w:rPr>
                    <w:t>、</w:t>
                  </w:r>
                  <w:r>
                    <w:rPr>
                      <w:rFonts w:hint="eastAsia"/>
                      <w:color w:val="000000" w:themeColor="text1"/>
                      <w:szCs w:val="20"/>
                      <w:highlight w:val="none"/>
                      <w14:textFill>
                        <w14:solidFill>
                          <w14:schemeClr w14:val="tx1"/>
                        </w14:solidFill>
                      </w14:textFill>
                    </w:rPr>
                    <w:t>SS</w:t>
                  </w:r>
                  <w:r>
                    <w:rPr>
                      <w:rFonts w:hint="eastAsia"/>
                      <w:color w:val="000000" w:themeColor="text1"/>
                      <w:szCs w:val="20"/>
                      <w:highlight w:val="none"/>
                      <w:lang w:eastAsia="zh-CN"/>
                      <w14:textFill>
                        <w14:solidFill>
                          <w14:schemeClr w14:val="tx1"/>
                        </w14:solidFill>
                      </w14:textFill>
                    </w:rPr>
                    <w:t>、</w:t>
                  </w:r>
                  <w:r>
                    <w:rPr>
                      <w:rFonts w:hint="eastAsia"/>
                      <w:color w:val="000000" w:themeColor="text1"/>
                      <w:szCs w:val="20"/>
                      <w:highlight w:val="none"/>
                      <w14:textFill>
                        <w14:solidFill>
                          <w14:schemeClr w14:val="tx1"/>
                        </w14:solidFill>
                      </w14:textFill>
                    </w:rPr>
                    <w:t>NH</w:t>
                  </w:r>
                  <w:r>
                    <w:rPr>
                      <w:rFonts w:hint="eastAsia"/>
                      <w:color w:val="000000" w:themeColor="text1"/>
                      <w:szCs w:val="20"/>
                      <w:highlight w:val="none"/>
                      <w:vertAlign w:val="subscript"/>
                      <w14:textFill>
                        <w14:solidFill>
                          <w14:schemeClr w14:val="tx1"/>
                        </w14:solidFill>
                      </w14:textFill>
                    </w:rPr>
                    <w:t>3</w:t>
                  </w:r>
                  <w:r>
                    <w:rPr>
                      <w:rFonts w:hint="eastAsia"/>
                      <w:color w:val="000000" w:themeColor="text1"/>
                      <w:szCs w:val="20"/>
                      <w:highlight w:val="none"/>
                      <w14:textFill>
                        <w14:solidFill>
                          <w14:schemeClr w14:val="tx1"/>
                        </w14:solidFill>
                      </w14:textFill>
                    </w:rPr>
                    <w:t>-N</w:t>
                  </w:r>
                  <w:r>
                    <w:rPr>
                      <w:rFonts w:hint="eastAsia"/>
                      <w:color w:val="000000" w:themeColor="text1"/>
                      <w:szCs w:val="20"/>
                      <w:highlight w:val="none"/>
                      <w:lang w:eastAsia="zh-CN"/>
                      <w14:textFill>
                        <w14:solidFill>
                          <w14:schemeClr w14:val="tx1"/>
                        </w14:solidFill>
                      </w14:textFill>
                    </w:rPr>
                    <w:t>、</w:t>
                  </w:r>
                  <w:r>
                    <w:rPr>
                      <w:rFonts w:hint="eastAsia"/>
                      <w:color w:val="000000" w:themeColor="text1"/>
                      <w:szCs w:val="20"/>
                      <w:highlight w:val="none"/>
                      <w:lang w:val="en-US" w:eastAsia="zh-CN"/>
                      <w14:textFill>
                        <w14:solidFill>
                          <w14:schemeClr w14:val="tx1"/>
                        </w14:solidFill>
                      </w14:textFill>
                    </w:rPr>
                    <w:t>TN、TP、动植物油</w:t>
                  </w:r>
                </w:p>
              </w:tc>
              <w:tc>
                <w:tcPr>
                  <w:tcW w:w="731" w:type="pct"/>
                  <w:noWrap w:val="0"/>
                  <w:vAlign w:val="center"/>
                </w:tcPr>
                <w:p w14:paraId="6897B2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1次/</w:t>
                  </w:r>
                  <w:r>
                    <w:rPr>
                      <w:rFonts w:hint="eastAsia" w:cs="Times New Roman"/>
                      <w:color w:val="auto"/>
                      <w:sz w:val="21"/>
                      <w:szCs w:val="21"/>
                      <w:highlight w:val="none"/>
                      <w:lang w:val="en-US" w:eastAsia="zh-CN"/>
                    </w:rPr>
                    <w:t>年</w:t>
                  </w:r>
                </w:p>
              </w:tc>
              <w:tc>
                <w:tcPr>
                  <w:tcW w:w="2395" w:type="pct"/>
                  <w:noWrap w:val="0"/>
                  <w:vAlign w:val="center"/>
                </w:tcPr>
                <w:p w14:paraId="7E0A74B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cs="Times New Roman"/>
                    </w:rPr>
                    <w:t>《污水综合排放标准》（GB8978-1996）三级标准、《污水排入城镇下水道水质标准》（GB/T 31962-2015）表1B级标准</w:t>
                  </w:r>
                </w:p>
              </w:tc>
            </w:tr>
          </w:tbl>
          <w:p w14:paraId="03AAAA97">
            <w:pPr>
              <w:keepNext w:val="0"/>
              <w:keepLines w:val="0"/>
              <w:suppressLineNumbers w:val="0"/>
              <w:tabs>
                <w:tab w:val="left" w:pos="2851"/>
              </w:tabs>
              <w:adjustRightInd w:val="0"/>
              <w:snapToGrid w:val="0"/>
              <w:spacing w:before="0" w:beforeAutospacing="0" w:after="0" w:afterAutospacing="0" w:line="360" w:lineRule="auto"/>
              <w:ind w:left="0" w:right="0"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3、噪声</w:t>
            </w:r>
          </w:p>
          <w:p w14:paraId="6F640FE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（1）噪声源强</w:t>
            </w:r>
          </w:p>
          <w:p w14:paraId="0BF7727F">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cs="Times New Roman"/>
                <w:bCs/>
                <w:color w:val="auto"/>
                <w:sz w:val="24"/>
              </w:rPr>
            </w:pPr>
            <w:r>
              <w:rPr>
                <w:rFonts w:hint="default" w:ascii="Times New Roman" w:hAnsi="Times New Roman" w:cs="Times New Roman"/>
                <w:color w:val="auto"/>
                <w:sz w:val="24"/>
              </w:rPr>
              <w:t>项目噪声主要是设备运转时产生的设备噪声，主要设备为</w:t>
            </w:r>
            <w:r>
              <w:rPr>
                <w:rFonts w:hint="eastAsia" w:cs="Times New Roman"/>
                <w:color w:val="auto"/>
                <w:sz w:val="24"/>
                <w:lang w:val="en-US" w:eastAsia="zh-CN"/>
              </w:rPr>
              <w:t>胶装机</w:t>
            </w:r>
            <w:r>
              <w:rPr>
                <w:rFonts w:hint="default" w:ascii="Times New Roman" w:hAnsi="Times New Roman" w:cs="Times New Roman"/>
                <w:color w:val="auto"/>
                <w:sz w:val="24"/>
              </w:rPr>
              <w:t>、</w:t>
            </w:r>
            <w:r>
              <w:rPr>
                <w:rFonts w:hint="eastAsia" w:cs="Times New Roman"/>
                <w:color w:val="auto"/>
                <w:sz w:val="24"/>
                <w:lang w:val="en-US" w:eastAsia="zh-CN"/>
              </w:rPr>
              <w:t>锁线</w:t>
            </w:r>
            <w:r>
              <w:rPr>
                <w:rFonts w:hint="default" w:ascii="Times New Roman" w:hAnsi="Times New Roman" w:cs="Times New Roman"/>
                <w:color w:val="auto"/>
                <w:sz w:val="24"/>
              </w:rPr>
              <w:t>机、</w:t>
            </w:r>
            <w:r>
              <w:rPr>
                <w:rFonts w:hint="eastAsia" w:cs="Times New Roman"/>
                <w:color w:val="auto"/>
                <w:sz w:val="24"/>
                <w:lang w:val="en-US" w:eastAsia="zh-CN"/>
              </w:rPr>
              <w:t>覆膜机</w:t>
            </w:r>
            <w:r>
              <w:rPr>
                <w:rFonts w:hint="default" w:ascii="Times New Roman" w:hAnsi="Times New Roman" w:cs="Times New Roman"/>
                <w:color w:val="auto"/>
                <w:sz w:val="24"/>
              </w:rPr>
              <w:t>等，坐标原点</w:t>
            </w:r>
            <w:r>
              <w:rPr>
                <w:rFonts w:hint="eastAsia" w:ascii="Times New Roman" w:hAnsi="Times New Roman" w:cs="Times New Roman"/>
                <w:color w:val="auto"/>
                <w:sz w:val="24"/>
              </w:rPr>
              <w:t>为东经108.83539884°，北纬34.30923287°</w:t>
            </w:r>
            <w:r>
              <w:rPr>
                <w:rFonts w:hint="default" w:ascii="Times New Roman" w:hAnsi="Times New Roman" w:cs="Times New Roman"/>
                <w:color w:val="auto"/>
                <w:sz w:val="24"/>
              </w:rPr>
              <w:t>，各生产设备噪声源强见下表。</w:t>
            </w:r>
          </w:p>
          <w:p w14:paraId="6DA7AA0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w:t>
            </w:r>
            <w:r>
              <w:rPr>
                <w:rFonts w:hint="eastAsia" w:cs="Times New Roman"/>
                <w:b/>
                <w:bCs/>
                <w:color w:val="auto"/>
                <w:sz w:val="24"/>
                <w:lang w:val="en-US" w:eastAsia="zh-CN"/>
              </w:rPr>
              <w:t>9</w:t>
            </w:r>
            <w:r>
              <w:rPr>
                <w:rFonts w:hint="default" w:ascii="Times New Roman" w:hAnsi="Times New Roman" w:cs="Times New Roman"/>
                <w:b/>
                <w:bCs/>
                <w:color w:val="auto"/>
                <w:sz w:val="24"/>
              </w:rPr>
              <w:t xml:space="preserve">  </w:t>
            </w:r>
            <w:r>
              <w:rPr>
                <w:rFonts w:hint="eastAsia" w:ascii="Times New Roman" w:hAnsi="Times New Roman" w:cs="Times New Roman"/>
                <w:b/>
                <w:bCs/>
                <w:color w:val="auto"/>
                <w:sz w:val="24"/>
              </w:rPr>
              <w:t>本项目</w:t>
            </w:r>
            <w:r>
              <w:rPr>
                <w:rFonts w:hint="default" w:ascii="Times New Roman" w:hAnsi="Times New Roman" w:cs="Times New Roman"/>
                <w:b/>
                <w:bCs/>
                <w:color w:val="auto"/>
                <w:sz w:val="24"/>
              </w:rPr>
              <w:t>噪声源强调查清单</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461"/>
              <w:gridCol w:w="990"/>
              <w:gridCol w:w="1127"/>
              <w:gridCol w:w="1027"/>
              <w:gridCol w:w="1098"/>
              <w:gridCol w:w="1942"/>
              <w:gridCol w:w="785"/>
            </w:tblGrid>
            <w:tr w14:paraId="70B017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1" w:hRule="atLeast"/>
                <w:jc w:val="center"/>
              </w:trPr>
              <w:tc>
                <w:tcPr>
                  <w:tcW w:w="866" w:type="pct"/>
                  <w:vMerge w:val="restart"/>
                  <w:noWrap w:val="0"/>
                  <w:vAlign w:val="center"/>
                </w:tcPr>
                <w:p w14:paraId="2ABF05BC">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声源名称</w:t>
                  </w:r>
                </w:p>
              </w:tc>
              <w:tc>
                <w:tcPr>
                  <w:tcW w:w="1864" w:type="pct"/>
                  <w:gridSpan w:val="3"/>
                  <w:noWrap w:val="0"/>
                  <w:vAlign w:val="center"/>
                </w:tcPr>
                <w:p w14:paraId="42688B1A">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空间相对位置/m</w:t>
                  </w:r>
                </w:p>
              </w:tc>
              <w:tc>
                <w:tcPr>
                  <w:tcW w:w="651" w:type="pct"/>
                  <w:vMerge w:val="restart"/>
                  <w:noWrap w:val="0"/>
                  <w:vAlign w:val="center"/>
                </w:tcPr>
                <w:p w14:paraId="197E9310">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b/>
                      <w:bCs/>
                      <w:color w:val="auto"/>
                      <w:szCs w:val="21"/>
                      <w:lang w:bidi="zh-CN"/>
                    </w:rPr>
                  </w:pPr>
                  <w:r>
                    <w:rPr>
                      <w:rFonts w:hint="default" w:ascii="Times New Roman" w:hAnsi="Times New Roman" w:cs="Times New Roman"/>
                      <w:b/>
                      <w:bCs/>
                      <w:color w:val="auto"/>
                      <w:szCs w:val="21"/>
                    </w:rPr>
                    <w:t>声源源强dB（A）</w:t>
                  </w:r>
                </w:p>
              </w:tc>
              <w:tc>
                <w:tcPr>
                  <w:tcW w:w="1151" w:type="pct"/>
                  <w:vMerge w:val="restart"/>
                  <w:noWrap w:val="0"/>
                  <w:vAlign w:val="center"/>
                </w:tcPr>
                <w:p w14:paraId="777331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b/>
                      <w:bCs/>
                      <w:color w:val="auto"/>
                      <w:szCs w:val="21"/>
                      <w:lang w:bidi="zh-CN"/>
                    </w:rPr>
                  </w:pPr>
                  <w:r>
                    <w:rPr>
                      <w:rFonts w:hint="default" w:ascii="Times New Roman" w:hAnsi="Times New Roman" w:cs="Times New Roman"/>
                      <w:b/>
                      <w:bCs/>
                      <w:color w:val="auto"/>
                      <w:szCs w:val="21"/>
                    </w:rPr>
                    <w:t>声源控制措施措施</w:t>
                  </w:r>
                </w:p>
              </w:tc>
              <w:tc>
                <w:tcPr>
                  <w:tcW w:w="465" w:type="pct"/>
                  <w:vMerge w:val="restart"/>
                  <w:noWrap w:val="0"/>
                  <w:vAlign w:val="center"/>
                </w:tcPr>
                <w:p w14:paraId="63FB02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b/>
                      <w:bCs/>
                      <w:color w:val="auto"/>
                      <w:szCs w:val="21"/>
                      <w:lang w:bidi="zh-CN"/>
                    </w:rPr>
                  </w:pPr>
                  <w:r>
                    <w:rPr>
                      <w:rFonts w:hint="default" w:ascii="Times New Roman" w:hAnsi="Times New Roman" w:eastAsia="Times New Roman" w:cs="Times New Roman"/>
                      <w:b/>
                      <w:bCs/>
                      <w:color w:val="auto"/>
                      <w:szCs w:val="21"/>
                      <w:lang w:bidi="zh-CN"/>
                    </w:rPr>
                    <w:t>运行</w:t>
                  </w:r>
                </w:p>
                <w:p w14:paraId="0A325BE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auto"/>
                      <w:szCs w:val="21"/>
                      <w:lang w:bidi="zh-CN"/>
                    </w:rPr>
                  </w:pPr>
                  <w:r>
                    <w:rPr>
                      <w:rFonts w:hint="default" w:ascii="Times New Roman" w:hAnsi="Times New Roman" w:eastAsia="Times New Roman" w:cs="Times New Roman"/>
                      <w:b/>
                      <w:bCs/>
                      <w:color w:val="auto"/>
                      <w:szCs w:val="21"/>
                      <w:lang w:bidi="zh-CN"/>
                    </w:rPr>
                    <w:t>时段</w:t>
                  </w:r>
                </w:p>
              </w:tc>
            </w:tr>
            <w:tr w14:paraId="1C5B43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866" w:type="pct"/>
                  <w:vMerge w:val="continue"/>
                  <w:noWrap w:val="0"/>
                  <w:vAlign w:val="center"/>
                </w:tcPr>
                <w:p w14:paraId="146298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color w:val="auto"/>
                      <w:szCs w:val="21"/>
                      <w:lang w:val="zh-CN" w:bidi="zh-CN"/>
                    </w:rPr>
                  </w:pPr>
                </w:p>
              </w:tc>
              <w:tc>
                <w:tcPr>
                  <w:tcW w:w="587" w:type="pct"/>
                  <w:noWrap w:val="0"/>
                  <w:vAlign w:val="center"/>
                </w:tcPr>
                <w:p w14:paraId="51FA2F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b/>
                      <w:bCs/>
                      <w:color w:val="auto"/>
                      <w:szCs w:val="21"/>
                      <w:lang w:bidi="zh-CN"/>
                    </w:rPr>
                  </w:pPr>
                  <w:r>
                    <w:rPr>
                      <w:rFonts w:hint="default" w:ascii="Times New Roman" w:hAnsi="Times New Roman" w:eastAsia="Times New Roman" w:cs="Times New Roman"/>
                      <w:b/>
                      <w:bCs/>
                      <w:color w:val="auto"/>
                      <w:szCs w:val="21"/>
                      <w:lang w:bidi="zh-CN"/>
                    </w:rPr>
                    <w:t>X</w:t>
                  </w:r>
                </w:p>
              </w:tc>
              <w:tc>
                <w:tcPr>
                  <w:tcW w:w="668" w:type="pct"/>
                  <w:noWrap w:val="0"/>
                  <w:vAlign w:val="center"/>
                </w:tcPr>
                <w:p w14:paraId="4130CB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b/>
                      <w:bCs/>
                      <w:color w:val="auto"/>
                      <w:szCs w:val="21"/>
                      <w:lang w:bidi="zh-CN"/>
                    </w:rPr>
                  </w:pPr>
                  <w:r>
                    <w:rPr>
                      <w:rFonts w:hint="default" w:ascii="Times New Roman" w:hAnsi="Times New Roman" w:eastAsia="Times New Roman" w:cs="Times New Roman"/>
                      <w:b/>
                      <w:bCs/>
                      <w:color w:val="auto"/>
                      <w:szCs w:val="21"/>
                      <w:lang w:bidi="zh-CN"/>
                    </w:rPr>
                    <w:t>Y</w:t>
                  </w:r>
                </w:p>
              </w:tc>
              <w:tc>
                <w:tcPr>
                  <w:tcW w:w="609" w:type="pct"/>
                  <w:noWrap w:val="0"/>
                  <w:vAlign w:val="center"/>
                </w:tcPr>
                <w:p w14:paraId="12282A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b/>
                      <w:bCs/>
                      <w:color w:val="auto"/>
                      <w:szCs w:val="21"/>
                      <w:lang w:bidi="zh-CN"/>
                    </w:rPr>
                  </w:pPr>
                  <w:r>
                    <w:rPr>
                      <w:rFonts w:hint="default" w:ascii="Times New Roman" w:hAnsi="Times New Roman" w:eastAsia="Times New Roman" w:cs="Times New Roman"/>
                      <w:b/>
                      <w:bCs/>
                      <w:color w:val="auto"/>
                      <w:szCs w:val="21"/>
                      <w:lang w:bidi="zh-CN"/>
                    </w:rPr>
                    <w:t>Z</w:t>
                  </w:r>
                </w:p>
              </w:tc>
              <w:tc>
                <w:tcPr>
                  <w:tcW w:w="651" w:type="pct"/>
                  <w:vMerge w:val="continue"/>
                  <w:noWrap w:val="0"/>
                  <w:vAlign w:val="center"/>
                </w:tcPr>
                <w:p w14:paraId="1658F61D">
                  <w:pPr>
                    <w:keepNext w:val="0"/>
                    <w:keepLines w:val="0"/>
                    <w:suppressLineNumbers w:val="0"/>
                    <w:spacing w:before="0" w:beforeAutospacing="0" w:after="0" w:afterAutospacing="0"/>
                    <w:ind w:left="0" w:right="0"/>
                    <w:jc w:val="center"/>
                    <w:rPr>
                      <w:rFonts w:hint="default" w:ascii="Times New Roman" w:hAnsi="Times New Roman" w:eastAsia="Times New Roman" w:cs="Times New Roman"/>
                      <w:b/>
                      <w:bCs/>
                      <w:color w:val="auto"/>
                      <w:szCs w:val="21"/>
                      <w:lang w:bidi="zh-CN"/>
                    </w:rPr>
                  </w:pPr>
                </w:p>
              </w:tc>
              <w:tc>
                <w:tcPr>
                  <w:tcW w:w="1151" w:type="pct"/>
                  <w:vMerge w:val="continue"/>
                  <w:noWrap w:val="0"/>
                  <w:vAlign w:val="center"/>
                </w:tcPr>
                <w:p w14:paraId="1A8C22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color w:val="auto"/>
                      <w:szCs w:val="21"/>
                      <w:lang w:bidi="zh-CN"/>
                    </w:rPr>
                  </w:pPr>
                </w:p>
              </w:tc>
              <w:tc>
                <w:tcPr>
                  <w:tcW w:w="465" w:type="pct"/>
                  <w:vMerge w:val="continue"/>
                  <w:noWrap w:val="0"/>
                  <w:vAlign w:val="center"/>
                </w:tcPr>
                <w:p w14:paraId="6CDFF8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Times New Roman" w:cs="Times New Roman"/>
                      <w:color w:val="auto"/>
                      <w:szCs w:val="21"/>
                      <w:lang w:bidi="zh-CN"/>
                    </w:rPr>
                  </w:pPr>
                </w:p>
              </w:tc>
            </w:tr>
            <w:tr w14:paraId="76A472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3" w:hRule="atLeast"/>
                <w:jc w:val="center"/>
              </w:trPr>
              <w:tc>
                <w:tcPr>
                  <w:tcW w:w="866" w:type="pct"/>
                  <w:noWrap w:val="0"/>
                  <w:vAlign w:val="center"/>
                </w:tcPr>
                <w:p w14:paraId="1341DF8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3#联动线</w:t>
                  </w:r>
                  <w:r>
                    <w:rPr>
                      <w:rFonts w:hint="default" w:ascii="Times New Roman" w:hAnsi="Times New Roman" w:eastAsia="宋体" w:cs="Times New Roman"/>
                      <w:sz w:val="21"/>
                      <w:szCs w:val="21"/>
                      <w:lang w:val="en-US" w:eastAsia="zh-CN"/>
                    </w:rPr>
                    <w:t xml:space="preserve"> </w:t>
                  </w:r>
                </w:p>
              </w:tc>
              <w:tc>
                <w:tcPr>
                  <w:tcW w:w="587" w:type="pct"/>
                  <w:noWrap w:val="0"/>
                  <w:vAlign w:val="center"/>
                </w:tcPr>
                <w:p w14:paraId="4B1035C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eastAsia="微软雅黑" w:cs="Times New Roman"/>
                      <w:i w:val="0"/>
                      <w:iCs w:val="0"/>
                      <w:caps w:val="0"/>
                      <w:color w:val="000000" w:themeColor="text1"/>
                      <w:spacing w:val="0"/>
                      <w:sz w:val="21"/>
                      <w:szCs w:val="21"/>
                      <w:shd w:val="clear"/>
                      <w14:textFill>
                        <w14:solidFill>
                          <w14:schemeClr w14:val="tx1"/>
                        </w14:solidFill>
                      </w14:textFill>
                    </w:rPr>
                    <w:t>48.22</w:t>
                  </w:r>
                </w:p>
              </w:tc>
              <w:tc>
                <w:tcPr>
                  <w:tcW w:w="668" w:type="pct"/>
                  <w:noWrap w:val="0"/>
                  <w:vAlign w:val="center"/>
                </w:tcPr>
                <w:p w14:paraId="27E79FC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93.9</w:t>
                  </w:r>
                </w:p>
              </w:tc>
              <w:tc>
                <w:tcPr>
                  <w:tcW w:w="609" w:type="pct"/>
                  <w:noWrap w:val="0"/>
                  <w:vAlign w:val="center"/>
                </w:tcPr>
                <w:p w14:paraId="3F7FF05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51" w:type="pct"/>
                  <w:noWrap w:val="0"/>
                  <w:vAlign w:val="center"/>
                </w:tcPr>
                <w:p w14:paraId="307E28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4B78A8C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基础减振、厂房隔声</w:t>
                  </w:r>
                </w:p>
              </w:tc>
              <w:tc>
                <w:tcPr>
                  <w:tcW w:w="465" w:type="pct"/>
                  <w:vMerge w:val="restart"/>
                  <w:noWrap w:val="0"/>
                  <w:vAlign w:val="center"/>
                </w:tcPr>
                <w:p w14:paraId="7943E4A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昼间、夜间</w:t>
                  </w:r>
                </w:p>
              </w:tc>
            </w:tr>
            <w:tr w14:paraId="1EEC2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866" w:type="pct"/>
                  <w:noWrap w:val="0"/>
                  <w:vAlign w:val="center"/>
                </w:tcPr>
                <w:p w14:paraId="5690590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sz w:val="21"/>
                      <w:szCs w:val="21"/>
                    </w:rPr>
                    <w:t>5#联动线</w:t>
                  </w:r>
                </w:p>
              </w:tc>
              <w:tc>
                <w:tcPr>
                  <w:tcW w:w="587" w:type="pct"/>
                  <w:noWrap w:val="0"/>
                  <w:vAlign w:val="center"/>
                </w:tcPr>
                <w:p w14:paraId="7066DA1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61.24</w:t>
                  </w:r>
                </w:p>
              </w:tc>
              <w:tc>
                <w:tcPr>
                  <w:tcW w:w="668" w:type="pct"/>
                  <w:noWrap w:val="0"/>
                  <w:vAlign w:val="center"/>
                </w:tcPr>
                <w:p w14:paraId="1FDBBD7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93</w:t>
                  </w:r>
                </w:p>
              </w:tc>
              <w:tc>
                <w:tcPr>
                  <w:tcW w:w="609" w:type="pct"/>
                  <w:noWrap w:val="0"/>
                  <w:vAlign w:val="center"/>
                </w:tcPr>
                <w:p w14:paraId="55E012C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51" w:type="pct"/>
                  <w:noWrap w:val="0"/>
                  <w:vAlign w:val="center"/>
                </w:tcPr>
                <w:p w14:paraId="2C1ECA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7ABE590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基础减振、厂房隔声</w:t>
                  </w:r>
                </w:p>
              </w:tc>
              <w:tc>
                <w:tcPr>
                  <w:tcW w:w="465" w:type="pct"/>
                  <w:vMerge w:val="continue"/>
                  <w:noWrap w:val="0"/>
                  <w:vAlign w:val="center"/>
                </w:tcPr>
                <w:p w14:paraId="235598A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9FC86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866" w:type="pct"/>
                  <w:noWrap w:val="0"/>
                  <w:vAlign w:val="center"/>
                </w:tcPr>
                <w:p w14:paraId="44BF467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sz w:val="21"/>
                      <w:szCs w:val="21"/>
                    </w:rPr>
                    <w:t>6#联动线</w:t>
                  </w:r>
                </w:p>
              </w:tc>
              <w:tc>
                <w:tcPr>
                  <w:tcW w:w="587" w:type="pct"/>
                  <w:noWrap w:val="0"/>
                  <w:vAlign w:val="center"/>
                </w:tcPr>
                <w:p w14:paraId="56DB5C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48.67</w:t>
                  </w:r>
                </w:p>
              </w:tc>
              <w:tc>
                <w:tcPr>
                  <w:tcW w:w="668" w:type="pct"/>
                  <w:noWrap w:val="0"/>
                  <w:vAlign w:val="center"/>
                </w:tcPr>
                <w:p w14:paraId="1AE1903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83.5</w:t>
                  </w:r>
                </w:p>
              </w:tc>
              <w:tc>
                <w:tcPr>
                  <w:tcW w:w="609" w:type="pct"/>
                  <w:noWrap w:val="0"/>
                  <w:vAlign w:val="center"/>
                </w:tcPr>
                <w:p w14:paraId="64AC822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51" w:type="pct"/>
                  <w:noWrap w:val="0"/>
                  <w:vAlign w:val="center"/>
                </w:tcPr>
                <w:p w14:paraId="139C86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21EE600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基础减振、厂房隔声</w:t>
                  </w:r>
                </w:p>
              </w:tc>
              <w:tc>
                <w:tcPr>
                  <w:tcW w:w="465" w:type="pct"/>
                  <w:vMerge w:val="continue"/>
                  <w:noWrap w:val="0"/>
                  <w:vAlign w:val="center"/>
                </w:tcPr>
                <w:p w14:paraId="3C0BA63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7001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5" w:hRule="atLeast"/>
                <w:jc w:val="center"/>
              </w:trPr>
              <w:tc>
                <w:tcPr>
                  <w:tcW w:w="866" w:type="pct"/>
                  <w:noWrap w:val="0"/>
                  <w:vAlign w:val="center"/>
                </w:tcPr>
                <w:p w14:paraId="4B619F0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sz w:val="21"/>
                      <w:szCs w:val="21"/>
                    </w:rPr>
                    <w:t>7#联动线</w:t>
                  </w:r>
                </w:p>
              </w:tc>
              <w:tc>
                <w:tcPr>
                  <w:tcW w:w="587" w:type="pct"/>
                  <w:noWrap w:val="0"/>
                  <w:vAlign w:val="center"/>
                </w:tcPr>
                <w:p w14:paraId="27C397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60.79</w:t>
                  </w:r>
                </w:p>
              </w:tc>
              <w:tc>
                <w:tcPr>
                  <w:tcW w:w="668" w:type="pct"/>
                  <w:noWrap w:val="0"/>
                  <w:vAlign w:val="center"/>
                </w:tcPr>
                <w:p w14:paraId="672928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83.12</w:t>
                  </w:r>
                </w:p>
              </w:tc>
              <w:tc>
                <w:tcPr>
                  <w:tcW w:w="609" w:type="pct"/>
                  <w:noWrap w:val="0"/>
                  <w:vAlign w:val="center"/>
                </w:tcPr>
                <w:p w14:paraId="69F36F5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51" w:type="pct"/>
                  <w:noWrap w:val="0"/>
                  <w:vAlign w:val="center"/>
                </w:tcPr>
                <w:p w14:paraId="0B00E2A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37DE33D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基础减振、厂房隔声</w:t>
                  </w:r>
                </w:p>
              </w:tc>
              <w:tc>
                <w:tcPr>
                  <w:tcW w:w="465" w:type="pct"/>
                  <w:vMerge w:val="continue"/>
                  <w:noWrap w:val="0"/>
                  <w:vAlign w:val="center"/>
                </w:tcPr>
                <w:p w14:paraId="79195B8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5C34F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4" w:hRule="atLeast"/>
                <w:jc w:val="center"/>
              </w:trPr>
              <w:tc>
                <w:tcPr>
                  <w:tcW w:w="866" w:type="pct"/>
                  <w:noWrap w:val="0"/>
                  <w:vAlign w:val="center"/>
                </w:tcPr>
                <w:p w14:paraId="7977F1C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sz w:val="21"/>
                      <w:szCs w:val="21"/>
                    </w:rPr>
                    <w:t>车线联动线</w:t>
                  </w:r>
                </w:p>
              </w:tc>
              <w:tc>
                <w:tcPr>
                  <w:tcW w:w="587" w:type="pct"/>
                  <w:noWrap w:val="0"/>
                  <w:vAlign w:val="center"/>
                </w:tcPr>
                <w:p w14:paraId="36CD66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48.22</w:t>
                  </w:r>
                </w:p>
              </w:tc>
              <w:tc>
                <w:tcPr>
                  <w:tcW w:w="668" w:type="pct"/>
                  <w:noWrap w:val="0"/>
                  <w:vAlign w:val="center"/>
                </w:tcPr>
                <w:p w14:paraId="2B70EC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65.61</w:t>
                  </w:r>
                </w:p>
              </w:tc>
              <w:tc>
                <w:tcPr>
                  <w:tcW w:w="609" w:type="pct"/>
                  <w:noWrap w:val="0"/>
                  <w:vAlign w:val="center"/>
                </w:tcPr>
                <w:p w14:paraId="535FCD1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51" w:type="pct"/>
                  <w:noWrap w:val="0"/>
                  <w:vAlign w:val="center"/>
                </w:tcPr>
                <w:p w14:paraId="48D269D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23B438A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基础减振、厂房隔声</w:t>
                  </w:r>
                </w:p>
              </w:tc>
              <w:tc>
                <w:tcPr>
                  <w:tcW w:w="465" w:type="pct"/>
                  <w:vMerge w:val="continue"/>
                  <w:noWrap w:val="0"/>
                  <w:vAlign w:val="center"/>
                </w:tcPr>
                <w:p w14:paraId="67E1473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AF1D4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638F9D7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sz w:val="21"/>
                      <w:szCs w:val="21"/>
                    </w:rPr>
                    <w:t>9#柔版机</w:t>
                  </w:r>
                </w:p>
              </w:tc>
              <w:tc>
                <w:tcPr>
                  <w:tcW w:w="587" w:type="pct"/>
                  <w:noWrap w:val="0"/>
                  <w:vAlign w:val="center"/>
                </w:tcPr>
                <w:p w14:paraId="789C2F2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60.34</w:t>
                  </w:r>
                </w:p>
              </w:tc>
              <w:tc>
                <w:tcPr>
                  <w:tcW w:w="668" w:type="pct"/>
                  <w:noWrap w:val="0"/>
                  <w:vAlign w:val="center"/>
                </w:tcPr>
                <w:p w14:paraId="62D8F0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64.27</w:t>
                  </w:r>
                </w:p>
              </w:tc>
              <w:tc>
                <w:tcPr>
                  <w:tcW w:w="609" w:type="pct"/>
                  <w:noWrap w:val="0"/>
                  <w:vAlign w:val="center"/>
                </w:tcPr>
                <w:p w14:paraId="283428A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51" w:type="pct"/>
                  <w:noWrap w:val="0"/>
                  <w:vAlign w:val="center"/>
                </w:tcPr>
                <w:p w14:paraId="3DAF3B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45A1321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基础减振、厂房隔声</w:t>
                  </w:r>
                </w:p>
              </w:tc>
              <w:tc>
                <w:tcPr>
                  <w:tcW w:w="465" w:type="pct"/>
                  <w:vMerge w:val="continue"/>
                  <w:noWrap w:val="0"/>
                  <w:vAlign w:val="center"/>
                </w:tcPr>
                <w:p w14:paraId="399641B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DBE2C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371CF92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sz w:val="21"/>
                      <w:szCs w:val="21"/>
                    </w:rPr>
                    <w:t>1#收缩机</w:t>
                  </w:r>
                </w:p>
              </w:tc>
              <w:tc>
                <w:tcPr>
                  <w:tcW w:w="587" w:type="pct"/>
                  <w:noWrap w:val="0"/>
                  <w:vAlign w:val="center"/>
                </w:tcPr>
                <w:p w14:paraId="1E5FABC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57.2</w:t>
                  </w:r>
                </w:p>
              </w:tc>
              <w:tc>
                <w:tcPr>
                  <w:tcW w:w="668" w:type="pct"/>
                  <w:noWrap w:val="0"/>
                  <w:vAlign w:val="center"/>
                </w:tcPr>
                <w:p w14:paraId="5DEE20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52.15</w:t>
                  </w:r>
                </w:p>
              </w:tc>
              <w:tc>
                <w:tcPr>
                  <w:tcW w:w="609" w:type="pct"/>
                  <w:noWrap w:val="0"/>
                  <w:vAlign w:val="center"/>
                </w:tcPr>
                <w:p w14:paraId="5BC6EBC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51" w:type="pct"/>
                  <w:noWrap w:val="0"/>
                  <w:vAlign w:val="center"/>
                </w:tcPr>
                <w:p w14:paraId="35E3DD6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85</w:t>
                  </w:r>
                </w:p>
              </w:tc>
              <w:tc>
                <w:tcPr>
                  <w:tcW w:w="1151" w:type="pct"/>
                  <w:noWrap w:val="0"/>
                  <w:vAlign w:val="center"/>
                </w:tcPr>
                <w:p w14:paraId="574E86D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基础减振、厂房隔声</w:t>
                  </w:r>
                </w:p>
              </w:tc>
              <w:tc>
                <w:tcPr>
                  <w:tcW w:w="465" w:type="pct"/>
                  <w:vMerge w:val="continue"/>
                  <w:noWrap w:val="0"/>
                  <w:vAlign w:val="center"/>
                </w:tcPr>
                <w:p w14:paraId="2BFDD36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C751C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58170D9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sz w:val="21"/>
                      <w:szCs w:val="21"/>
                    </w:rPr>
                    <w:t>2#收缩机</w:t>
                  </w:r>
                </w:p>
              </w:tc>
              <w:tc>
                <w:tcPr>
                  <w:tcW w:w="587" w:type="pct"/>
                  <w:noWrap w:val="0"/>
                  <w:vAlign w:val="center"/>
                </w:tcPr>
                <w:p w14:paraId="736219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52.26</w:t>
                  </w:r>
                </w:p>
              </w:tc>
              <w:tc>
                <w:tcPr>
                  <w:tcW w:w="668" w:type="pct"/>
                  <w:noWrap w:val="0"/>
                  <w:vAlign w:val="center"/>
                </w:tcPr>
                <w:p w14:paraId="5E686D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47.21</w:t>
                  </w:r>
                </w:p>
              </w:tc>
              <w:tc>
                <w:tcPr>
                  <w:tcW w:w="609" w:type="pct"/>
                  <w:noWrap w:val="0"/>
                  <w:vAlign w:val="center"/>
                </w:tcPr>
                <w:p w14:paraId="3D42AF9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51" w:type="pct"/>
                  <w:noWrap w:val="0"/>
                  <w:vAlign w:val="center"/>
                </w:tcPr>
                <w:p w14:paraId="2040BA5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85</w:t>
                  </w:r>
                </w:p>
              </w:tc>
              <w:tc>
                <w:tcPr>
                  <w:tcW w:w="1151" w:type="pct"/>
                  <w:noWrap w:val="0"/>
                  <w:vAlign w:val="center"/>
                </w:tcPr>
                <w:p w14:paraId="732ABAC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基础减振、厂房隔声</w:t>
                  </w:r>
                </w:p>
              </w:tc>
              <w:tc>
                <w:tcPr>
                  <w:tcW w:w="465" w:type="pct"/>
                  <w:vMerge w:val="continue"/>
                  <w:noWrap w:val="0"/>
                  <w:vAlign w:val="center"/>
                </w:tcPr>
                <w:p w14:paraId="1F241FA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7C736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6A7CC18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sz w:val="21"/>
                      <w:szCs w:val="21"/>
                    </w:rPr>
                    <w:t>1#直线刀</w:t>
                  </w:r>
                </w:p>
              </w:tc>
              <w:tc>
                <w:tcPr>
                  <w:tcW w:w="587" w:type="pct"/>
                  <w:noWrap w:val="0"/>
                  <w:vAlign w:val="center"/>
                </w:tcPr>
                <w:p w14:paraId="37E926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103.44</w:t>
                  </w:r>
                </w:p>
              </w:tc>
              <w:tc>
                <w:tcPr>
                  <w:tcW w:w="668" w:type="pct"/>
                  <w:noWrap w:val="0"/>
                  <w:vAlign w:val="center"/>
                </w:tcPr>
                <w:p w14:paraId="59DE70A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80.88</w:t>
                  </w:r>
                </w:p>
              </w:tc>
              <w:tc>
                <w:tcPr>
                  <w:tcW w:w="609" w:type="pct"/>
                  <w:noWrap w:val="0"/>
                  <w:vAlign w:val="center"/>
                </w:tcPr>
                <w:p w14:paraId="61506A3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51" w:type="pct"/>
                  <w:noWrap w:val="0"/>
                  <w:vAlign w:val="center"/>
                </w:tcPr>
                <w:p w14:paraId="375535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noWrap w:val="0"/>
                  <w:vAlign w:val="center"/>
                </w:tcPr>
                <w:p w14:paraId="11AF768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1AFF614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4DCEBD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7961372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pacing w:val="6"/>
                      <w:kern w:val="2"/>
                      <w:sz w:val="21"/>
                      <w:szCs w:val="21"/>
                      <w:lang w:val="en-US" w:eastAsia="zh-CN" w:bidi="ar-SA"/>
                    </w:rPr>
                  </w:pPr>
                  <w:r>
                    <w:rPr>
                      <w:rFonts w:hint="default" w:ascii="Times New Roman" w:hAnsi="Times New Roman" w:eastAsia="宋体" w:cs="Times New Roman"/>
                      <w:sz w:val="21"/>
                      <w:szCs w:val="21"/>
                    </w:rPr>
                    <w:t>2#直线刀</w:t>
                  </w:r>
                </w:p>
              </w:tc>
              <w:tc>
                <w:tcPr>
                  <w:tcW w:w="587" w:type="pct"/>
                  <w:noWrap w:val="0"/>
                  <w:vAlign w:val="center"/>
                </w:tcPr>
                <w:p w14:paraId="0D5CF7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111.07</w:t>
                  </w:r>
                </w:p>
              </w:tc>
              <w:tc>
                <w:tcPr>
                  <w:tcW w:w="668" w:type="pct"/>
                  <w:noWrap w:val="0"/>
                  <w:vAlign w:val="center"/>
                </w:tcPr>
                <w:p w14:paraId="564D8A3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79.53</w:t>
                  </w:r>
                </w:p>
              </w:tc>
              <w:tc>
                <w:tcPr>
                  <w:tcW w:w="609" w:type="pct"/>
                  <w:noWrap w:val="0"/>
                  <w:vAlign w:val="center"/>
                </w:tcPr>
                <w:p w14:paraId="57D34E3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54C0B73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noWrap w:val="0"/>
                  <w:vAlign w:val="center"/>
                </w:tcPr>
                <w:p w14:paraId="3D11C8F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71A1984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1C7FD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6E45DB5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3#直线刀</w:t>
                  </w:r>
                </w:p>
              </w:tc>
              <w:tc>
                <w:tcPr>
                  <w:tcW w:w="587" w:type="pct"/>
                  <w:noWrap w:val="0"/>
                  <w:vAlign w:val="center"/>
                </w:tcPr>
                <w:p w14:paraId="05DA23C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102.99</w:t>
                  </w:r>
                </w:p>
              </w:tc>
              <w:tc>
                <w:tcPr>
                  <w:tcW w:w="668" w:type="pct"/>
                  <w:noWrap w:val="0"/>
                  <w:vAlign w:val="center"/>
                </w:tcPr>
                <w:p w14:paraId="19C2DE1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70.1</w:t>
                  </w:r>
                </w:p>
              </w:tc>
              <w:tc>
                <w:tcPr>
                  <w:tcW w:w="609" w:type="pct"/>
                  <w:noWrap w:val="0"/>
                  <w:vAlign w:val="center"/>
                </w:tcPr>
                <w:p w14:paraId="4CB63DC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4C7017D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noWrap w:val="0"/>
                  <w:vAlign w:val="center"/>
                </w:tcPr>
                <w:p w14:paraId="23A0D93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187DC5B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11F5B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7233D77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sz w:val="21"/>
                      <w:szCs w:val="21"/>
                    </w:rPr>
                    <w:t>8#裁切机</w:t>
                  </w:r>
                </w:p>
              </w:tc>
              <w:tc>
                <w:tcPr>
                  <w:tcW w:w="587" w:type="pct"/>
                  <w:noWrap w:val="0"/>
                  <w:vAlign w:val="center"/>
                </w:tcPr>
                <w:p w14:paraId="6DBEC07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107.93</w:t>
                  </w:r>
                </w:p>
              </w:tc>
              <w:tc>
                <w:tcPr>
                  <w:tcW w:w="668" w:type="pct"/>
                  <w:noWrap w:val="0"/>
                  <w:vAlign w:val="center"/>
                </w:tcPr>
                <w:p w14:paraId="5E31CB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89.41</w:t>
                  </w:r>
                </w:p>
              </w:tc>
              <w:tc>
                <w:tcPr>
                  <w:tcW w:w="609" w:type="pct"/>
                  <w:noWrap w:val="0"/>
                  <w:vAlign w:val="center"/>
                </w:tcPr>
                <w:p w14:paraId="5839EC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7953739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43A2209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495EA61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17CE9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4E66E51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9#裁切机</w:t>
                  </w:r>
                </w:p>
              </w:tc>
              <w:tc>
                <w:tcPr>
                  <w:tcW w:w="587" w:type="pct"/>
                  <w:noWrap w:val="0"/>
                  <w:vAlign w:val="center"/>
                </w:tcPr>
                <w:p w14:paraId="2833ED8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115.56</w:t>
                  </w:r>
                </w:p>
              </w:tc>
              <w:tc>
                <w:tcPr>
                  <w:tcW w:w="668" w:type="pct"/>
                  <w:noWrap w:val="0"/>
                  <w:vAlign w:val="center"/>
                </w:tcPr>
                <w:p w14:paraId="5F50727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88.51</w:t>
                  </w:r>
                </w:p>
              </w:tc>
              <w:tc>
                <w:tcPr>
                  <w:tcW w:w="609" w:type="pct"/>
                  <w:noWrap w:val="0"/>
                  <w:vAlign w:val="center"/>
                </w:tcPr>
                <w:p w14:paraId="154793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19AFBF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3135175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2126F8C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4E4B23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1C23A3F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2#内芯机</w:t>
                  </w:r>
                </w:p>
              </w:tc>
              <w:tc>
                <w:tcPr>
                  <w:tcW w:w="587" w:type="pct"/>
                  <w:noWrap w:val="0"/>
                  <w:vAlign w:val="center"/>
                </w:tcPr>
                <w:p w14:paraId="363713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116.01</w:t>
                  </w:r>
                </w:p>
              </w:tc>
              <w:tc>
                <w:tcPr>
                  <w:tcW w:w="668" w:type="pct"/>
                  <w:noWrap w:val="0"/>
                  <w:vAlign w:val="center"/>
                </w:tcPr>
                <w:p w14:paraId="269D36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57.98</w:t>
                  </w:r>
                </w:p>
              </w:tc>
              <w:tc>
                <w:tcPr>
                  <w:tcW w:w="609" w:type="pct"/>
                  <w:noWrap w:val="0"/>
                  <w:vAlign w:val="center"/>
                </w:tcPr>
                <w:p w14:paraId="410BEF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318D4E5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6160615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79C1639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09B8A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6B4C129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1#NB</w:t>
                  </w:r>
                  <w:r>
                    <w:rPr>
                      <w:rFonts w:hint="default" w:ascii="Times New Roman" w:hAnsi="Times New Roman" w:eastAsia="宋体" w:cs="Times New Roman"/>
                      <w:sz w:val="21"/>
                      <w:szCs w:val="21"/>
                      <w:lang w:val="en-US" w:eastAsia="zh-CN"/>
                    </w:rPr>
                    <w:t>联动线</w:t>
                  </w:r>
                </w:p>
              </w:tc>
              <w:tc>
                <w:tcPr>
                  <w:tcW w:w="587" w:type="pct"/>
                  <w:noWrap w:val="0"/>
                  <w:vAlign w:val="center"/>
                </w:tcPr>
                <w:p w14:paraId="38C941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83.69</w:t>
                  </w:r>
                </w:p>
              </w:tc>
              <w:tc>
                <w:tcPr>
                  <w:tcW w:w="668" w:type="pct"/>
                  <w:noWrap w:val="0"/>
                  <w:vAlign w:val="center"/>
                </w:tcPr>
                <w:p w14:paraId="16EDBDF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89.86</w:t>
                  </w:r>
                </w:p>
              </w:tc>
              <w:tc>
                <w:tcPr>
                  <w:tcW w:w="609" w:type="pct"/>
                  <w:noWrap w:val="0"/>
                  <w:vAlign w:val="center"/>
                </w:tcPr>
                <w:p w14:paraId="0AADAE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10A4FCF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5D57CE7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4FD7BB1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0CBD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1FCD4F3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3#NB</w:t>
                  </w:r>
                  <w:r>
                    <w:rPr>
                      <w:rFonts w:hint="default" w:ascii="Times New Roman" w:hAnsi="Times New Roman" w:eastAsia="宋体" w:cs="Times New Roman"/>
                      <w:sz w:val="21"/>
                      <w:szCs w:val="21"/>
                      <w:lang w:val="en-US" w:eastAsia="zh-CN"/>
                    </w:rPr>
                    <w:t>联动线</w:t>
                  </w:r>
                </w:p>
              </w:tc>
              <w:tc>
                <w:tcPr>
                  <w:tcW w:w="587" w:type="pct"/>
                  <w:noWrap w:val="0"/>
                  <w:vAlign w:val="center"/>
                </w:tcPr>
                <w:p w14:paraId="10EAE1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83.69</w:t>
                  </w:r>
                </w:p>
              </w:tc>
              <w:tc>
                <w:tcPr>
                  <w:tcW w:w="668" w:type="pct"/>
                  <w:noWrap w:val="0"/>
                  <w:vAlign w:val="center"/>
                </w:tcPr>
                <w:p w14:paraId="64C246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79.98</w:t>
                  </w:r>
                </w:p>
              </w:tc>
              <w:tc>
                <w:tcPr>
                  <w:tcW w:w="609" w:type="pct"/>
                  <w:noWrap w:val="0"/>
                  <w:vAlign w:val="center"/>
                </w:tcPr>
                <w:p w14:paraId="5296284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102B30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2E1A434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0ABF7B1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716FD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12D4770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4#NB</w:t>
                  </w:r>
                  <w:r>
                    <w:rPr>
                      <w:rFonts w:hint="default" w:ascii="Times New Roman" w:hAnsi="Times New Roman" w:eastAsia="宋体" w:cs="Times New Roman"/>
                      <w:sz w:val="21"/>
                      <w:szCs w:val="21"/>
                      <w:lang w:val="en-US" w:eastAsia="zh-CN"/>
                    </w:rPr>
                    <w:t>联动线</w:t>
                  </w:r>
                </w:p>
              </w:tc>
              <w:tc>
                <w:tcPr>
                  <w:tcW w:w="587" w:type="pct"/>
                  <w:noWrap w:val="0"/>
                  <w:vAlign w:val="center"/>
                </w:tcPr>
                <w:p w14:paraId="6EE271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85.49</w:t>
                  </w:r>
                </w:p>
              </w:tc>
              <w:tc>
                <w:tcPr>
                  <w:tcW w:w="668" w:type="pct"/>
                  <w:noWrap w:val="0"/>
                  <w:vAlign w:val="center"/>
                </w:tcPr>
                <w:p w14:paraId="7311D9D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70.55</w:t>
                  </w:r>
                </w:p>
              </w:tc>
              <w:tc>
                <w:tcPr>
                  <w:tcW w:w="609" w:type="pct"/>
                  <w:noWrap w:val="0"/>
                  <w:vAlign w:val="center"/>
                </w:tcPr>
                <w:p w14:paraId="4CFCD9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03B5A4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5923D71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1F3E475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A6E23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0CA17EE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5#NB</w:t>
                  </w:r>
                  <w:r>
                    <w:rPr>
                      <w:rFonts w:hint="default" w:ascii="Times New Roman" w:hAnsi="Times New Roman" w:eastAsia="宋体" w:cs="Times New Roman"/>
                      <w:sz w:val="21"/>
                      <w:szCs w:val="21"/>
                      <w:lang w:val="en-US" w:eastAsia="zh-CN"/>
                    </w:rPr>
                    <w:t>联动线</w:t>
                  </w:r>
                </w:p>
              </w:tc>
              <w:tc>
                <w:tcPr>
                  <w:tcW w:w="587" w:type="pct"/>
                  <w:noWrap w:val="0"/>
                  <w:vAlign w:val="center"/>
                </w:tcPr>
                <w:p w14:paraId="3D9393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85.49</w:t>
                  </w:r>
                </w:p>
              </w:tc>
              <w:tc>
                <w:tcPr>
                  <w:tcW w:w="668" w:type="pct"/>
                  <w:noWrap w:val="0"/>
                  <w:vAlign w:val="center"/>
                </w:tcPr>
                <w:p w14:paraId="2BE534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57.98</w:t>
                  </w:r>
                </w:p>
              </w:tc>
              <w:tc>
                <w:tcPr>
                  <w:tcW w:w="609" w:type="pct"/>
                  <w:noWrap w:val="0"/>
                  <w:vAlign w:val="center"/>
                </w:tcPr>
                <w:p w14:paraId="176AED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070631A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4389598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168F6C9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C67A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38E565E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1#内芯机</w:t>
                  </w:r>
                </w:p>
              </w:tc>
              <w:tc>
                <w:tcPr>
                  <w:tcW w:w="587" w:type="pct"/>
                  <w:noWrap w:val="0"/>
                  <w:vAlign w:val="center"/>
                </w:tcPr>
                <w:p w14:paraId="2872C37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107.93</w:t>
                  </w:r>
                </w:p>
              </w:tc>
              <w:tc>
                <w:tcPr>
                  <w:tcW w:w="668" w:type="pct"/>
                  <w:noWrap w:val="0"/>
                  <w:vAlign w:val="center"/>
                </w:tcPr>
                <w:p w14:paraId="5301F93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47.21</w:t>
                  </w:r>
                </w:p>
              </w:tc>
              <w:tc>
                <w:tcPr>
                  <w:tcW w:w="609" w:type="pct"/>
                  <w:noWrap w:val="0"/>
                  <w:vAlign w:val="center"/>
                </w:tcPr>
                <w:p w14:paraId="0E739AE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2422265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noWrap w:val="0"/>
                  <w:vAlign w:val="center"/>
                </w:tcPr>
                <w:p w14:paraId="2CA8D50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6482D95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3ED78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53B8F94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1#包本机</w:t>
                  </w:r>
                </w:p>
              </w:tc>
              <w:tc>
                <w:tcPr>
                  <w:tcW w:w="587" w:type="pct"/>
                  <w:noWrap w:val="0"/>
                  <w:vAlign w:val="center"/>
                </w:tcPr>
                <w:p w14:paraId="3C95A3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72.47</w:t>
                  </w:r>
                </w:p>
              </w:tc>
              <w:tc>
                <w:tcPr>
                  <w:tcW w:w="668" w:type="pct"/>
                  <w:noWrap w:val="0"/>
                  <w:vAlign w:val="center"/>
                </w:tcPr>
                <w:p w14:paraId="1DD7A8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66.06</w:t>
                  </w:r>
                </w:p>
              </w:tc>
              <w:tc>
                <w:tcPr>
                  <w:tcW w:w="609" w:type="pct"/>
                  <w:noWrap w:val="0"/>
                  <w:vAlign w:val="center"/>
                </w:tcPr>
                <w:p w14:paraId="33DAF8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221144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noWrap w:val="0"/>
                  <w:vAlign w:val="center"/>
                </w:tcPr>
                <w:p w14:paraId="61BCA6E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4391E87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7F8FFE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4EA4D6A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2#包本机</w:t>
                  </w:r>
                </w:p>
              </w:tc>
              <w:tc>
                <w:tcPr>
                  <w:tcW w:w="587" w:type="pct"/>
                  <w:noWrap w:val="0"/>
                  <w:vAlign w:val="center"/>
                </w:tcPr>
                <w:p w14:paraId="25EA9F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26.67</w:t>
                  </w:r>
                </w:p>
              </w:tc>
              <w:tc>
                <w:tcPr>
                  <w:tcW w:w="668" w:type="pct"/>
                  <w:noWrap w:val="0"/>
                  <w:vAlign w:val="center"/>
                </w:tcPr>
                <w:p w14:paraId="6BD002A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52.59</w:t>
                  </w:r>
                </w:p>
              </w:tc>
              <w:tc>
                <w:tcPr>
                  <w:tcW w:w="609" w:type="pct"/>
                  <w:noWrap w:val="0"/>
                  <w:vAlign w:val="center"/>
                </w:tcPr>
                <w:p w14:paraId="5D38235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39829CA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noWrap w:val="0"/>
                  <w:vAlign w:val="center"/>
                </w:tcPr>
                <w:p w14:paraId="7DAB103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35F00C2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529420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7BE3CB5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3#包本机</w:t>
                  </w:r>
                </w:p>
              </w:tc>
              <w:tc>
                <w:tcPr>
                  <w:tcW w:w="587" w:type="pct"/>
                  <w:noWrap w:val="0"/>
                  <w:vAlign w:val="center"/>
                </w:tcPr>
                <w:p w14:paraId="4C03820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26.23</w:t>
                  </w:r>
                </w:p>
              </w:tc>
              <w:tc>
                <w:tcPr>
                  <w:tcW w:w="668" w:type="pct"/>
                  <w:noWrap w:val="0"/>
                  <w:vAlign w:val="center"/>
                </w:tcPr>
                <w:p w14:paraId="6106EA2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63.37</w:t>
                  </w:r>
                </w:p>
              </w:tc>
              <w:tc>
                <w:tcPr>
                  <w:tcW w:w="609" w:type="pct"/>
                  <w:noWrap w:val="0"/>
                  <w:vAlign w:val="center"/>
                </w:tcPr>
                <w:p w14:paraId="204D396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63D01B3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noWrap w:val="0"/>
                  <w:vAlign w:val="center"/>
                </w:tcPr>
                <w:p w14:paraId="13476F6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29941AA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5F9BDE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71239C6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复印纸机</w:t>
                  </w:r>
                </w:p>
              </w:tc>
              <w:tc>
                <w:tcPr>
                  <w:tcW w:w="587" w:type="pct"/>
                  <w:noWrap w:val="0"/>
                  <w:vAlign w:val="center"/>
                </w:tcPr>
                <w:p w14:paraId="7DD0B7C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27.12</w:t>
                  </w:r>
                </w:p>
              </w:tc>
              <w:tc>
                <w:tcPr>
                  <w:tcW w:w="668" w:type="pct"/>
                  <w:noWrap w:val="0"/>
                  <w:vAlign w:val="center"/>
                </w:tcPr>
                <w:p w14:paraId="4DB6713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71.1</w:t>
                  </w:r>
                </w:p>
              </w:tc>
              <w:tc>
                <w:tcPr>
                  <w:tcW w:w="609" w:type="pct"/>
                  <w:noWrap w:val="0"/>
                  <w:vAlign w:val="center"/>
                </w:tcPr>
                <w:p w14:paraId="56C074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3A602C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noWrap w:val="0"/>
                  <w:vAlign w:val="center"/>
                </w:tcPr>
                <w:p w14:paraId="5FA7FA3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3D42A68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93EDB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49F5C57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锁线机</w:t>
                  </w:r>
                </w:p>
              </w:tc>
              <w:tc>
                <w:tcPr>
                  <w:tcW w:w="587" w:type="pct"/>
                  <w:noWrap w:val="0"/>
                  <w:vAlign w:val="center"/>
                </w:tcPr>
                <w:p w14:paraId="5F64DB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27.12</w:t>
                  </w:r>
                </w:p>
              </w:tc>
              <w:tc>
                <w:tcPr>
                  <w:tcW w:w="668" w:type="pct"/>
                  <w:noWrap w:val="0"/>
                  <w:vAlign w:val="center"/>
                </w:tcPr>
                <w:p w14:paraId="319075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80.88</w:t>
                  </w:r>
                </w:p>
              </w:tc>
              <w:tc>
                <w:tcPr>
                  <w:tcW w:w="609" w:type="pct"/>
                  <w:noWrap w:val="0"/>
                  <w:vAlign w:val="center"/>
                </w:tcPr>
                <w:p w14:paraId="06CC4EF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57207D3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noWrap w:val="0"/>
                  <w:vAlign w:val="center"/>
                </w:tcPr>
                <w:p w14:paraId="0ED4AE9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1322C8E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80013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109C536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1#折页机</w:t>
                  </w:r>
                </w:p>
              </w:tc>
              <w:tc>
                <w:tcPr>
                  <w:tcW w:w="587" w:type="pct"/>
                  <w:noWrap w:val="0"/>
                  <w:vAlign w:val="center"/>
                </w:tcPr>
                <w:p w14:paraId="5F772AB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72.47</w:t>
                  </w:r>
                </w:p>
              </w:tc>
              <w:tc>
                <w:tcPr>
                  <w:tcW w:w="668" w:type="pct"/>
                  <w:noWrap w:val="0"/>
                  <w:vAlign w:val="center"/>
                </w:tcPr>
                <w:p w14:paraId="18623C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34.64</w:t>
                  </w:r>
                </w:p>
              </w:tc>
              <w:tc>
                <w:tcPr>
                  <w:tcW w:w="609" w:type="pct"/>
                  <w:noWrap w:val="0"/>
                  <w:vAlign w:val="center"/>
                </w:tcPr>
                <w:p w14:paraId="6389C8A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7E13F50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85</w:t>
                  </w:r>
                </w:p>
              </w:tc>
              <w:tc>
                <w:tcPr>
                  <w:tcW w:w="1151" w:type="pct"/>
                  <w:noWrap w:val="0"/>
                  <w:vAlign w:val="center"/>
                </w:tcPr>
                <w:p w14:paraId="612B1FE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738CEDF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6CCE3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2868862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2#折页机</w:t>
                  </w:r>
                </w:p>
              </w:tc>
              <w:tc>
                <w:tcPr>
                  <w:tcW w:w="587" w:type="pct"/>
                  <w:noWrap w:val="0"/>
                  <w:vAlign w:val="center"/>
                </w:tcPr>
                <w:p w14:paraId="357624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90.42</w:t>
                  </w:r>
                </w:p>
              </w:tc>
              <w:tc>
                <w:tcPr>
                  <w:tcW w:w="668" w:type="pct"/>
                  <w:noWrap w:val="0"/>
                  <w:vAlign w:val="center"/>
                </w:tcPr>
                <w:p w14:paraId="4855A40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33.74</w:t>
                  </w:r>
                </w:p>
              </w:tc>
              <w:tc>
                <w:tcPr>
                  <w:tcW w:w="609" w:type="pct"/>
                  <w:noWrap w:val="0"/>
                  <w:vAlign w:val="center"/>
                </w:tcPr>
                <w:p w14:paraId="085419B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00FE284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85</w:t>
                  </w:r>
                </w:p>
              </w:tc>
              <w:tc>
                <w:tcPr>
                  <w:tcW w:w="1151" w:type="pct"/>
                  <w:noWrap w:val="0"/>
                  <w:vAlign w:val="center"/>
                </w:tcPr>
                <w:p w14:paraId="33258BD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1371D85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94198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606F2C5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合本机</w:t>
                  </w:r>
                </w:p>
              </w:tc>
              <w:tc>
                <w:tcPr>
                  <w:tcW w:w="587" w:type="pct"/>
                  <w:noWrap w:val="0"/>
                  <w:vAlign w:val="center"/>
                </w:tcPr>
                <w:p w14:paraId="44C076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28.02</w:t>
                  </w:r>
                </w:p>
              </w:tc>
              <w:tc>
                <w:tcPr>
                  <w:tcW w:w="668" w:type="pct"/>
                  <w:noWrap w:val="0"/>
                  <w:vAlign w:val="center"/>
                </w:tcPr>
                <w:p w14:paraId="4EB3485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95.24</w:t>
                  </w:r>
                </w:p>
              </w:tc>
              <w:tc>
                <w:tcPr>
                  <w:tcW w:w="609" w:type="pct"/>
                  <w:noWrap w:val="0"/>
                  <w:vAlign w:val="center"/>
                </w:tcPr>
                <w:p w14:paraId="1786D8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3FC6CA4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0E6D7D1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54E6134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246F83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793E34F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海德堡印刷机</w:t>
                  </w:r>
                </w:p>
              </w:tc>
              <w:tc>
                <w:tcPr>
                  <w:tcW w:w="587" w:type="pct"/>
                  <w:noWrap w:val="0"/>
                  <w:vAlign w:val="center"/>
                </w:tcPr>
                <w:p w14:paraId="5CCC35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74.71</w:t>
                  </w:r>
                </w:p>
              </w:tc>
              <w:tc>
                <w:tcPr>
                  <w:tcW w:w="668" w:type="pct"/>
                  <w:noWrap w:val="0"/>
                  <w:vAlign w:val="center"/>
                </w:tcPr>
                <w:p w14:paraId="65D256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146.42</w:t>
                  </w:r>
                </w:p>
              </w:tc>
              <w:tc>
                <w:tcPr>
                  <w:tcW w:w="609" w:type="pct"/>
                  <w:noWrap w:val="0"/>
                  <w:vAlign w:val="center"/>
                </w:tcPr>
                <w:p w14:paraId="4EBF7C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0D55EC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68EED1C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490CD86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2E3D97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0FA3114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海德堡印刷机</w:t>
                  </w:r>
                </w:p>
              </w:tc>
              <w:tc>
                <w:tcPr>
                  <w:tcW w:w="587" w:type="pct"/>
                  <w:noWrap w:val="0"/>
                  <w:vAlign w:val="center"/>
                </w:tcPr>
                <w:p w14:paraId="129A4C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83.24</w:t>
                  </w:r>
                </w:p>
              </w:tc>
              <w:tc>
                <w:tcPr>
                  <w:tcW w:w="668" w:type="pct"/>
                  <w:noWrap w:val="0"/>
                  <w:vAlign w:val="center"/>
                </w:tcPr>
                <w:p w14:paraId="5D2157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145.08</w:t>
                  </w:r>
                </w:p>
              </w:tc>
              <w:tc>
                <w:tcPr>
                  <w:tcW w:w="609" w:type="pct"/>
                  <w:noWrap w:val="0"/>
                  <w:vAlign w:val="center"/>
                </w:tcPr>
                <w:p w14:paraId="17EA98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19EDDE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4E459B6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44A2C5E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791585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32A24FD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三菱印刷机</w:t>
                  </w:r>
                </w:p>
              </w:tc>
              <w:tc>
                <w:tcPr>
                  <w:tcW w:w="587" w:type="pct"/>
                  <w:noWrap w:val="0"/>
                  <w:vAlign w:val="center"/>
                </w:tcPr>
                <w:p w14:paraId="1B214B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90.87</w:t>
                  </w:r>
                </w:p>
              </w:tc>
              <w:tc>
                <w:tcPr>
                  <w:tcW w:w="668" w:type="pct"/>
                  <w:noWrap w:val="0"/>
                  <w:vAlign w:val="center"/>
                </w:tcPr>
                <w:p w14:paraId="696598D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145.08</w:t>
                  </w:r>
                </w:p>
              </w:tc>
              <w:tc>
                <w:tcPr>
                  <w:tcW w:w="609" w:type="pct"/>
                  <w:noWrap w:val="0"/>
                  <w:vAlign w:val="center"/>
                </w:tcPr>
                <w:p w14:paraId="6AB655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5D3559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6E339C5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5A8E7B8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5DDCB5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1BB1250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小森印刷机</w:t>
                  </w:r>
                </w:p>
              </w:tc>
              <w:tc>
                <w:tcPr>
                  <w:tcW w:w="587" w:type="pct"/>
                  <w:noWrap w:val="0"/>
                  <w:vAlign w:val="center"/>
                </w:tcPr>
                <w:p w14:paraId="30317A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96.74</w:t>
                  </w:r>
                </w:p>
              </w:tc>
              <w:tc>
                <w:tcPr>
                  <w:tcW w:w="668" w:type="pct"/>
                  <w:noWrap w:val="0"/>
                  <w:vAlign w:val="center"/>
                </w:tcPr>
                <w:p w14:paraId="241E5B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145.53</w:t>
                  </w:r>
                </w:p>
              </w:tc>
              <w:tc>
                <w:tcPr>
                  <w:tcW w:w="609" w:type="pct"/>
                  <w:noWrap w:val="0"/>
                  <w:vAlign w:val="center"/>
                </w:tcPr>
                <w:p w14:paraId="0E6882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2808E2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1C981F0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57B6CEE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0DE8D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26B2C74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北人印刷机</w:t>
                  </w:r>
                </w:p>
              </w:tc>
              <w:tc>
                <w:tcPr>
                  <w:tcW w:w="587" w:type="pct"/>
                  <w:noWrap w:val="0"/>
                  <w:vAlign w:val="center"/>
                </w:tcPr>
                <w:p w14:paraId="1B98C03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79.2</w:t>
                  </w:r>
                </w:p>
              </w:tc>
              <w:tc>
                <w:tcPr>
                  <w:tcW w:w="668" w:type="pct"/>
                  <w:noWrap w:val="0"/>
                  <w:vAlign w:val="center"/>
                </w:tcPr>
                <w:p w14:paraId="3439236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145.08</w:t>
                  </w:r>
                </w:p>
              </w:tc>
              <w:tc>
                <w:tcPr>
                  <w:tcW w:w="609" w:type="pct"/>
                  <w:noWrap w:val="0"/>
                  <w:vAlign w:val="center"/>
                </w:tcPr>
                <w:p w14:paraId="474940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2201716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04931AD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38BF438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2C1A8E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5B30918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马天尼胶装线</w:t>
                  </w:r>
                </w:p>
              </w:tc>
              <w:tc>
                <w:tcPr>
                  <w:tcW w:w="587" w:type="pct"/>
                  <w:noWrap w:val="0"/>
                  <w:vAlign w:val="center"/>
                </w:tcPr>
                <w:p w14:paraId="3AAB335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49.12</w:t>
                  </w:r>
                </w:p>
              </w:tc>
              <w:tc>
                <w:tcPr>
                  <w:tcW w:w="668" w:type="pct"/>
                  <w:noWrap w:val="0"/>
                  <w:vAlign w:val="center"/>
                </w:tcPr>
                <w:p w14:paraId="02D91E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141.93</w:t>
                  </w:r>
                </w:p>
              </w:tc>
              <w:tc>
                <w:tcPr>
                  <w:tcW w:w="609" w:type="pct"/>
                  <w:noWrap w:val="0"/>
                  <w:vAlign w:val="center"/>
                </w:tcPr>
                <w:p w14:paraId="58C5D4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73DE07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85</w:t>
                  </w:r>
                </w:p>
              </w:tc>
              <w:tc>
                <w:tcPr>
                  <w:tcW w:w="1151" w:type="pct"/>
                  <w:noWrap w:val="0"/>
                  <w:vAlign w:val="center"/>
                </w:tcPr>
                <w:p w14:paraId="662CF49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62B7CD9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6E39B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03A0D3D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马天尼骑订线</w:t>
                  </w:r>
                </w:p>
              </w:tc>
              <w:tc>
                <w:tcPr>
                  <w:tcW w:w="587" w:type="pct"/>
                  <w:noWrap w:val="0"/>
                  <w:vAlign w:val="center"/>
                </w:tcPr>
                <w:p w14:paraId="5C2958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48.22</w:t>
                  </w:r>
                </w:p>
              </w:tc>
              <w:tc>
                <w:tcPr>
                  <w:tcW w:w="668" w:type="pct"/>
                  <w:noWrap w:val="0"/>
                  <w:vAlign w:val="center"/>
                </w:tcPr>
                <w:p w14:paraId="523EC38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136.1</w:t>
                  </w:r>
                </w:p>
              </w:tc>
              <w:tc>
                <w:tcPr>
                  <w:tcW w:w="609" w:type="pct"/>
                  <w:noWrap w:val="0"/>
                  <w:vAlign w:val="center"/>
                </w:tcPr>
                <w:p w14:paraId="6435FA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09997A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51C72CB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393E62D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F934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365545B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华岳全开刀</w:t>
                  </w:r>
                </w:p>
              </w:tc>
              <w:tc>
                <w:tcPr>
                  <w:tcW w:w="587" w:type="pct"/>
                  <w:noWrap w:val="0"/>
                  <w:vAlign w:val="center"/>
                </w:tcPr>
                <w:p w14:paraId="6FF83AF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44.63</w:t>
                  </w:r>
                </w:p>
              </w:tc>
              <w:tc>
                <w:tcPr>
                  <w:tcW w:w="668" w:type="pct"/>
                  <w:noWrap w:val="0"/>
                  <w:vAlign w:val="center"/>
                </w:tcPr>
                <w:p w14:paraId="66B6F4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130.26</w:t>
                  </w:r>
                </w:p>
              </w:tc>
              <w:tc>
                <w:tcPr>
                  <w:tcW w:w="609" w:type="pct"/>
                  <w:noWrap w:val="0"/>
                  <w:vAlign w:val="center"/>
                </w:tcPr>
                <w:p w14:paraId="6D7AAB9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013D05C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3027B10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77E031D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536508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06C0FB0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戴氏全开刀</w:t>
                  </w:r>
                </w:p>
              </w:tc>
              <w:tc>
                <w:tcPr>
                  <w:tcW w:w="587" w:type="pct"/>
                  <w:noWrap w:val="0"/>
                  <w:vAlign w:val="center"/>
                </w:tcPr>
                <w:p w14:paraId="6A96D7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46.88</w:t>
                  </w:r>
                </w:p>
              </w:tc>
              <w:tc>
                <w:tcPr>
                  <w:tcW w:w="668" w:type="pct"/>
                  <w:noWrap w:val="0"/>
                  <w:vAlign w:val="center"/>
                </w:tcPr>
                <w:p w14:paraId="1BCFD2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126.22</w:t>
                  </w:r>
                </w:p>
              </w:tc>
              <w:tc>
                <w:tcPr>
                  <w:tcW w:w="609" w:type="pct"/>
                  <w:noWrap w:val="0"/>
                  <w:vAlign w:val="center"/>
                </w:tcPr>
                <w:p w14:paraId="4A4149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4B7630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noWrap w:val="0"/>
                  <w:vAlign w:val="center"/>
                </w:tcPr>
                <w:p w14:paraId="7EC284A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2075F2D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6736D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noWrap w:val="0"/>
                  <w:vAlign w:val="center"/>
                </w:tcPr>
                <w:p w14:paraId="596C0AE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全自动覆膜机</w:t>
                  </w:r>
                </w:p>
              </w:tc>
              <w:tc>
                <w:tcPr>
                  <w:tcW w:w="587" w:type="pct"/>
                  <w:noWrap w:val="0"/>
                  <w:vAlign w:val="center"/>
                </w:tcPr>
                <w:p w14:paraId="4C3ABC1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76.51</w:t>
                  </w:r>
                </w:p>
              </w:tc>
              <w:tc>
                <w:tcPr>
                  <w:tcW w:w="668" w:type="pct"/>
                  <w:noWrap w:val="0"/>
                  <w:vAlign w:val="center"/>
                </w:tcPr>
                <w:p w14:paraId="082561B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132.51</w:t>
                  </w:r>
                </w:p>
              </w:tc>
              <w:tc>
                <w:tcPr>
                  <w:tcW w:w="609" w:type="pct"/>
                  <w:noWrap w:val="0"/>
                  <w:vAlign w:val="center"/>
                </w:tcPr>
                <w:p w14:paraId="26D3A9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noWrap w:val="0"/>
                  <w:vAlign w:val="center"/>
                </w:tcPr>
                <w:p w14:paraId="085AF3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70</w:t>
                  </w:r>
                </w:p>
              </w:tc>
              <w:tc>
                <w:tcPr>
                  <w:tcW w:w="1151" w:type="pct"/>
                  <w:noWrap w:val="0"/>
                  <w:vAlign w:val="center"/>
                </w:tcPr>
                <w:p w14:paraId="35DCBA4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noWrap w:val="0"/>
                  <w:vAlign w:val="center"/>
                </w:tcPr>
                <w:p w14:paraId="4DDBB21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5D71A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69DE479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覆膜机</w:t>
                  </w:r>
                </w:p>
              </w:tc>
              <w:tc>
                <w:tcPr>
                  <w:tcW w:w="587" w:type="pct"/>
                  <w:vAlign w:val="center"/>
                </w:tcPr>
                <w:p w14:paraId="281201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57.65</w:t>
                  </w:r>
                </w:p>
              </w:tc>
              <w:tc>
                <w:tcPr>
                  <w:tcW w:w="668" w:type="pct"/>
                  <w:vAlign w:val="center"/>
                </w:tcPr>
                <w:p w14:paraId="7243540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147.77</w:t>
                  </w:r>
                </w:p>
              </w:tc>
              <w:tc>
                <w:tcPr>
                  <w:tcW w:w="609" w:type="pct"/>
                  <w:vAlign w:val="center"/>
                </w:tcPr>
                <w:p w14:paraId="6380C62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6AA2DD9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70</w:t>
                  </w:r>
                </w:p>
              </w:tc>
              <w:tc>
                <w:tcPr>
                  <w:tcW w:w="1151" w:type="pct"/>
                  <w:vAlign w:val="center"/>
                </w:tcPr>
                <w:p w14:paraId="40CC6AA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6E0FCE7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479B0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2CA3A5D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上光机</w:t>
                  </w:r>
                </w:p>
              </w:tc>
              <w:tc>
                <w:tcPr>
                  <w:tcW w:w="587" w:type="pct"/>
                  <w:vAlign w:val="center"/>
                </w:tcPr>
                <w:p w14:paraId="547CED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48.67</w:t>
                  </w:r>
                </w:p>
              </w:tc>
              <w:tc>
                <w:tcPr>
                  <w:tcW w:w="668" w:type="pct"/>
                  <w:vAlign w:val="center"/>
                </w:tcPr>
                <w:p w14:paraId="296A29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146.87</w:t>
                  </w:r>
                </w:p>
              </w:tc>
              <w:tc>
                <w:tcPr>
                  <w:tcW w:w="609" w:type="pct"/>
                  <w:vAlign w:val="center"/>
                </w:tcPr>
                <w:p w14:paraId="2401DA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4959924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70</w:t>
                  </w:r>
                </w:p>
              </w:tc>
              <w:tc>
                <w:tcPr>
                  <w:tcW w:w="1151" w:type="pct"/>
                  <w:vAlign w:val="center"/>
                </w:tcPr>
                <w:p w14:paraId="7ED5223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4349D7A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D3C91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0ABDC70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马天尼321</w:t>
                  </w:r>
                  <w:r>
                    <w:rPr>
                      <w:rFonts w:hint="eastAsia" w:cs="Times New Roman"/>
                      <w:color w:val="000000"/>
                      <w:sz w:val="21"/>
                      <w:szCs w:val="21"/>
                      <w:lang w:val="en-US" w:eastAsia="zh-CN"/>
                    </w:rPr>
                    <w:t>骑订线</w:t>
                  </w:r>
                </w:p>
              </w:tc>
              <w:tc>
                <w:tcPr>
                  <w:tcW w:w="587" w:type="pct"/>
                  <w:vAlign w:val="center"/>
                </w:tcPr>
                <w:p w14:paraId="7E5527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50.92</w:t>
                  </w:r>
                </w:p>
              </w:tc>
              <w:tc>
                <w:tcPr>
                  <w:tcW w:w="668" w:type="pct"/>
                  <w:vAlign w:val="center"/>
                </w:tcPr>
                <w:p w14:paraId="42EB93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181.44</w:t>
                  </w:r>
                </w:p>
              </w:tc>
              <w:tc>
                <w:tcPr>
                  <w:tcW w:w="609" w:type="pct"/>
                  <w:vAlign w:val="center"/>
                </w:tcPr>
                <w:p w14:paraId="4F3248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5E33B76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80</w:t>
                  </w:r>
                </w:p>
              </w:tc>
              <w:tc>
                <w:tcPr>
                  <w:tcW w:w="1151" w:type="pct"/>
                  <w:vAlign w:val="center"/>
                </w:tcPr>
                <w:p w14:paraId="27812E3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45A2AEB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50B70D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496FB72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马天尼3001</w:t>
                  </w:r>
                  <w:r>
                    <w:rPr>
                      <w:rFonts w:hint="eastAsia" w:cs="Times New Roman"/>
                      <w:color w:val="000000"/>
                      <w:sz w:val="21"/>
                      <w:szCs w:val="21"/>
                      <w:lang w:val="en-US" w:eastAsia="zh-CN"/>
                    </w:rPr>
                    <w:t>胶装机</w:t>
                  </w:r>
                </w:p>
              </w:tc>
              <w:tc>
                <w:tcPr>
                  <w:tcW w:w="587" w:type="pct"/>
                  <w:vAlign w:val="center"/>
                </w:tcPr>
                <w:p w14:paraId="772575A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59.45</w:t>
                  </w:r>
                </w:p>
              </w:tc>
              <w:tc>
                <w:tcPr>
                  <w:tcW w:w="668" w:type="pct"/>
                  <w:vAlign w:val="center"/>
                </w:tcPr>
                <w:p w14:paraId="29E9D4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180.99</w:t>
                  </w:r>
                </w:p>
              </w:tc>
              <w:tc>
                <w:tcPr>
                  <w:tcW w:w="609" w:type="pct"/>
                  <w:vAlign w:val="center"/>
                </w:tcPr>
                <w:p w14:paraId="45E6C8C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5FAB960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80</w:t>
                  </w:r>
                </w:p>
              </w:tc>
              <w:tc>
                <w:tcPr>
                  <w:tcW w:w="1151" w:type="pct"/>
                  <w:vAlign w:val="center"/>
                </w:tcPr>
                <w:p w14:paraId="7581221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76F4978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CE7C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4DA6BBA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大连天泰试卷机</w:t>
                  </w:r>
                </w:p>
              </w:tc>
              <w:tc>
                <w:tcPr>
                  <w:tcW w:w="587" w:type="pct"/>
                  <w:vAlign w:val="center"/>
                </w:tcPr>
                <w:p w14:paraId="65063A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51.37</w:t>
                  </w:r>
                </w:p>
              </w:tc>
              <w:tc>
                <w:tcPr>
                  <w:tcW w:w="668" w:type="pct"/>
                  <w:vAlign w:val="center"/>
                </w:tcPr>
                <w:p w14:paraId="77FACC7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172.01</w:t>
                  </w:r>
                </w:p>
              </w:tc>
              <w:tc>
                <w:tcPr>
                  <w:tcW w:w="609" w:type="pct"/>
                  <w:vAlign w:val="center"/>
                </w:tcPr>
                <w:p w14:paraId="79C26E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573EDD9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85</w:t>
                  </w:r>
                </w:p>
              </w:tc>
              <w:tc>
                <w:tcPr>
                  <w:tcW w:w="1151" w:type="pct"/>
                  <w:vAlign w:val="center"/>
                </w:tcPr>
                <w:p w14:paraId="4B9DAA8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08A425D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37E2A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24AA5EC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奥托670折页机</w:t>
                  </w:r>
                </w:p>
              </w:tc>
              <w:tc>
                <w:tcPr>
                  <w:tcW w:w="587" w:type="pct"/>
                  <w:vAlign w:val="center"/>
                </w:tcPr>
                <w:p w14:paraId="2A0CB1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61.24</w:t>
                  </w:r>
                </w:p>
              </w:tc>
              <w:tc>
                <w:tcPr>
                  <w:tcW w:w="668" w:type="pct"/>
                  <w:vAlign w:val="center"/>
                </w:tcPr>
                <w:p w14:paraId="66F919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170.67</w:t>
                  </w:r>
                </w:p>
              </w:tc>
              <w:tc>
                <w:tcPr>
                  <w:tcW w:w="609" w:type="pct"/>
                  <w:vAlign w:val="center"/>
                </w:tcPr>
                <w:p w14:paraId="39DAFF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61D072E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85</w:t>
                  </w:r>
                </w:p>
              </w:tc>
              <w:tc>
                <w:tcPr>
                  <w:tcW w:w="1151" w:type="pct"/>
                  <w:vAlign w:val="center"/>
                </w:tcPr>
                <w:p w14:paraId="1BAC5BF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627E504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A0DD1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3C47F72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奥托490折页机</w:t>
                  </w:r>
                </w:p>
              </w:tc>
              <w:tc>
                <w:tcPr>
                  <w:tcW w:w="587" w:type="pct"/>
                  <w:vAlign w:val="center"/>
                </w:tcPr>
                <w:p w14:paraId="43574A0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65.28</w:t>
                  </w:r>
                </w:p>
              </w:tc>
              <w:tc>
                <w:tcPr>
                  <w:tcW w:w="668" w:type="pct"/>
                  <w:vAlign w:val="center"/>
                </w:tcPr>
                <w:p w14:paraId="0FF1043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164.83</w:t>
                  </w:r>
                </w:p>
              </w:tc>
              <w:tc>
                <w:tcPr>
                  <w:tcW w:w="609" w:type="pct"/>
                  <w:vAlign w:val="center"/>
                </w:tcPr>
                <w:p w14:paraId="6BBEE9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1E166AA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85</w:t>
                  </w:r>
                </w:p>
              </w:tc>
              <w:tc>
                <w:tcPr>
                  <w:tcW w:w="1151" w:type="pct"/>
                  <w:vAlign w:val="center"/>
                </w:tcPr>
                <w:p w14:paraId="0B4F475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6C0FD7F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6E547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375638D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紫宏680</w:t>
                  </w:r>
                  <w:r>
                    <w:rPr>
                      <w:rFonts w:hint="eastAsia" w:cs="Times New Roman"/>
                      <w:color w:val="000000"/>
                      <w:sz w:val="21"/>
                      <w:szCs w:val="21"/>
                      <w:lang w:val="en-US" w:eastAsia="zh-CN"/>
                    </w:rPr>
                    <w:t>折页机</w:t>
                  </w:r>
                </w:p>
              </w:tc>
              <w:tc>
                <w:tcPr>
                  <w:tcW w:w="587" w:type="pct"/>
                  <w:vAlign w:val="center"/>
                </w:tcPr>
                <w:p w14:paraId="0ECB45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66.63</w:t>
                  </w:r>
                </w:p>
              </w:tc>
              <w:tc>
                <w:tcPr>
                  <w:tcW w:w="668" w:type="pct"/>
                  <w:vAlign w:val="center"/>
                </w:tcPr>
                <w:p w14:paraId="2E4FC0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182.79</w:t>
                  </w:r>
                </w:p>
              </w:tc>
              <w:tc>
                <w:tcPr>
                  <w:tcW w:w="609" w:type="pct"/>
                  <w:vAlign w:val="center"/>
                </w:tcPr>
                <w:p w14:paraId="0117BE1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2C70181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80</w:t>
                  </w:r>
                </w:p>
              </w:tc>
              <w:tc>
                <w:tcPr>
                  <w:tcW w:w="1151" w:type="pct"/>
                  <w:vAlign w:val="center"/>
                </w:tcPr>
                <w:p w14:paraId="145D748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356F705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2E02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0562BE6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新邵680</w:t>
                  </w:r>
                  <w:r>
                    <w:rPr>
                      <w:rFonts w:hint="eastAsia" w:cs="Times New Roman"/>
                      <w:color w:val="000000"/>
                      <w:sz w:val="21"/>
                      <w:szCs w:val="21"/>
                      <w:lang w:val="en-US" w:eastAsia="zh-CN"/>
                    </w:rPr>
                    <w:t>折页机</w:t>
                  </w:r>
                </w:p>
              </w:tc>
              <w:tc>
                <w:tcPr>
                  <w:tcW w:w="587" w:type="pct"/>
                  <w:vAlign w:val="center"/>
                </w:tcPr>
                <w:p w14:paraId="35D6EC2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45.53</w:t>
                  </w:r>
                </w:p>
              </w:tc>
              <w:tc>
                <w:tcPr>
                  <w:tcW w:w="668" w:type="pct"/>
                  <w:vAlign w:val="center"/>
                </w:tcPr>
                <w:p w14:paraId="2DD3919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165.28</w:t>
                  </w:r>
                </w:p>
              </w:tc>
              <w:tc>
                <w:tcPr>
                  <w:tcW w:w="609" w:type="pct"/>
                  <w:vAlign w:val="center"/>
                </w:tcPr>
                <w:p w14:paraId="41D7C5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3DDCD98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80</w:t>
                  </w:r>
                </w:p>
              </w:tc>
              <w:tc>
                <w:tcPr>
                  <w:tcW w:w="1151" w:type="pct"/>
                  <w:vAlign w:val="center"/>
                </w:tcPr>
                <w:p w14:paraId="32B301B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476DD8B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4DE669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41CB87D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阿斯特150</w:t>
                  </w:r>
                  <w:r>
                    <w:rPr>
                      <w:rFonts w:hint="eastAsia" w:cs="Times New Roman"/>
                      <w:color w:val="000000"/>
                      <w:sz w:val="21"/>
                      <w:szCs w:val="21"/>
                      <w:lang w:val="en-US" w:eastAsia="zh-CN"/>
                    </w:rPr>
                    <w:t>锁线机</w:t>
                  </w:r>
                </w:p>
              </w:tc>
              <w:tc>
                <w:tcPr>
                  <w:tcW w:w="587" w:type="pct"/>
                  <w:vAlign w:val="center"/>
                </w:tcPr>
                <w:p w14:paraId="6B3D671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46.43</w:t>
                  </w:r>
                </w:p>
              </w:tc>
              <w:tc>
                <w:tcPr>
                  <w:tcW w:w="668" w:type="pct"/>
                  <w:vAlign w:val="center"/>
                </w:tcPr>
                <w:p w14:paraId="4A97E2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172.46</w:t>
                  </w:r>
                </w:p>
              </w:tc>
              <w:tc>
                <w:tcPr>
                  <w:tcW w:w="609" w:type="pct"/>
                  <w:vAlign w:val="center"/>
                </w:tcPr>
                <w:p w14:paraId="7601FC0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0E586F9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80</w:t>
                  </w:r>
                </w:p>
              </w:tc>
              <w:tc>
                <w:tcPr>
                  <w:tcW w:w="1151" w:type="pct"/>
                  <w:vAlign w:val="center"/>
                </w:tcPr>
                <w:p w14:paraId="6E23317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2E2D69D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7A17B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5711310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平湖英厚1800</w:t>
                  </w:r>
                  <w:r>
                    <w:rPr>
                      <w:rFonts w:hint="eastAsia" w:cs="Times New Roman"/>
                      <w:color w:val="000000"/>
                      <w:sz w:val="21"/>
                      <w:szCs w:val="21"/>
                      <w:lang w:val="en-US" w:eastAsia="zh-CN"/>
                    </w:rPr>
                    <w:t>胶装机</w:t>
                  </w:r>
                </w:p>
              </w:tc>
              <w:tc>
                <w:tcPr>
                  <w:tcW w:w="587" w:type="pct"/>
                  <w:vAlign w:val="center"/>
                </w:tcPr>
                <w:p w14:paraId="23C0FD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72.92</w:t>
                  </w:r>
                </w:p>
              </w:tc>
              <w:tc>
                <w:tcPr>
                  <w:tcW w:w="668" w:type="pct"/>
                  <w:vAlign w:val="center"/>
                </w:tcPr>
                <w:p w14:paraId="021419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168.87</w:t>
                  </w:r>
                </w:p>
              </w:tc>
              <w:tc>
                <w:tcPr>
                  <w:tcW w:w="609" w:type="pct"/>
                  <w:vAlign w:val="center"/>
                </w:tcPr>
                <w:p w14:paraId="4A2E25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6610D74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80</w:t>
                  </w:r>
                </w:p>
              </w:tc>
              <w:tc>
                <w:tcPr>
                  <w:tcW w:w="1151" w:type="pct"/>
                  <w:vAlign w:val="center"/>
                </w:tcPr>
                <w:p w14:paraId="38D4EE0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3B73E07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2B7E76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49AFD0E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如皋三面切</w:t>
                  </w:r>
                  <w:r>
                    <w:rPr>
                      <w:rFonts w:hint="eastAsia" w:cs="Times New Roman"/>
                      <w:color w:val="000000"/>
                      <w:sz w:val="21"/>
                      <w:szCs w:val="21"/>
                      <w:lang w:val="en-US" w:eastAsia="zh-CN"/>
                    </w:rPr>
                    <w:t>书机</w:t>
                  </w:r>
                </w:p>
              </w:tc>
              <w:tc>
                <w:tcPr>
                  <w:tcW w:w="587" w:type="pct"/>
                  <w:vAlign w:val="center"/>
                </w:tcPr>
                <w:p w14:paraId="7097D87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73.36</w:t>
                  </w:r>
                </w:p>
              </w:tc>
              <w:tc>
                <w:tcPr>
                  <w:tcW w:w="668" w:type="pct"/>
                  <w:vAlign w:val="center"/>
                </w:tcPr>
                <w:p w14:paraId="25DE5A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180.09</w:t>
                  </w:r>
                </w:p>
              </w:tc>
              <w:tc>
                <w:tcPr>
                  <w:tcW w:w="609" w:type="pct"/>
                  <w:vAlign w:val="center"/>
                </w:tcPr>
                <w:p w14:paraId="522A89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41F8CEB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80</w:t>
                  </w:r>
                </w:p>
              </w:tc>
              <w:tc>
                <w:tcPr>
                  <w:tcW w:w="1151" w:type="pct"/>
                  <w:vAlign w:val="center"/>
                </w:tcPr>
                <w:p w14:paraId="457E512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35739DB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6D807F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7549F42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戴氏920</w:t>
                  </w:r>
                  <w:r>
                    <w:rPr>
                      <w:rFonts w:hint="eastAsia" w:cs="Times New Roman"/>
                      <w:color w:val="000000"/>
                      <w:sz w:val="21"/>
                      <w:szCs w:val="21"/>
                      <w:lang w:val="en-US" w:eastAsia="zh-CN"/>
                    </w:rPr>
                    <w:t>裁切机</w:t>
                  </w:r>
                </w:p>
              </w:tc>
              <w:tc>
                <w:tcPr>
                  <w:tcW w:w="587" w:type="pct"/>
                  <w:vAlign w:val="center"/>
                </w:tcPr>
                <w:p w14:paraId="3A617F2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75.16</w:t>
                  </w:r>
                </w:p>
              </w:tc>
              <w:tc>
                <w:tcPr>
                  <w:tcW w:w="668" w:type="pct"/>
                  <w:vAlign w:val="center"/>
                </w:tcPr>
                <w:p w14:paraId="04C352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164.83</w:t>
                  </w:r>
                </w:p>
              </w:tc>
              <w:tc>
                <w:tcPr>
                  <w:tcW w:w="609" w:type="pct"/>
                  <w:vAlign w:val="center"/>
                </w:tcPr>
                <w:p w14:paraId="7A7AF1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230AA59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80</w:t>
                  </w:r>
                </w:p>
              </w:tc>
              <w:tc>
                <w:tcPr>
                  <w:tcW w:w="1151" w:type="pct"/>
                  <w:vAlign w:val="center"/>
                </w:tcPr>
                <w:p w14:paraId="033EF68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1B1DB1A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5A2E3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03F4029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胶印机（四开）</w:t>
                  </w:r>
                </w:p>
              </w:tc>
              <w:tc>
                <w:tcPr>
                  <w:tcW w:w="587" w:type="pct"/>
                  <w:vAlign w:val="center"/>
                </w:tcPr>
                <w:p w14:paraId="06E5DF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15.45</w:t>
                  </w:r>
                </w:p>
              </w:tc>
              <w:tc>
                <w:tcPr>
                  <w:tcW w:w="668" w:type="pct"/>
                  <w:vAlign w:val="center"/>
                </w:tcPr>
                <w:p w14:paraId="1121FD9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67.41</w:t>
                  </w:r>
                </w:p>
              </w:tc>
              <w:tc>
                <w:tcPr>
                  <w:tcW w:w="609" w:type="pct"/>
                  <w:vAlign w:val="center"/>
                </w:tcPr>
                <w:p w14:paraId="4043FD0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2FA8AE8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80</w:t>
                  </w:r>
                </w:p>
              </w:tc>
              <w:tc>
                <w:tcPr>
                  <w:tcW w:w="1151" w:type="pct"/>
                  <w:vAlign w:val="center"/>
                </w:tcPr>
                <w:p w14:paraId="62765F7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3AC78EC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5D0C3D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0360B2F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胶印机（对开）</w:t>
                  </w:r>
                </w:p>
              </w:tc>
              <w:tc>
                <w:tcPr>
                  <w:tcW w:w="587" w:type="pct"/>
                  <w:vAlign w:val="center"/>
                </w:tcPr>
                <w:p w14:paraId="6D55227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17.25</w:t>
                  </w:r>
                </w:p>
              </w:tc>
              <w:tc>
                <w:tcPr>
                  <w:tcW w:w="668" w:type="pct"/>
                  <w:vAlign w:val="center"/>
                </w:tcPr>
                <w:p w14:paraId="2226D3F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77.29</w:t>
                  </w:r>
                </w:p>
              </w:tc>
              <w:tc>
                <w:tcPr>
                  <w:tcW w:w="609" w:type="pct"/>
                  <w:vAlign w:val="center"/>
                </w:tcPr>
                <w:p w14:paraId="11304DB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30C4F03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80</w:t>
                  </w:r>
                </w:p>
              </w:tc>
              <w:tc>
                <w:tcPr>
                  <w:tcW w:w="1151" w:type="pct"/>
                  <w:vAlign w:val="center"/>
                </w:tcPr>
                <w:p w14:paraId="3FEB660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40958CD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133DB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5A85F80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切纸刀</w:t>
                  </w:r>
                </w:p>
              </w:tc>
              <w:tc>
                <w:tcPr>
                  <w:tcW w:w="587" w:type="pct"/>
                  <w:vAlign w:val="center"/>
                </w:tcPr>
                <w:p w14:paraId="22A336C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15.9</w:t>
                  </w:r>
                </w:p>
              </w:tc>
              <w:tc>
                <w:tcPr>
                  <w:tcW w:w="668" w:type="pct"/>
                  <w:vAlign w:val="center"/>
                </w:tcPr>
                <w:p w14:paraId="1017C8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89.41</w:t>
                  </w:r>
                </w:p>
              </w:tc>
              <w:tc>
                <w:tcPr>
                  <w:tcW w:w="609" w:type="pct"/>
                  <w:vAlign w:val="center"/>
                </w:tcPr>
                <w:p w14:paraId="294019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6DD2327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80</w:t>
                  </w:r>
                </w:p>
              </w:tc>
              <w:tc>
                <w:tcPr>
                  <w:tcW w:w="1151" w:type="pct"/>
                  <w:vAlign w:val="center"/>
                </w:tcPr>
                <w:p w14:paraId="1DFB30C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600971C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70E66A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229D29A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折页机</w:t>
                  </w:r>
                </w:p>
              </w:tc>
              <w:tc>
                <w:tcPr>
                  <w:tcW w:w="587" w:type="pct"/>
                  <w:vAlign w:val="center"/>
                </w:tcPr>
                <w:p w14:paraId="6CD946D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17.25</w:t>
                  </w:r>
                </w:p>
              </w:tc>
              <w:tc>
                <w:tcPr>
                  <w:tcW w:w="668" w:type="pct"/>
                  <w:vAlign w:val="center"/>
                </w:tcPr>
                <w:p w14:paraId="0F16EB4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96.59</w:t>
                  </w:r>
                </w:p>
              </w:tc>
              <w:tc>
                <w:tcPr>
                  <w:tcW w:w="609" w:type="pct"/>
                  <w:vAlign w:val="center"/>
                </w:tcPr>
                <w:p w14:paraId="468461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4A6C444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70</w:t>
                  </w:r>
                </w:p>
              </w:tc>
              <w:tc>
                <w:tcPr>
                  <w:tcW w:w="1151" w:type="pct"/>
                  <w:vAlign w:val="center"/>
                </w:tcPr>
                <w:p w14:paraId="43FFA0A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3B654E1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6930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2119816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压线机</w:t>
                  </w:r>
                </w:p>
              </w:tc>
              <w:tc>
                <w:tcPr>
                  <w:tcW w:w="587" w:type="pct"/>
                  <w:vAlign w:val="center"/>
                </w:tcPr>
                <w:p w14:paraId="62542C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5.13</w:t>
                  </w:r>
                </w:p>
              </w:tc>
              <w:tc>
                <w:tcPr>
                  <w:tcW w:w="668" w:type="pct"/>
                  <w:vAlign w:val="center"/>
                </w:tcPr>
                <w:p w14:paraId="63C354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90.75</w:t>
                  </w:r>
                </w:p>
              </w:tc>
              <w:tc>
                <w:tcPr>
                  <w:tcW w:w="609" w:type="pct"/>
                  <w:vAlign w:val="center"/>
                </w:tcPr>
                <w:p w14:paraId="034766D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4DD3215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80</w:t>
                  </w:r>
                </w:p>
              </w:tc>
              <w:tc>
                <w:tcPr>
                  <w:tcW w:w="1151" w:type="pct"/>
                  <w:vAlign w:val="center"/>
                </w:tcPr>
                <w:p w14:paraId="1C8D322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22A6102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1E59C9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0B43C5A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骑马钉</w:t>
                  </w:r>
                </w:p>
              </w:tc>
              <w:tc>
                <w:tcPr>
                  <w:tcW w:w="587" w:type="pct"/>
                  <w:vAlign w:val="center"/>
                </w:tcPr>
                <w:p w14:paraId="7BDB05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6.47</w:t>
                  </w:r>
                </w:p>
              </w:tc>
              <w:tc>
                <w:tcPr>
                  <w:tcW w:w="668" w:type="pct"/>
                  <w:vAlign w:val="center"/>
                </w:tcPr>
                <w:p w14:paraId="05EF99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73.25</w:t>
                  </w:r>
                </w:p>
              </w:tc>
              <w:tc>
                <w:tcPr>
                  <w:tcW w:w="609" w:type="pct"/>
                  <w:vAlign w:val="center"/>
                </w:tcPr>
                <w:p w14:paraId="3A4228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7C7E913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75</w:t>
                  </w:r>
                </w:p>
              </w:tc>
              <w:tc>
                <w:tcPr>
                  <w:tcW w:w="1151" w:type="pct"/>
                  <w:vAlign w:val="center"/>
                </w:tcPr>
                <w:p w14:paraId="6DFD68A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2B72035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00902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866" w:type="pct"/>
                  <w:vAlign w:val="center"/>
                </w:tcPr>
                <w:p w14:paraId="133ABF0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嘉利特全自动立式覆膜机</w:t>
                  </w:r>
                </w:p>
              </w:tc>
              <w:tc>
                <w:tcPr>
                  <w:tcW w:w="587" w:type="pct"/>
                  <w:vAlign w:val="center"/>
                </w:tcPr>
                <w:p w14:paraId="73E658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10.06</w:t>
                  </w:r>
                </w:p>
              </w:tc>
              <w:tc>
                <w:tcPr>
                  <w:tcW w:w="668" w:type="pct"/>
                  <w:vAlign w:val="center"/>
                </w:tcPr>
                <w:p w14:paraId="3852425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153.61</w:t>
                  </w:r>
                </w:p>
              </w:tc>
              <w:tc>
                <w:tcPr>
                  <w:tcW w:w="609" w:type="pct"/>
                  <w:vAlign w:val="center"/>
                </w:tcPr>
                <w:p w14:paraId="638CB4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651" w:type="pct"/>
                  <w:vAlign w:val="center"/>
                </w:tcPr>
                <w:p w14:paraId="149B986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70</w:t>
                  </w:r>
                </w:p>
              </w:tc>
              <w:tc>
                <w:tcPr>
                  <w:tcW w:w="1151" w:type="pct"/>
                  <w:vAlign w:val="center"/>
                </w:tcPr>
                <w:p w14:paraId="1E5E63D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基础减振、厂房隔声</w:t>
                  </w:r>
                </w:p>
              </w:tc>
              <w:tc>
                <w:tcPr>
                  <w:tcW w:w="465" w:type="pct"/>
                  <w:vMerge w:val="continue"/>
                  <w:vAlign w:val="center"/>
                </w:tcPr>
                <w:p w14:paraId="152DD9B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bl>
          <w:p w14:paraId="4448351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eastAsia" w:ascii="Times New Roman" w:hAnsi="Times New Roman" w:cs="Times New Roman"/>
                <w:bCs/>
                <w:color w:val="auto"/>
                <w:sz w:val="24"/>
              </w:rPr>
              <w:t>（2）</w:t>
            </w:r>
            <w:r>
              <w:rPr>
                <w:rFonts w:hint="default" w:ascii="Times New Roman" w:hAnsi="Times New Roman" w:cs="Times New Roman"/>
                <w:bCs/>
                <w:color w:val="auto"/>
                <w:sz w:val="24"/>
              </w:rPr>
              <w:t>预测结果及达标分析</w:t>
            </w:r>
          </w:p>
          <w:p w14:paraId="5DAE7D23">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kern w:val="0"/>
                <w:sz w:val="24"/>
                <w:szCs w:val="20"/>
                <w:lang w:val="zh-CN"/>
              </w:rPr>
            </w:pPr>
            <w:r>
              <w:rPr>
                <w:rFonts w:hint="default" w:ascii="Times New Roman" w:hAnsi="Times New Roman" w:cs="Times New Roman"/>
                <w:color w:val="auto"/>
                <w:sz w:val="24"/>
              </w:rPr>
              <w:t>预测模式根据《环境影响评价技术导则 声环境》（HJ2.4-20</w:t>
            </w:r>
            <w:r>
              <w:rPr>
                <w:rFonts w:hint="eastAsia" w:ascii="Times New Roman" w:hAnsi="Times New Roman" w:cs="Times New Roman"/>
                <w:color w:val="auto"/>
                <w:sz w:val="24"/>
              </w:rPr>
              <w:t>21</w:t>
            </w:r>
            <w:r>
              <w:rPr>
                <w:rFonts w:hint="default" w:ascii="Times New Roman" w:hAnsi="Times New Roman" w:cs="Times New Roman"/>
                <w:color w:val="auto"/>
                <w:sz w:val="24"/>
              </w:rPr>
              <w:t>）选取，</w:t>
            </w:r>
            <w:r>
              <w:rPr>
                <w:rFonts w:hint="default" w:ascii="Times New Roman" w:hAnsi="Times New Roman" w:cs="Times New Roman"/>
                <w:color w:val="auto"/>
                <w:kern w:val="0"/>
                <w:sz w:val="24"/>
                <w:szCs w:val="20"/>
                <w:lang w:val="zh-CN"/>
              </w:rPr>
              <w:t>根据项目噪声源源强、所在位置，利用噪声预测模式和方法，对厂界四周</w:t>
            </w:r>
            <w:r>
              <w:rPr>
                <w:rFonts w:hint="eastAsia" w:ascii="Times New Roman" w:hAnsi="Times New Roman" w:cs="Times New Roman"/>
                <w:color w:val="auto"/>
                <w:kern w:val="0"/>
                <w:sz w:val="24"/>
                <w:szCs w:val="20"/>
              </w:rPr>
              <w:t>及敏感点</w:t>
            </w:r>
            <w:r>
              <w:rPr>
                <w:rFonts w:hint="default" w:ascii="Times New Roman" w:hAnsi="Times New Roman" w:cs="Times New Roman"/>
                <w:color w:val="auto"/>
                <w:kern w:val="0"/>
                <w:sz w:val="24"/>
                <w:szCs w:val="20"/>
                <w:lang w:val="zh-CN"/>
              </w:rPr>
              <w:t>的噪声值进行预测，噪声影响预测结果见</w:t>
            </w:r>
            <w:r>
              <w:rPr>
                <w:rFonts w:hint="default" w:ascii="Times New Roman" w:hAnsi="Times New Roman" w:cs="Times New Roman"/>
                <w:color w:val="auto"/>
                <w:kern w:val="0"/>
                <w:sz w:val="24"/>
                <w:szCs w:val="20"/>
              </w:rPr>
              <w:t>下</w:t>
            </w:r>
            <w:r>
              <w:rPr>
                <w:rFonts w:hint="default" w:ascii="Times New Roman" w:hAnsi="Times New Roman" w:cs="Times New Roman"/>
                <w:color w:val="auto"/>
                <w:kern w:val="0"/>
                <w:sz w:val="24"/>
                <w:szCs w:val="20"/>
                <w:lang w:val="zh-CN"/>
              </w:rPr>
              <w:t>表。</w:t>
            </w:r>
          </w:p>
          <w:p w14:paraId="054118AF">
            <w:pPr>
              <w:pStyle w:val="58"/>
              <w:keepNext w:val="0"/>
              <w:keepLines w:val="0"/>
              <w:suppressLineNumbers w:val="0"/>
              <w:adjustRightInd/>
              <w:spacing w:before="120" w:beforeLines="50" w:beforeAutospacing="0" w:after="0" w:afterAutospacing="0" w:line="240" w:lineRule="auto"/>
              <w:ind w:left="0" w:right="0" w:firstLine="0"/>
              <w:jc w:val="center"/>
              <w:rPr>
                <w:rFonts w:hint="default" w:ascii="Times New Roman" w:hAnsi="Times New Roman" w:cs="Times New Roman"/>
                <w:b/>
                <w:color w:val="auto"/>
                <w:szCs w:val="24"/>
              </w:rPr>
            </w:pPr>
            <w:r>
              <w:rPr>
                <w:rFonts w:hint="default" w:ascii="Times New Roman" w:hAnsi="Times New Roman" w:cs="Times New Roman"/>
                <w:b/>
                <w:color w:val="auto"/>
                <w:szCs w:val="24"/>
              </w:rPr>
              <w:t>表4-</w:t>
            </w:r>
            <w:r>
              <w:rPr>
                <w:rFonts w:hint="eastAsia" w:cs="Times New Roman"/>
                <w:b/>
                <w:color w:val="auto"/>
                <w:szCs w:val="24"/>
                <w:lang w:val="en-US" w:eastAsia="zh-CN"/>
              </w:rPr>
              <w:t xml:space="preserve">10 </w:t>
            </w:r>
            <w:r>
              <w:rPr>
                <w:rFonts w:hint="eastAsia" w:ascii="Times New Roman" w:hAnsi="Times New Roman" w:cs="Times New Roman"/>
                <w:b/>
                <w:color w:val="auto"/>
                <w:szCs w:val="24"/>
              </w:rPr>
              <w:t xml:space="preserve"> </w:t>
            </w:r>
            <w:r>
              <w:rPr>
                <w:rFonts w:hint="default" w:ascii="Times New Roman" w:hAnsi="Times New Roman" w:cs="Times New Roman"/>
                <w:b/>
                <w:color w:val="auto"/>
                <w:szCs w:val="24"/>
              </w:rPr>
              <w:t xml:space="preserve"> </w:t>
            </w:r>
            <w:r>
              <w:rPr>
                <w:rFonts w:hint="eastAsia" w:ascii="Times New Roman" w:hAnsi="Times New Roman" w:cs="Times New Roman"/>
                <w:b/>
                <w:color w:val="auto"/>
                <w:szCs w:val="24"/>
              </w:rPr>
              <w:t>厂界</w:t>
            </w:r>
            <w:r>
              <w:rPr>
                <w:rFonts w:hint="default" w:ascii="Times New Roman" w:hAnsi="Times New Roman" w:cs="Times New Roman"/>
                <w:b/>
                <w:color w:val="auto"/>
                <w:szCs w:val="24"/>
              </w:rPr>
              <w:t>噪声预测结果一览表     单位：dB(A)</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351"/>
              <w:gridCol w:w="815"/>
              <w:gridCol w:w="761"/>
              <w:gridCol w:w="793"/>
              <w:gridCol w:w="745"/>
              <w:gridCol w:w="754"/>
              <w:gridCol w:w="813"/>
              <w:gridCol w:w="708"/>
              <w:gridCol w:w="722"/>
              <w:gridCol w:w="525"/>
            </w:tblGrid>
            <w:tr w14:paraId="59C9F8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064" w:type="pct"/>
                  <w:gridSpan w:val="2"/>
                  <w:vMerge w:val="restart"/>
                  <w:noWrap w:val="0"/>
                  <w:vAlign w:val="center"/>
                </w:tcPr>
                <w:p w14:paraId="0D0A7597">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预测点位置</w:t>
                  </w:r>
                </w:p>
              </w:tc>
              <w:tc>
                <w:tcPr>
                  <w:tcW w:w="1404" w:type="pct"/>
                  <w:gridSpan w:val="3"/>
                  <w:noWrap w:val="0"/>
                  <w:vAlign w:val="center"/>
                </w:tcPr>
                <w:p w14:paraId="137C2498">
                  <w:pPr>
                    <w:keepNext w:val="0"/>
                    <w:keepLines w:val="0"/>
                    <w:suppressLineNumbers w:val="0"/>
                    <w:spacing w:before="0" w:beforeAutospacing="0" w:after="0" w:afterAutospacing="0"/>
                    <w:ind w:left="0" w:right="0"/>
                    <w:jc w:val="center"/>
                    <w:rPr>
                      <w:rFonts w:hint="eastAsia" w:ascii="Times New Roman" w:hAnsi="Times New Roman" w:cs="Times New Roman"/>
                      <w:b/>
                      <w:bCs/>
                      <w:color w:val="auto"/>
                      <w:szCs w:val="21"/>
                    </w:rPr>
                  </w:pPr>
                  <w:r>
                    <w:rPr>
                      <w:rFonts w:hint="default" w:ascii="Times New Roman" w:hAnsi="Times New Roman" w:cs="Times New Roman"/>
                      <w:b/>
                      <w:bCs/>
                      <w:color w:val="auto"/>
                      <w:szCs w:val="21"/>
                    </w:rPr>
                    <w:t>昼间</w:t>
                  </w:r>
                </w:p>
              </w:tc>
              <w:tc>
                <w:tcPr>
                  <w:tcW w:w="1371" w:type="pct"/>
                  <w:gridSpan w:val="3"/>
                  <w:noWrap w:val="0"/>
                  <w:vAlign w:val="center"/>
                </w:tcPr>
                <w:p w14:paraId="5F917241">
                  <w:pPr>
                    <w:keepNext w:val="0"/>
                    <w:keepLines w:val="0"/>
                    <w:suppressLineNumbers w:val="0"/>
                    <w:spacing w:before="0" w:beforeAutospacing="0" w:after="0" w:afterAutospacing="0"/>
                    <w:ind w:left="0" w:right="0"/>
                    <w:jc w:val="center"/>
                    <w:rPr>
                      <w:rFonts w:hint="eastAsia" w:ascii="Times New Roman" w:hAnsi="Times New Roman" w:cs="Times New Roman"/>
                      <w:b/>
                      <w:bCs/>
                      <w:color w:val="auto"/>
                      <w:szCs w:val="21"/>
                    </w:rPr>
                  </w:pPr>
                  <w:r>
                    <w:rPr>
                      <w:rFonts w:hint="eastAsia" w:ascii="Times New Roman" w:hAnsi="Times New Roman" w:cs="Times New Roman"/>
                      <w:b/>
                      <w:bCs/>
                      <w:color w:val="auto"/>
                      <w:szCs w:val="21"/>
                    </w:rPr>
                    <w:t>夜</w:t>
                  </w:r>
                  <w:r>
                    <w:rPr>
                      <w:rFonts w:hint="default" w:ascii="Times New Roman" w:hAnsi="Times New Roman" w:cs="Times New Roman"/>
                      <w:b/>
                      <w:bCs/>
                      <w:color w:val="auto"/>
                      <w:szCs w:val="21"/>
                    </w:rPr>
                    <w:t>间</w:t>
                  </w:r>
                </w:p>
              </w:tc>
              <w:tc>
                <w:tcPr>
                  <w:tcW w:w="420" w:type="pct"/>
                  <w:vMerge w:val="restart"/>
                  <w:noWrap w:val="0"/>
                  <w:vAlign w:val="center"/>
                </w:tcPr>
                <w:p w14:paraId="3920B03D">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eastAsia" w:ascii="Times New Roman" w:hAnsi="Times New Roman" w:cs="Times New Roman"/>
                      <w:b/>
                      <w:bCs/>
                      <w:color w:val="auto"/>
                      <w:szCs w:val="21"/>
                    </w:rPr>
                    <w:t>昼间</w:t>
                  </w:r>
                  <w:r>
                    <w:rPr>
                      <w:rFonts w:hint="default" w:ascii="Times New Roman" w:hAnsi="Times New Roman" w:cs="Times New Roman"/>
                      <w:b/>
                      <w:bCs/>
                      <w:color w:val="auto"/>
                      <w:szCs w:val="21"/>
                    </w:rPr>
                    <w:t>标准限值</w:t>
                  </w:r>
                </w:p>
              </w:tc>
              <w:tc>
                <w:tcPr>
                  <w:tcW w:w="428" w:type="pct"/>
                  <w:vMerge w:val="restart"/>
                  <w:noWrap w:val="0"/>
                  <w:vAlign w:val="center"/>
                </w:tcPr>
                <w:p w14:paraId="7589896B">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eastAsia" w:ascii="Times New Roman" w:hAnsi="Times New Roman" w:cs="Times New Roman"/>
                      <w:b/>
                      <w:bCs/>
                      <w:color w:val="auto"/>
                      <w:szCs w:val="21"/>
                    </w:rPr>
                    <w:t>夜间</w:t>
                  </w:r>
                  <w:r>
                    <w:rPr>
                      <w:rFonts w:hint="default" w:ascii="Times New Roman" w:hAnsi="Times New Roman" w:cs="Times New Roman"/>
                      <w:b/>
                      <w:bCs/>
                      <w:color w:val="auto"/>
                      <w:szCs w:val="21"/>
                    </w:rPr>
                    <w:t>标准限值</w:t>
                  </w:r>
                </w:p>
              </w:tc>
              <w:tc>
                <w:tcPr>
                  <w:tcW w:w="311" w:type="pct"/>
                  <w:vMerge w:val="restart"/>
                  <w:noWrap w:val="0"/>
                  <w:vAlign w:val="center"/>
                </w:tcPr>
                <w:p w14:paraId="18F48054">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达标情况</w:t>
                  </w:r>
                </w:p>
              </w:tc>
            </w:tr>
            <w:tr w14:paraId="13328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064" w:type="pct"/>
                  <w:gridSpan w:val="2"/>
                  <w:vMerge w:val="continue"/>
                  <w:noWrap w:val="0"/>
                  <w:vAlign w:val="center"/>
                </w:tcPr>
                <w:p w14:paraId="67917389">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483" w:type="pct"/>
                  <w:noWrap w:val="0"/>
                  <w:vAlign w:val="center"/>
                </w:tcPr>
                <w:p w14:paraId="739A35EB">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eastAsia" w:ascii="Times New Roman" w:hAnsi="Times New Roman" w:cs="Times New Roman"/>
                      <w:b/>
                      <w:bCs/>
                      <w:color w:val="auto"/>
                      <w:szCs w:val="21"/>
                    </w:rPr>
                    <w:t>背景值</w:t>
                  </w:r>
                </w:p>
              </w:tc>
              <w:tc>
                <w:tcPr>
                  <w:tcW w:w="451" w:type="pct"/>
                  <w:noWrap w:val="0"/>
                  <w:vAlign w:val="center"/>
                </w:tcPr>
                <w:p w14:paraId="7E6AA080">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贡献值</w:t>
                  </w:r>
                </w:p>
              </w:tc>
              <w:tc>
                <w:tcPr>
                  <w:tcW w:w="469" w:type="pct"/>
                  <w:noWrap w:val="0"/>
                  <w:vAlign w:val="center"/>
                </w:tcPr>
                <w:p w14:paraId="4D7E63CA">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eastAsia" w:ascii="Times New Roman" w:hAnsi="Times New Roman" w:cs="Times New Roman"/>
                      <w:b/>
                      <w:bCs/>
                      <w:color w:val="auto"/>
                      <w:szCs w:val="21"/>
                    </w:rPr>
                    <w:t>预测值</w:t>
                  </w:r>
                </w:p>
              </w:tc>
              <w:tc>
                <w:tcPr>
                  <w:tcW w:w="442" w:type="pct"/>
                  <w:noWrap w:val="0"/>
                  <w:vAlign w:val="center"/>
                </w:tcPr>
                <w:p w14:paraId="7FC4054C">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eastAsia" w:ascii="Times New Roman" w:hAnsi="Times New Roman" w:cs="Times New Roman"/>
                      <w:b/>
                      <w:bCs/>
                      <w:color w:val="auto"/>
                      <w:szCs w:val="21"/>
                    </w:rPr>
                    <w:t>背景值</w:t>
                  </w:r>
                </w:p>
              </w:tc>
              <w:tc>
                <w:tcPr>
                  <w:tcW w:w="447" w:type="pct"/>
                  <w:noWrap w:val="0"/>
                  <w:vAlign w:val="center"/>
                </w:tcPr>
                <w:p w14:paraId="0BAFC431">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贡献值</w:t>
                  </w:r>
                </w:p>
              </w:tc>
              <w:tc>
                <w:tcPr>
                  <w:tcW w:w="482" w:type="pct"/>
                  <w:noWrap w:val="0"/>
                  <w:vAlign w:val="center"/>
                </w:tcPr>
                <w:p w14:paraId="5FBF459D">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eastAsia" w:ascii="Times New Roman" w:hAnsi="Times New Roman" w:cs="Times New Roman"/>
                      <w:b/>
                      <w:bCs/>
                      <w:color w:val="auto"/>
                      <w:szCs w:val="21"/>
                    </w:rPr>
                    <w:t>预测值</w:t>
                  </w:r>
                </w:p>
              </w:tc>
              <w:tc>
                <w:tcPr>
                  <w:tcW w:w="420" w:type="pct"/>
                  <w:vMerge w:val="continue"/>
                  <w:noWrap w:val="0"/>
                  <w:vAlign w:val="center"/>
                </w:tcPr>
                <w:p w14:paraId="7F5A08B0">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p>
              </w:tc>
              <w:tc>
                <w:tcPr>
                  <w:tcW w:w="428" w:type="pct"/>
                  <w:vMerge w:val="continue"/>
                  <w:noWrap w:val="0"/>
                  <w:vAlign w:val="center"/>
                </w:tcPr>
                <w:p w14:paraId="5A321C85">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p>
              </w:tc>
              <w:tc>
                <w:tcPr>
                  <w:tcW w:w="311" w:type="pct"/>
                  <w:vMerge w:val="continue"/>
                  <w:noWrap w:val="0"/>
                  <w:vAlign w:val="center"/>
                </w:tcPr>
                <w:p w14:paraId="69ED7EB8">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rPr>
                  </w:pPr>
                </w:p>
              </w:tc>
            </w:tr>
            <w:tr w14:paraId="1280E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263" w:type="pct"/>
                  <w:vMerge w:val="restart"/>
                  <w:noWrap w:val="0"/>
                  <w:vAlign w:val="center"/>
                </w:tcPr>
                <w:p w14:paraId="1221913D">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厂界</w:t>
                  </w:r>
                </w:p>
              </w:tc>
              <w:tc>
                <w:tcPr>
                  <w:tcW w:w="800" w:type="pct"/>
                  <w:noWrap w:val="0"/>
                  <w:vAlign w:val="center"/>
                </w:tcPr>
                <w:p w14:paraId="7E871FD6">
                  <w:pPr>
                    <w:pStyle w:val="8"/>
                    <w:keepNext w:val="0"/>
                    <w:keepLines w:val="0"/>
                    <w:suppressLineNumbers w:val="0"/>
                    <w:spacing w:before="0" w:beforeAutospacing="0" w:after="0" w:afterAutospacing="0"/>
                    <w:ind w:left="0" w:right="0"/>
                    <w:jc w:val="center"/>
                    <w:rPr>
                      <w:rFonts w:hint="default" w:ascii="Times New Roman" w:hAnsi="Times New Roman" w:cs="Times New Roman"/>
                      <w:bCs/>
                      <w:color w:val="auto"/>
                      <w:sz w:val="21"/>
                      <w:szCs w:val="21"/>
                    </w:rPr>
                  </w:pPr>
                  <w:r>
                    <w:rPr>
                      <w:rFonts w:hint="eastAsia" w:ascii="Times New Roman" w:hAnsi="Times New Roman" w:cs="Times New Roman"/>
                      <w:color w:val="auto"/>
                      <w:sz w:val="21"/>
                      <w:szCs w:val="21"/>
                    </w:rPr>
                    <w:t>厂界东侧</w:t>
                  </w:r>
                </w:p>
              </w:tc>
              <w:tc>
                <w:tcPr>
                  <w:tcW w:w="821" w:type="dxa"/>
                  <w:noWrap w:val="0"/>
                  <w:vAlign w:val="center"/>
                </w:tcPr>
                <w:p w14:paraId="45B1D6EB">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Cs/>
                      <w:color w:val="auto"/>
                      <w:szCs w:val="21"/>
                      <w:lang w:val="en-US" w:eastAsia="zh-CN"/>
                    </w:rPr>
                  </w:pPr>
                  <w:r>
                    <w:rPr>
                      <w:rFonts w:hint="eastAsia"/>
                      <w:bCs/>
                      <w:lang w:val="en-US" w:eastAsia="zh-CN"/>
                    </w:rPr>
                    <w:t>66.7</w:t>
                  </w:r>
                </w:p>
              </w:tc>
              <w:tc>
                <w:tcPr>
                  <w:tcW w:w="451" w:type="pct"/>
                  <w:noWrap w:val="0"/>
                  <w:vAlign w:val="center"/>
                </w:tcPr>
                <w:p w14:paraId="2992DB2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color w:val="auto"/>
                      <w:lang w:val="en-US" w:eastAsia="zh-CN"/>
                    </w:rPr>
                    <w:t>38.19</w:t>
                  </w:r>
                </w:p>
              </w:tc>
              <w:tc>
                <w:tcPr>
                  <w:tcW w:w="469" w:type="pct"/>
                  <w:noWrap w:val="0"/>
                  <w:vAlign w:val="center"/>
                </w:tcPr>
                <w:p w14:paraId="1BC22B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lang w:val="en-US" w:eastAsia="zh-CN"/>
                    </w:rPr>
                  </w:pPr>
                  <w:r>
                    <w:rPr>
                      <w:rFonts w:hint="eastAsia" w:cs="Times New Roman"/>
                      <w:color w:val="auto"/>
                      <w:lang w:val="en-US" w:eastAsia="zh-CN"/>
                    </w:rPr>
                    <w:t>66.71</w:t>
                  </w:r>
                </w:p>
              </w:tc>
              <w:tc>
                <w:tcPr>
                  <w:tcW w:w="751" w:type="dxa"/>
                  <w:noWrap w:val="0"/>
                  <w:vAlign w:val="center"/>
                </w:tcPr>
                <w:p w14:paraId="0CF2ADA8">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Cs/>
                      <w:color w:val="auto"/>
                      <w:szCs w:val="21"/>
                      <w:lang w:val="en-US" w:eastAsia="zh-CN"/>
                    </w:rPr>
                  </w:pPr>
                  <w:r>
                    <w:rPr>
                      <w:rFonts w:hint="eastAsia"/>
                      <w:bCs/>
                      <w:lang w:val="en-US" w:eastAsia="zh-CN"/>
                    </w:rPr>
                    <w:t>52.78</w:t>
                  </w:r>
                </w:p>
              </w:tc>
              <w:tc>
                <w:tcPr>
                  <w:tcW w:w="447" w:type="pct"/>
                  <w:noWrap w:val="0"/>
                  <w:vAlign w:val="center"/>
                </w:tcPr>
                <w:p w14:paraId="1091FA0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color w:val="auto"/>
                      <w:lang w:val="en-US" w:eastAsia="zh-CN"/>
                    </w:rPr>
                    <w:t>38.19</w:t>
                  </w:r>
                </w:p>
              </w:tc>
              <w:tc>
                <w:tcPr>
                  <w:tcW w:w="482" w:type="pct"/>
                  <w:noWrap w:val="0"/>
                  <w:vAlign w:val="center"/>
                </w:tcPr>
                <w:p w14:paraId="008FA45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52.93</w:t>
                  </w:r>
                </w:p>
              </w:tc>
              <w:tc>
                <w:tcPr>
                  <w:tcW w:w="420" w:type="pct"/>
                  <w:noWrap w:val="0"/>
                  <w:vAlign w:val="center"/>
                </w:tcPr>
                <w:p w14:paraId="57FF555F">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bCs/>
                      <w:color w:val="auto"/>
                      <w:szCs w:val="21"/>
                      <w:lang w:val="en-US" w:eastAsia="zh-CN"/>
                    </w:rPr>
                    <w:t>70</w:t>
                  </w:r>
                </w:p>
              </w:tc>
              <w:tc>
                <w:tcPr>
                  <w:tcW w:w="428" w:type="pct"/>
                  <w:noWrap w:val="0"/>
                  <w:vAlign w:val="center"/>
                </w:tcPr>
                <w:p w14:paraId="0E17F9CE">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bCs/>
                      <w:color w:val="auto"/>
                      <w:szCs w:val="21"/>
                      <w:lang w:val="en-US" w:eastAsia="zh-CN"/>
                    </w:rPr>
                    <w:t>55</w:t>
                  </w:r>
                </w:p>
              </w:tc>
              <w:tc>
                <w:tcPr>
                  <w:tcW w:w="311" w:type="pct"/>
                  <w:vMerge w:val="restart"/>
                  <w:noWrap w:val="0"/>
                  <w:vAlign w:val="center"/>
                </w:tcPr>
                <w:p w14:paraId="03EE870A">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达标</w:t>
                  </w:r>
                </w:p>
              </w:tc>
            </w:tr>
            <w:tr w14:paraId="416B02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263" w:type="pct"/>
                  <w:vMerge w:val="continue"/>
                  <w:noWrap w:val="0"/>
                  <w:vAlign w:val="center"/>
                </w:tcPr>
                <w:p w14:paraId="3BD341E4">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p>
              </w:tc>
              <w:tc>
                <w:tcPr>
                  <w:tcW w:w="800" w:type="pct"/>
                  <w:noWrap w:val="0"/>
                  <w:vAlign w:val="center"/>
                </w:tcPr>
                <w:p w14:paraId="15B7406C">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color w:val="auto"/>
                      <w:szCs w:val="21"/>
                    </w:rPr>
                    <w:t>厂界</w:t>
                  </w:r>
                  <w:r>
                    <w:rPr>
                      <w:rFonts w:hint="eastAsia" w:ascii="Times New Roman" w:hAnsi="Times New Roman" w:cs="Times New Roman"/>
                      <w:color w:val="auto"/>
                      <w:szCs w:val="21"/>
                    </w:rPr>
                    <w:t>南</w:t>
                  </w:r>
                  <w:r>
                    <w:rPr>
                      <w:rFonts w:hint="default" w:ascii="Times New Roman" w:hAnsi="Times New Roman" w:cs="Times New Roman"/>
                      <w:color w:val="auto"/>
                      <w:szCs w:val="21"/>
                    </w:rPr>
                    <w:t>侧</w:t>
                  </w:r>
                </w:p>
              </w:tc>
              <w:tc>
                <w:tcPr>
                  <w:tcW w:w="821" w:type="dxa"/>
                  <w:noWrap w:val="0"/>
                  <w:vAlign w:val="center"/>
                </w:tcPr>
                <w:p w14:paraId="21B1C342">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Cs/>
                      <w:color w:val="auto"/>
                      <w:szCs w:val="21"/>
                      <w:lang w:val="en-US" w:eastAsia="zh-CN"/>
                    </w:rPr>
                  </w:pPr>
                  <w:r>
                    <w:rPr>
                      <w:rFonts w:hint="eastAsia"/>
                      <w:bCs/>
                    </w:rPr>
                    <w:t>53</w:t>
                  </w:r>
                  <w:r>
                    <w:rPr>
                      <w:rFonts w:hint="eastAsia"/>
                      <w:bCs/>
                      <w:lang w:val="en-US" w:eastAsia="zh-CN"/>
                    </w:rPr>
                    <w:t>.31</w:t>
                  </w:r>
                </w:p>
              </w:tc>
              <w:tc>
                <w:tcPr>
                  <w:tcW w:w="451" w:type="pct"/>
                  <w:noWrap w:val="0"/>
                  <w:vAlign w:val="center"/>
                </w:tcPr>
                <w:p w14:paraId="6065E22E">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color w:val="auto"/>
                      <w:lang w:val="en-US" w:eastAsia="zh-CN"/>
                    </w:rPr>
                    <w:t>38.45</w:t>
                  </w:r>
                </w:p>
              </w:tc>
              <w:tc>
                <w:tcPr>
                  <w:tcW w:w="469" w:type="pct"/>
                  <w:noWrap w:val="0"/>
                  <w:vAlign w:val="center"/>
                </w:tcPr>
                <w:p w14:paraId="22ED7C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rPr>
                    <w:t>53.</w:t>
                  </w:r>
                  <w:r>
                    <w:rPr>
                      <w:rFonts w:hint="eastAsia" w:cs="Times New Roman"/>
                      <w:color w:val="auto"/>
                      <w:lang w:val="en-US" w:eastAsia="zh-CN"/>
                    </w:rPr>
                    <w:t>45</w:t>
                  </w:r>
                </w:p>
              </w:tc>
              <w:tc>
                <w:tcPr>
                  <w:tcW w:w="751" w:type="dxa"/>
                  <w:noWrap w:val="0"/>
                  <w:vAlign w:val="center"/>
                </w:tcPr>
                <w:p w14:paraId="6341A345">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Cs/>
                      <w:color w:val="auto"/>
                      <w:szCs w:val="21"/>
                      <w:lang w:val="en-US" w:eastAsia="zh-CN"/>
                    </w:rPr>
                  </w:pPr>
                  <w:r>
                    <w:rPr>
                      <w:rFonts w:hint="eastAsia"/>
                      <w:bCs/>
                      <w:lang w:val="en-US" w:eastAsia="zh-CN"/>
                    </w:rPr>
                    <w:t>43.88</w:t>
                  </w:r>
                </w:p>
              </w:tc>
              <w:tc>
                <w:tcPr>
                  <w:tcW w:w="447" w:type="pct"/>
                  <w:noWrap w:val="0"/>
                  <w:vAlign w:val="center"/>
                </w:tcPr>
                <w:p w14:paraId="2C9EC70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color w:val="auto"/>
                      <w:lang w:val="en-US" w:eastAsia="zh-CN"/>
                    </w:rPr>
                    <w:t>38.45</w:t>
                  </w:r>
                </w:p>
              </w:tc>
              <w:tc>
                <w:tcPr>
                  <w:tcW w:w="482" w:type="pct"/>
                  <w:noWrap w:val="0"/>
                  <w:vAlign w:val="center"/>
                </w:tcPr>
                <w:p w14:paraId="4FC0B05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44.98</w:t>
                  </w:r>
                </w:p>
              </w:tc>
              <w:tc>
                <w:tcPr>
                  <w:tcW w:w="420" w:type="pct"/>
                  <w:noWrap w:val="0"/>
                  <w:vAlign w:val="center"/>
                </w:tcPr>
                <w:p w14:paraId="39BF0552">
                  <w:pPr>
                    <w:keepNext w:val="0"/>
                    <w:keepLines w:val="0"/>
                    <w:suppressLineNumbers w:val="0"/>
                    <w:spacing w:before="0" w:beforeAutospacing="0" w:after="0" w:afterAutospacing="0"/>
                    <w:ind w:left="0" w:right="0"/>
                    <w:jc w:val="center"/>
                    <w:rPr>
                      <w:rFonts w:hint="eastAsia" w:ascii="Times New Roman" w:hAnsi="Times New Roman" w:cs="Times New Roman"/>
                      <w:bCs/>
                      <w:color w:val="auto"/>
                      <w:szCs w:val="21"/>
                    </w:rPr>
                  </w:pPr>
                  <w:r>
                    <w:rPr>
                      <w:rFonts w:hint="eastAsia" w:ascii="Times New Roman" w:hAnsi="Times New Roman" w:cs="Times New Roman"/>
                      <w:bCs/>
                      <w:color w:val="auto"/>
                      <w:szCs w:val="21"/>
                    </w:rPr>
                    <w:t>60</w:t>
                  </w:r>
                </w:p>
              </w:tc>
              <w:tc>
                <w:tcPr>
                  <w:tcW w:w="428" w:type="pct"/>
                  <w:noWrap w:val="0"/>
                  <w:vAlign w:val="center"/>
                </w:tcPr>
                <w:p w14:paraId="5CD2BC4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bCs/>
                      <w:color w:val="auto"/>
                      <w:szCs w:val="21"/>
                    </w:rPr>
                    <w:t>50</w:t>
                  </w:r>
                </w:p>
              </w:tc>
              <w:tc>
                <w:tcPr>
                  <w:tcW w:w="311" w:type="pct"/>
                  <w:vMerge w:val="continue"/>
                  <w:noWrap w:val="0"/>
                  <w:vAlign w:val="center"/>
                </w:tcPr>
                <w:p w14:paraId="73CCAAE0">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p>
              </w:tc>
            </w:tr>
            <w:tr w14:paraId="0A244F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263" w:type="pct"/>
                  <w:vMerge w:val="continue"/>
                  <w:noWrap w:val="0"/>
                  <w:vAlign w:val="center"/>
                </w:tcPr>
                <w:p w14:paraId="27F800AE">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p>
              </w:tc>
              <w:tc>
                <w:tcPr>
                  <w:tcW w:w="800" w:type="pct"/>
                  <w:noWrap w:val="0"/>
                  <w:vAlign w:val="center"/>
                </w:tcPr>
                <w:p w14:paraId="1591C8C0">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eastAsia" w:ascii="Times New Roman" w:hAnsi="Times New Roman" w:cs="Times New Roman"/>
                      <w:color w:val="auto"/>
                      <w:szCs w:val="21"/>
                    </w:rPr>
                    <w:t>厂界西侧</w:t>
                  </w:r>
                </w:p>
              </w:tc>
              <w:tc>
                <w:tcPr>
                  <w:tcW w:w="821" w:type="dxa"/>
                  <w:noWrap w:val="0"/>
                  <w:vAlign w:val="center"/>
                </w:tcPr>
                <w:p w14:paraId="71388227">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Cs/>
                      <w:color w:val="auto"/>
                      <w:szCs w:val="21"/>
                      <w:lang w:val="en-US" w:eastAsia="zh-CN"/>
                    </w:rPr>
                  </w:pPr>
                  <w:r>
                    <w:rPr>
                      <w:rFonts w:hint="eastAsia" w:cs="Times New Roman"/>
                      <w:bCs/>
                      <w:color w:val="auto"/>
                      <w:szCs w:val="21"/>
                      <w:lang w:val="en-US" w:eastAsia="zh-CN"/>
                    </w:rPr>
                    <w:t>55.02</w:t>
                  </w:r>
                </w:p>
              </w:tc>
              <w:tc>
                <w:tcPr>
                  <w:tcW w:w="451" w:type="pct"/>
                  <w:noWrap w:val="0"/>
                  <w:vAlign w:val="center"/>
                </w:tcPr>
                <w:p w14:paraId="5F00625A">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bCs/>
                      <w:color w:val="auto"/>
                      <w:szCs w:val="21"/>
                      <w:lang w:val="en-US" w:eastAsia="zh-CN"/>
                    </w:rPr>
                    <w:t>44.02</w:t>
                  </w:r>
                </w:p>
              </w:tc>
              <w:tc>
                <w:tcPr>
                  <w:tcW w:w="469" w:type="pct"/>
                  <w:noWrap w:val="0"/>
                  <w:vAlign w:val="center"/>
                </w:tcPr>
                <w:p w14:paraId="24E4D3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lang w:val="en-US" w:eastAsia="zh-CN"/>
                    </w:rPr>
                  </w:pPr>
                  <w:r>
                    <w:rPr>
                      <w:rFonts w:hint="eastAsia" w:cs="Times New Roman"/>
                      <w:color w:val="auto"/>
                      <w:lang w:val="en-US" w:eastAsia="zh-CN"/>
                    </w:rPr>
                    <w:t>55.35</w:t>
                  </w:r>
                </w:p>
              </w:tc>
              <w:tc>
                <w:tcPr>
                  <w:tcW w:w="751" w:type="dxa"/>
                  <w:noWrap w:val="0"/>
                  <w:vAlign w:val="center"/>
                </w:tcPr>
                <w:p w14:paraId="056EE6A8">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bCs/>
                      <w:color w:val="auto"/>
                      <w:szCs w:val="21"/>
                    </w:rPr>
                  </w:pPr>
                  <w:r>
                    <w:rPr>
                      <w:rFonts w:hint="eastAsia"/>
                      <w:bCs/>
                      <w:lang w:val="en-US" w:eastAsia="zh-CN"/>
                    </w:rPr>
                    <w:t>44.02</w:t>
                  </w:r>
                </w:p>
              </w:tc>
              <w:tc>
                <w:tcPr>
                  <w:tcW w:w="760" w:type="dxa"/>
                  <w:noWrap w:val="0"/>
                  <w:vAlign w:val="center"/>
                </w:tcPr>
                <w:p w14:paraId="13AE07EF">
                  <w:pPr>
                    <w:keepNext w:val="0"/>
                    <w:keepLines w:val="0"/>
                    <w:suppressLineNumbers w:val="0"/>
                    <w:autoSpaceDE w:val="0"/>
                    <w:autoSpaceDN w:val="0"/>
                    <w:adjustRightInd w:val="0"/>
                    <w:spacing w:before="0" w:beforeAutospacing="0" w:after="0" w:afterAutospacing="0"/>
                    <w:ind w:left="0" w:leftChars="0" w:right="0" w:rightChars="0"/>
                    <w:jc w:val="center"/>
                    <w:rPr>
                      <w:rFonts w:hint="default" w:ascii="Times New Roman" w:hAnsi="Times New Roman" w:cs="Times New Roman"/>
                      <w:bCs/>
                      <w:color w:val="auto"/>
                      <w:szCs w:val="21"/>
                    </w:rPr>
                  </w:pPr>
                  <w:r>
                    <w:rPr>
                      <w:rFonts w:hint="eastAsia" w:cs="Times New Roman"/>
                      <w:color w:val="auto"/>
                      <w:lang w:val="en-US" w:eastAsia="zh-CN"/>
                    </w:rPr>
                    <w:t>44.02</w:t>
                  </w:r>
                </w:p>
              </w:tc>
              <w:tc>
                <w:tcPr>
                  <w:tcW w:w="819" w:type="dxa"/>
                  <w:noWrap w:val="0"/>
                  <w:vAlign w:val="center"/>
                </w:tcPr>
                <w:p w14:paraId="083A51C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color w:val="auto"/>
                    </w:rPr>
                  </w:pPr>
                  <w:r>
                    <w:rPr>
                      <w:rFonts w:hint="eastAsia" w:cs="Times New Roman"/>
                      <w:color w:val="auto"/>
                      <w:lang w:val="en-US" w:eastAsia="zh-CN"/>
                    </w:rPr>
                    <w:t>47.03</w:t>
                  </w:r>
                </w:p>
              </w:tc>
              <w:tc>
                <w:tcPr>
                  <w:tcW w:w="420" w:type="pct"/>
                  <w:noWrap w:val="0"/>
                  <w:vAlign w:val="center"/>
                </w:tcPr>
                <w:p w14:paraId="325614C7">
                  <w:pPr>
                    <w:keepNext w:val="0"/>
                    <w:keepLines w:val="0"/>
                    <w:suppressLineNumbers w:val="0"/>
                    <w:spacing w:before="0" w:beforeAutospacing="0" w:after="0" w:afterAutospacing="0"/>
                    <w:ind w:left="0" w:right="0"/>
                    <w:jc w:val="center"/>
                    <w:rPr>
                      <w:rFonts w:hint="eastAsia" w:ascii="Times New Roman" w:hAnsi="Times New Roman" w:cs="Times New Roman"/>
                      <w:bCs/>
                      <w:color w:val="auto"/>
                      <w:szCs w:val="21"/>
                    </w:rPr>
                  </w:pPr>
                  <w:r>
                    <w:rPr>
                      <w:rFonts w:hint="eastAsia" w:ascii="Times New Roman" w:hAnsi="Times New Roman" w:cs="Times New Roman"/>
                      <w:bCs/>
                      <w:color w:val="auto"/>
                      <w:szCs w:val="21"/>
                    </w:rPr>
                    <w:t>60</w:t>
                  </w:r>
                </w:p>
              </w:tc>
              <w:tc>
                <w:tcPr>
                  <w:tcW w:w="428" w:type="pct"/>
                  <w:noWrap w:val="0"/>
                  <w:vAlign w:val="center"/>
                </w:tcPr>
                <w:p w14:paraId="3C2C39C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bCs/>
                      <w:color w:val="auto"/>
                      <w:szCs w:val="21"/>
                    </w:rPr>
                    <w:t>50</w:t>
                  </w:r>
                </w:p>
              </w:tc>
              <w:tc>
                <w:tcPr>
                  <w:tcW w:w="311" w:type="pct"/>
                  <w:vMerge w:val="continue"/>
                  <w:noWrap w:val="0"/>
                  <w:vAlign w:val="center"/>
                </w:tcPr>
                <w:p w14:paraId="5928AAF2">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p>
              </w:tc>
            </w:tr>
            <w:tr w14:paraId="59A381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263" w:type="pct"/>
                  <w:vMerge w:val="continue"/>
                  <w:noWrap w:val="0"/>
                  <w:vAlign w:val="center"/>
                </w:tcPr>
                <w:p w14:paraId="67D4377A">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p>
              </w:tc>
              <w:tc>
                <w:tcPr>
                  <w:tcW w:w="800" w:type="pct"/>
                  <w:noWrap w:val="0"/>
                  <w:vAlign w:val="center"/>
                </w:tcPr>
                <w:p w14:paraId="71F2ECC1">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eastAsia" w:ascii="Times New Roman" w:hAnsi="Times New Roman" w:cs="Times New Roman"/>
                      <w:color w:val="auto"/>
                      <w:szCs w:val="21"/>
                    </w:rPr>
                    <w:t>厂界北侧</w:t>
                  </w:r>
                </w:p>
              </w:tc>
              <w:tc>
                <w:tcPr>
                  <w:tcW w:w="821" w:type="dxa"/>
                  <w:noWrap w:val="0"/>
                  <w:vAlign w:val="center"/>
                </w:tcPr>
                <w:p w14:paraId="60156CA4">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Cs/>
                      <w:color w:val="auto"/>
                      <w:szCs w:val="21"/>
                      <w:lang w:val="en-US" w:eastAsia="zh-CN"/>
                    </w:rPr>
                  </w:pPr>
                  <w:r>
                    <w:rPr>
                      <w:rFonts w:hint="eastAsia"/>
                      <w:bCs/>
                      <w:lang w:val="en-US" w:eastAsia="zh-CN"/>
                    </w:rPr>
                    <w:t>55.01</w:t>
                  </w:r>
                </w:p>
              </w:tc>
              <w:tc>
                <w:tcPr>
                  <w:tcW w:w="451" w:type="pct"/>
                  <w:noWrap w:val="0"/>
                  <w:vAlign w:val="center"/>
                </w:tcPr>
                <w:p w14:paraId="5DD82B6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color w:val="auto"/>
                      <w:lang w:val="en-US" w:eastAsia="zh-CN"/>
                    </w:rPr>
                    <w:t>45.82</w:t>
                  </w:r>
                </w:p>
              </w:tc>
              <w:tc>
                <w:tcPr>
                  <w:tcW w:w="469" w:type="pct"/>
                  <w:noWrap w:val="0"/>
                  <w:vAlign w:val="center"/>
                </w:tcPr>
                <w:p w14:paraId="19DD6E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lang w:val="en-US" w:eastAsia="zh-CN"/>
                    </w:rPr>
                  </w:pPr>
                  <w:r>
                    <w:rPr>
                      <w:rFonts w:hint="eastAsia" w:cs="Times New Roman"/>
                      <w:color w:val="auto"/>
                      <w:lang w:val="en-US" w:eastAsia="zh-CN"/>
                    </w:rPr>
                    <w:t>55.1</w:t>
                  </w:r>
                </w:p>
              </w:tc>
              <w:tc>
                <w:tcPr>
                  <w:tcW w:w="751" w:type="dxa"/>
                  <w:noWrap w:val="0"/>
                  <w:vAlign w:val="center"/>
                </w:tcPr>
                <w:p w14:paraId="1FC24FD9">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bCs/>
                      <w:color w:val="auto"/>
                      <w:szCs w:val="21"/>
                      <w:lang w:val="en-US" w:eastAsia="zh-CN"/>
                    </w:rPr>
                  </w:pPr>
                  <w:r>
                    <w:rPr>
                      <w:rFonts w:hint="eastAsia"/>
                      <w:bCs/>
                      <w:lang w:val="en-US" w:eastAsia="zh-CN"/>
                    </w:rPr>
                    <w:t>43.84</w:t>
                  </w:r>
                </w:p>
              </w:tc>
              <w:tc>
                <w:tcPr>
                  <w:tcW w:w="447" w:type="pct"/>
                  <w:noWrap w:val="0"/>
                  <w:vAlign w:val="center"/>
                </w:tcPr>
                <w:p w14:paraId="5C6430C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color w:val="auto"/>
                      <w:lang w:val="en-US" w:eastAsia="zh-CN"/>
                    </w:rPr>
                    <w:t>45.82</w:t>
                  </w:r>
                </w:p>
              </w:tc>
              <w:tc>
                <w:tcPr>
                  <w:tcW w:w="482" w:type="pct"/>
                  <w:noWrap w:val="0"/>
                  <w:vAlign w:val="center"/>
                </w:tcPr>
                <w:p w14:paraId="18F4D53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47.95</w:t>
                  </w:r>
                </w:p>
              </w:tc>
              <w:tc>
                <w:tcPr>
                  <w:tcW w:w="420" w:type="pct"/>
                  <w:noWrap w:val="0"/>
                  <w:vAlign w:val="center"/>
                </w:tcPr>
                <w:p w14:paraId="42C58EE5">
                  <w:pPr>
                    <w:keepNext w:val="0"/>
                    <w:keepLines w:val="0"/>
                    <w:suppressLineNumbers w:val="0"/>
                    <w:spacing w:before="0" w:beforeAutospacing="0" w:after="0" w:afterAutospacing="0"/>
                    <w:ind w:left="0" w:right="0"/>
                    <w:jc w:val="center"/>
                    <w:rPr>
                      <w:rFonts w:hint="eastAsia" w:ascii="Times New Roman" w:hAnsi="Times New Roman" w:cs="Times New Roman"/>
                      <w:bCs/>
                      <w:color w:val="auto"/>
                      <w:szCs w:val="21"/>
                    </w:rPr>
                  </w:pPr>
                  <w:r>
                    <w:rPr>
                      <w:rFonts w:hint="eastAsia" w:ascii="Times New Roman" w:hAnsi="Times New Roman" w:cs="Times New Roman"/>
                      <w:bCs/>
                      <w:color w:val="auto"/>
                      <w:szCs w:val="21"/>
                    </w:rPr>
                    <w:t>60</w:t>
                  </w:r>
                </w:p>
              </w:tc>
              <w:tc>
                <w:tcPr>
                  <w:tcW w:w="428" w:type="pct"/>
                  <w:noWrap w:val="0"/>
                  <w:vAlign w:val="center"/>
                </w:tcPr>
                <w:p w14:paraId="35C5E13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bCs/>
                      <w:color w:val="auto"/>
                      <w:szCs w:val="21"/>
                    </w:rPr>
                    <w:t>50</w:t>
                  </w:r>
                </w:p>
              </w:tc>
              <w:tc>
                <w:tcPr>
                  <w:tcW w:w="311" w:type="pct"/>
                  <w:vMerge w:val="continue"/>
                  <w:noWrap w:val="0"/>
                  <w:vAlign w:val="center"/>
                </w:tcPr>
                <w:p w14:paraId="4BD67D62">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p>
              </w:tc>
            </w:tr>
            <w:tr w14:paraId="4250F4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17" w:hRule="atLeast"/>
                <w:jc w:val="center"/>
              </w:trPr>
              <w:tc>
                <w:tcPr>
                  <w:tcW w:w="263" w:type="pct"/>
                  <w:noWrap w:val="0"/>
                  <w:vAlign w:val="center"/>
                </w:tcPr>
                <w:p w14:paraId="6B1A4D81">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eastAsia" w:ascii="Times New Roman" w:hAnsi="Times New Roman" w:cs="Times New Roman"/>
                      <w:bCs/>
                      <w:color w:val="auto"/>
                      <w:szCs w:val="21"/>
                    </w:rPr>
                    <w:t>敏感点</w:t>
                  </w:r>
                </w:p>
              </w:tc>
              <w:tc>
                <w:tcPr>
                  <w:tcW w:w="800" w:type="pct"/>
                  <w:noWrap w:val="0"/>
                  <w:vAlign w:val="center"/>
                </w:tcPr>
                <w:p w14:paraId="6CD3EB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cs="Times New Roman"/>
                      <w:bCs/>
                      <w:color w:val="auto"/>
                      <w:szCs w:val="21"/>
                      <w:lang w:val="en-US" w:eastAsia="zh-CN"/>
                    </w:rPr>
                    <w:t>南侧五一村</w:t>
                  </w:r>
                </w:p>
              </w:tc>
              <w:tc>
                <w:tcPr>
                  <w:tcW w:w="821" w:type="dxa"/>
                  <w:noWrap w:val="0"/>
                  <w:vAlign w:val="center"/>
                </w:tcPr>
                <w:p w14:paraId="5B6A442B">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1"/>
                      <w:szCs w:val="21"/>
                      <w:lang w:val="en-US" w:eastAsia="zh-CN"/>
                    </w:rPr>
                  </w:pPr>
                  <w:r>
                    <w:rPr>
                      <w:rFonts w:hint="eastAsia"/>
                      <w:bCs/>
                      <w:lang w:val="en-US" w:eastAsia="zh-CN"/>
                    </w:rPr>
                    <w:t>53.95</w:t>
                  </w:r>
                </w:p>
              </w:tc>
              <w:tc>
                <w:tcPr>
                  <w:tcW w:w="451" w:type="pct"/>
                  <w:noWrap w:val="0"/>
                  <w:vAlign w:val="center"/>
                </w:tcPr>
                <w:p w14:paraId="1E8946F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37.0</w:t>
                  </w:r>
                </w:p>
              </w:tc>
              <w:tc>
                <w:tcPr>
                  <w:tcW w:w="469" w:type="pct"/>
                  <w:noWrap w:val="0"/>
                  <w:vAlign w:val="center"/>
                </w:tcPr>
                <w:p w14:paraId="3E13875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lang w:val="en-US" w:eastAsia="zh-CN"/>
                    </w:rPr>
                  </w:pPr>
                  <w:r>
                    <w:rPr>
                      <w:rFonts w:hint="eastAsia" w:ascii="Times New Roman" w:hAnsi="Times New Roman" w:cs="Times New Roman"/>
                      <w:color w:val="auto"/>
                    </w:rPr>
                    <w:t>54.0</w:t>
                  </w:r>
                  <w:r>
                    <w:rPr>
                      <w:rFonts w:hint="eastAsia" w:cs="Times New Roman"/>
                      <w:color w:val="auto"/>
                      <w:lang w:val="en-US" w:eastAsia="zh-CN"/>
                    </w:rPr>
                    <w:t>3</w:t>
                  </w:r>
                </w:p>
              </w:tc>
              <w:tc>
                <w:tcPr>
                  <w:tcW w:w="751" w:type="dxa"/>
                  <w:noWrap w:val="0"/>
                  <w:vAlign w:val="center"/>
                </w:tcPr>
                <w:p w14:paraId="5C91D5BC">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eastAsia="宋体" w:cs="Times New Roman"/>
                      <w:color w:val="auto"/>
                      <w:kern w:val="1"/>
                      <w:szCs w:val="21"/>
                      <w:lang w:val="en-US" w:eastAsia="zh-CN"/>
                    </w:rPr>
                  </w:pPr>
                  <w:r>
                    <w:rPr>
                      <w:rFonts w:hint="eastAsia"/>
                      <w:bCs/>
                    </w:rPr>
                    <w:t>43</w:t>
                  </w:r>
                  <w:r>
                    <w:rPr>
                      <w:rFonts w:hint="eastAsia"/>
                      <w:bCs/>
                      <w:lang w:val="en-US" w:eastAsia="zh-CN"/>
                    </w:rPr>
                    <w:t>.07</w:t>
                  </w:r>
                </w:p>
              </w:tc>
              <w:tc>
                <w:tcPr>
                  <w:tcW w:w="447" w:type="pct"/>
                  <w:noWrap w:val="0"/>
                  <w:vAlign w:val="center"/>
                </w:tcPr>
                <w:p w14:paraId="668C1FA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37.0</w:t>
                  </w:r>
                </w:p>
              </w:tc>
              <w:tc>
                <w:tcPr>
                  <w:tcW w:w="482" w:type="pct"/>
                  <w:noWrap w:val="0"/>
                  <w:vAlign w:val="center"/>
                </w:tcPr>
                <w:p w14:paraId="05A9959E">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eastAsia" w:cs="Times New Roman"/>
                      <w:color w:val="auto"/>
                      <w:lang w:val="en-US" w:eastAsia="zh-CN"/>
                    </w:rPr>
                    <w:t>44.03</w:t>
                  </w:r>
                </w:p>
              </w:tc>
              <w:tc>
                <w:tcPr>
                  <w:tcW w:w="420" w:type="pct"/>
                  <w:noWrap w:val="0"/>
                  <w:vAlign w:val="center"/>
                </w:tcPr>
                <w:p w14:paraId="2C38164E">
                  <w:pPr>
                    <w:keepNext w:val="0"/>
                    <w:keepLines w:val="0"/>
                    <w:suppressLineNumbers w:val="0"/>
                    <w:spacing w:before="0" w:beforeAutospacing="0" w:after="0" w:afterAutospacing="0"/>
                    <w:ind w:left="0" w:right="0"/>
                    <w:jc w:val="center"/>
                    <w:rPr>
                      <w:rFonts w:hint="eastAsia" w:ascii="Times New Roman" w:hAnsi="Times New Roman" w:cs="Times New Roman"/>
                      <w:bCs/>
                      <w:color w:val="auto"/>
                      <w:szCs w:val="21"/>
                    </w:rPr>
                  </w:pPr>
                  <w:r>
                    <w:rPr>
                      <w:rFonts w:hint="eastAsia" w:ascii="Times New Roman" w:hAnsi="Times New Roman" w:cs="Times New Roman"/>
                      <w:bCs/>
                      <w:color w:val="auto"/>
                      <w:szCs w:val="21"/>
                    </w:rPr>
                    <w:t>60</w:t>
                  </w:r>
                </w:p>
              </w:tc>
              <w:tc>
                <w:tcPr>
                  <w:tcW w:w="428" w:type="pct"/>
                  <w:noWrap w:val="0"/>
                  <w:vAlign w:val="center"/>
                </w:tcPr>
                <w:p w14:paraId="0E7E6E1E">
                  <w:pPr>
                    <w:keepNext w:val="0"/>
                    <w:keepLines w:val="0"/>
                    <w:suppressLineNumbers w:val="0"/>
                    <w:spacing w:before="0" w:beforeAutospacing="0" w:after="0" w:afterAutospacing="0"/>
                    <w:ind w:left="0" w:right="0"/>
                    <w:jc w:val="center"/>
                    <w:rPr>
                      <w:rFonts w:hint="eastAsia" w:ascii="Times New Roman" w:hAnsi="Times New Roman" w:cs="Times New Roman"/>
                      <w:bCs/>
                      <w:color w:val="auto"/>
                      <w:szCs w:val="21"/>
                    </w:rPr>
                  </w:pPr>
                  <w:r>
                    <w:rPr>
                      <w:rFonts w:hint="eastAsia" w:ascii="Times New Roman" w:hAnsi="Times New Roman" w:cs="Times New Roman"/>
                      <w:bCs/>
                      <w:color w:val="auto"/>
                      <w:szCs w:val="21"/>
                    </w:rPr>
                    <w:t>50</w:t>
                  </w:r>
                </w:p>
              </w:tc>
              <w:tc>
                <w:tcPr>
                  <w:tcW w:w="311" w:type="pct"/>
                  <w:vMerge w:val="continue"/>
                  <w:noWrap w:val="0"/>
                  <w:vAlign w:val="center"/>
                </w:tcPr>
                <w:p w14:paraId="5117BF9C">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p>
              </w:tc>
            </w:tr>
          </w:tbl>
          <w:p w14:paraId="045FB5ED">
            <w:pPr>
              <w:keepNext w:val="0"/>
              <w:keepLines w:val="0"/>
              <w:suppressLineNumbers w:val="0"/>
              <w:tabs>
                <w:tab w:val="left" w:pos="2582"/>
              </w:tabs>
              <w:spacing w:before="0" w:beforeAutospacing="0" w:after="0" w:afterAutospacing="0" w:line="360" w:lineRule="auto"/>
              <w:ind w:left="0" w:right="0" w:firstLine="420" w:firstLineChars="200"/>
              <w:rPr>
                <w:rFonts w:hint="eastAsia" w:ascii="Times New Roman" w:hAnsi="Times New Roman" w:cs="Times New Roman"/>
                <w:bCs/>
                <w:color w:val="auto"/>
                <w:szCs w:val="21"/>
              </w:rPr>
            </w:pPr>
            <w:r>
              <w:rPr>
                <w:rFonts w:hint="eastAsia" w:ascii="Times New Roman" w:hAnsi="Times New Roman" w:cs="Times New Roman"/>
                <w:bCs/>
                <w:color w:val="auto"/>
                <w:szCs w:val="21"/>
              </w:rPr>
              <w:t>注：厂界</w:t>
            </w:r>
            <w:r>
              <w:rPr>
                <w:rFonts w:hint="eastAsia" w:cs="Times New Roman"/>
                <w:bCs/>
                <w:color w:val="auto"/>
                <w:szCs w:val="21"/>
                <w:lang w:val="en-US" w:eastAsia="zh-CN"/>
              </w:rPr>
              <w:t>和</w:t>
            </w:r>
            <w:r>
              <w:rPr>
                <w:rFonts w:hint="eastAsia" w:ascii="Times New Roman" w:hAnsi="Times New Roman" w:cs="Times New Roman"/>
                <w:bCs/>
                <w:color w:val="auto"/>
                <w:szCs w:val="21"/>
              </w:rPr>
              <w:t>敏感点背景值来源于《</w:t>
            </w:r>
            <w:r>
              <w:rPr>
                <w:rFonts w:hint="eastAsia" w:ascii="Times New Roman" w:hAnsi="Times New Roman" w:cs="Times New Roman"/>
                <w:bCs/>
                <w:color w:val="auto"/>
                <w:kern w:val="0"/>
                <w:szCs w:val="21"/>
                <w:lang w:eastAsia="zh-CN"/>
              </w:rPr>
              <w:t>西安唐都纸品有限责任公司唐都纸品本册印制改扩建项目</w:t>
            </w:r>
            <w:r>
              <w:rPr>
                <w:rFonts w:hint="eastAsia" w:ascii="Times New Roman" w:hAnsi="Times New Roman" w:cs="Times New Roman"/>
                <w:bCs/>
                <w:color w:val="auto"/>
                <w:kern w:val="0"/>
                <w:szCs w:val="21"/>
              </w:rPr>
              <w:t>环境质量</w:t>
            </w:r>
            <w:r>
              <w:rPr>
                <w:rFonts w:hint="eastAsia" w:ascii="Times New Roman" w:hAnsi="Times New Roman" w:cs="Times New Roman"/>
                <w:bCs/>
                <w:color w:val="auto"/>
                <w:szCs w:val="21"/>
              </w:rPr>
              <w:t>现状监测报告》（见附件</w:t>
            </w:r>
            <w:r>
              <w:rPr>
                <w:rFonts w:hint="eastAsia" w:cs="Times New Roman"/>
                <w:bCs/>
                <w:color w:val="auto"/>
                <w:szCs w:val="21"/>
                <w:lang w:val="en-US" w:eastAsia="zh-CN"/>
              </w:rPr>
              <w:t>10</w:t>
            </w:r>
            <w:r>
              <w:rPr>
                <w:rFonts w:hint="eastAsia" w:ascii="Times New Roman" w:hAnsi="Times New Roman" w:cs="Times New Roman"/>
                <w:bCs/>
                <w:color w:val="auto"/>
                <w:szCs w:val="21"/>
              </w:rPr>
              <w:t>）。</w:t>
            </w:r>
          </w:p>
          <w:p w14:paraId="579ABC82">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根据预测结果可知，项目运营期间，</w:t>
            </w:r>
            <w:r>
              <w:rPr>
                <w:rFonts w:hint="eastAsia" w:cs="Times New Roman"/>
                <w:color w:val="auto"/>
                <w:sz w:val="24"/>
                <w:lang w:val="en-US" w:eastAsia="zh-CN"/>
              </w:rPr>
              <w:t>项目北、西、南厂界</w:t>
            </w:r>
            <w:r>
              <w:rPr>
                <w:rFonts w:hint="eastAsia" w:ascii="Times New Roman" w:hAnsi="Times New Roman" w:cs="Times New Roman"/>
                <w:color w:val="auto"/>
                <w:sz w:val="24"/>
              </w:rPr>
              <w:t>噪声昼夜间预测值达到《工业企业厂界环境噪声排放标准》（GB12348-2008）2类标准要求，</w:t>
            </w:r>
            <w:r>
              <w:rPr>
                <w:rFonts w:hint="eastAsia" w:cs="Times New Roman"/>
                <w:color w:val="auto"/>
                <w:sz w:val="24"/>
                <w:lang w:val="en-US" w:eastAsia="zh-CN"/>
              </w:rPr>
              <w:t>东厂界</w:t>
            </w:r>
            <w:r>
              <w:rPr>
                <w:rFonts w:hint="eastAsia" w:ascii="Times New Roman" w:hAnsi="Times New Roman" w:cs="Times New Roman"/>
                <w:color w:val="auto"/>
                <w:sz w:val="24"/>
              </w:rPr>
              <w:t>噪声昼夜间预测值达到《工业企业厂界环境噪声排放标准》（GB12348-2008）</w:t>
            </w:r>
            <w:r>
              <w:rPr>
                <w:rFonts w:hint="eastAsia" w:cs="Times New Roman"/>
                <w:color w:val="auto"/>
                <w:sz w:val="24"/>
                <w:lang w:val="en-US" w:eastAsia="zh-CN"/>
              </w:rPr>
              <w:t>4</w:t>
            </w:r>
            <w:r>
              <w:rPr>
                <w:rFonts w:hint="eastAsia" w:ascii="Times New Roman" w:hAnsi="Times New Roman" w:cs="Times New Roman"/>
                <w:color w:val="auto"/>
                <w:sz w:val="24"/>
              </w:rPr>
              <w:t>类标准要求</w:t>
            </w:r>
            <w:r>
              <w:rPr>
                <w:rFonts w:hint="eastAsia" w:cs="Times New Roman"/>
                <w:color w:val="auto"/>
                <w:sz w:val="24"/>
                <w:lang w:eastAsia="zh-CN"/>
              </w:rPr>
              <w:t>。</w:t>
            </w:r>
            <w:r>
              <w:rPr>
                <w:rFonts w:hint="eastAsia" w:ascii="Times New Roman" w:hAnsi="Times New Roman" w:cs="Times New Roman"/>
                <w:color w:val="auto"/>
                <w:sz w:val="24"/>
              </w:rPr>
              <w:t>敏感点昼夜间噪声预测值满足《声环境质量标准》2类标准要求。为了进一步降低噪声污染，建设单位拟采取以下防治措施：</w:t>
            </w:r>
          </w:p>
          <w:p w14:paraId="7A341338">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①合理布局：厂区布局上，本项目生产车间和动力设施位于厂区中部。</w:t>
            </w:r>
          </w:p>
          <w:p w14:paraId="6D018950">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②设备选型：在满足生产需要的前提下，选用低噪声的设备和机械。</w:t>
            </w:r>
          </w:p>
          <w:p w14:paraId="404510B0">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③减振降噪措施：</w:t>
            </w:r>
            <w:r>
              <w:rPr>
                <w:rFonts w:hint="eastAsia" w:cs="Times New Roman"/>
                <w:color w:val="auto"/>
                <w:sz w:val="24"/>
                <w:lang w:val="en-US" w:eastAsia="zh-CN"/>
              </w:rPr>
              <w:t>对</w:t>
            </w:r>
            <w:r>
              <w:rPr>
                <w:rFonts w:hint="eastAsia" w:ascii="Times New Roman" w:hAnsi="Times New Roman" w:cs="Times New Roman"/>
                <w:color w:val="auto"/>
                <w:sz w:val="24"/>
              </w:rPr>
              <w:t>高噪声设备安装橡胶垫或弹性垫片进行基础减振。</w:t>
            </w:r>
          </w:p>
          <w:p w14:paraId="239B50C5">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④强化生产管理：调整夜间生产频率；确保降噪设施的有效运行，并加强对生产设备的保养、检修与润滑，保证设备处于良好的运转状态。</w:t>
            </w:r>
          </w:p>
          <w:p w14:paraId="083BDB1D">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在采取上述降噪措施后，项目噪声对周围敏感点环境产生的影响较小。</w:t>
            </w:r>
          </w:p>
          <w:p w14:paraId="7EFAA8AD">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eastAsia" w:ascii="Times New Roman" w:hAnsi="Times New Roman" w:cs="Times New Roman"/>
                <w:bCs/>
                <w:color w:val="auto"/>
                <w:sz w:val="24"/>
              </w:rPr>
              <w:t>（3）</w:t>
            </w:r>
            <w:r>
              <w:rPr>
                <w:rFonts w:hint="default" w:ascii="Times New Roman" w:hAnsi="Times New Roman" w:cs="Times New Roman"/>
                <w:bCs/>
                <w:color w:val="auto"/>
                <w:sz w:val="24"/>
              </w:rPr>
              <w:t>噪声监测要求</w:t>
            </w:r>
          </w:p>
          <w:p w14:paraId="29EC8B0A">
            <w:pPr>
              <w:keepNext w:val="0"/>
              <w:keepLines w:val="0"/>
              <w:suppressLineNumbers w:val="0"/>
              <w:spacing w:before="0" w:beforeAutospacing="0" w:after="0" w:afterAutospacing="0" w:line="360" w:lineRule="auto"/>
              <w:ind w:left="0" w:right="0" w:firstLine="495"/>
              <w:rPr>
                <w:rFonts w:hint="default" w:ascii="Times New Roman" w:hAnsi="Times New Roman" w:cs="Times New Roman"/>
                <w:color w:val="auto"/>
                <w:sz w:val="24"/>
              </w:rPr>
            </w:pPr>
            <w:r>
              <w:rPr>
                <w:rFonts w:hint="eastAsia" w:ascii="Times New Roman" w:hAnsi="Times New Roman" w:cs="Times New Roman"/>
                <w:color w:val="auto"/>
                <w:sz w:val="24"/>
              </w:rPr>
              <w:t xml:space="preserve">根据《排污单位自行监测技术指南 </w:t>
            </w:r>
            <w:r>
              <w:rPr>
                <w:rFonts w:hint="eastAsia" w:cs="Times New Roman"/>
                <w:color w:val="auto"/>
                <w:sz w:val="24"/>
                <w:lang w:val="en-US" w:eastAsia="zh-CN"/>
              </w:rPr>
              <w:t>印刷</w:t>
            </w:r>
            <w:r>
              <w:rPr>
                <w:rFonts w:hint="eastAsia" w:ascii="Times New Roman" w:hAnsi="Times New Roman" w:cs="Times New Roman"/>
                <w:color w:val="auto"/>
                <w:sz w:val="24"/>
              </w:rPr>
              <w:t>工业》（HJ12</w:t>
            </w:r>
            <w:r>
              <w:rPr>
                <w:rFonts w:hint="eastAsia" w:cs="Times New Roman"/>
                <w:color w:val="auto"/>
                <w:sz w:val="24"/>
                <w:lang w:val="en-US" w:eastAsia="zh-CN"/>
              </w:rPr>
              <w:t>46</w:t>
            </w:r>
            <w:r>
              <w:rPr>
                <w:rFonts w:hint="eastAsia" w:ascii="Times New Roman" w:hAnsi="Times New Roman" w:cs="Times New Roman"/>
                <w:color w:val="auto"/>
                <w:sz w:val="24"/>
              </w:rPr>
              <w:t>-202</w:t>
            </w:r>
            <w:r>
              <w:rPr>
                <w:rFonts w:hint="eastAsia" w:cs="Times New Roman"/>
                <w:color w:val="auto"/>
                <w:sz w:val="24"/>
                <w:lang w:val="en-US" w:eastAsia="zh-CN"/>
              </w:rPr>
              <w:t>2</w:t>
            </w:r>
            <w:r>
              <w:rPr>
                <w:rFonts w:hint="eastAsia" w:ascii="Times New Roman" w:hAnsi="Times New Roman" w:cs="Times New Roman"/>
                <w:color w:val="auto"/>
                <w:sz w:val="24"/>
              </w:rPr>
              <w:t>）</w:t>
            </w:r>
            <w:r>
              <w:rPr>
                <w:rFonts w:hint="default" w:ascii="Times New Roman" w:hAnsi="Times New Roman" w:cs="Times New Roman"/>
                <w:color w:val="auto"/>
                <w:sz w:val="24"/>
              </w:rPr>
              <w:t>本项目运营期噪声监测计划见下表。</w:t>
            </w:r>
          </w:p>
          <w:p w14:paraId="3EAF5AE1">
            <w:pPr>
              <w:keepNext w:val="0"/>
              <w:keepLines w:val="0"/>
              <w:suppressLineNumbers w:val="0"/>
              <w:spacing w:before="0" w:beforeAutospacing="0" w:after="0" w:afterAutospacing="0"/>
              <w:ind w:left="0" w:right="0" w:firstLine="482" w:firstLineChars="200"/>
              <w:jc w:val="center"/>
              <w:rPr>
                <w:rFonts w:hint="default" w:ascii="Times New Roman" w:hAnsi="Times New Roman" w:cs="Times New Roman"/>
                <w:b/>
                <w:color w:val="auto"/>
                <w:sz w:val="24"/>
              </w:rPr>
            </w:pPr>
            <w:r>
              <w:rPr>
                <w:rFonts w:hint="default" w:ascii="Times New Roman" w:hAnsi="Times New Roman" w:cs="Times New Roman"/>
                <w:b/>
                <w:color w:val="auto"/>
                <w:sz w:val="24"/>
              </w:rPr>
              <w:t>表4</w:t>
            </w:r>
            <w:r>
              <w:rPr>
                <w:rFonts w:hint="eastAsia" w:ascii="Times New Roman" w:hAnsi="Times New Roman" w:cs="Times New Roman"/>
                <w:b/>
                <w:color w:val="auto"/>
                <w:sz w:val="24"/>
              </w:rPr>
              <w:t>-1</w:t>
            </w:r>
            <w:r>
              <w:rPr>
                <w:rFonts w:hint="eastAsia" w:cs="Times New Roman"/>
                <w:b/>
                <w:color w:val="auto"/>
                <w:sz w:val="24"/>
                <w:lang w:val="en-US" w:eastAsia="zh-CN"/>
              </w:rPr>
              <w:t>1</w:t>
            </w:r>
            <w:r>
              <w:rPr>
                <w:rFonts w:hint="default" w:ascii="Times New Roman" w:hAnsi="Times New Roman" w:cs="Times New Roman"/>
                <w:b/>
                <w:color w:val="auto"/>
                <w:sz w:val="24"/>
              </w:rPr>
              <w:t xml:space="preserve">  项目环境监测计划</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1753"/>
              <w:gridCol w:w="2947"/>
              <w:gridCol w:w="2264"/>
              <w:gridCol w:w="1466"/>
            </w:tblGrid>
            <w:tr w14:paraId="202DFC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1039" w:type="pct"/>
                  <w:noWrap w:val="0"/>
                  <w:vAlign w:val="center"/>
                </w:tcPr>
                <w:p w14:paraId="07A82B75">
                  <w:pPr>
                    <w:pStyle w:val="3"/>
                    <w:keepNext w:val="0"/>
                    <w:keepLines w:val="0"/>
                    <w:suppressLineNumbers w:val="0"/>
                    <w:tabs>
                      <w:tab w:val="left" w:pos="451"/>
                      <w:tab w:val="center" w:pos="1013"/>
                    </w:tabs>
                    <w:adjustRightInd w:val="0"/>
                    <w:snapToGrid w:val="0"/>
                    <w:spacing w:before="0" w:beforeAutospacing="0" w:after="0" w:afterAutospacing="0"/>
                    <w:ind w:left="0" w:leftChars="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监测项目</w:t>
                  </w:r>
                </w:p>
              </w:tc>
              <w:tc>
                <w:tcPr>
                  <w:tcW w:w="1747" w:type="pct"/>
                  <w:noWrap w:val="0"/>
                  <w:vAlign w:val="center"/>
                </w:tcPr>
                <w:p w14:paraId="1865F5AA">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监测点位</w:t>
                  </w:r>
                </w:p>
              </w:tc>
              <w:tc>
                <w:tcPr>
                  <w:tcW w:w="1342" w:type="pct"/>
                  <w:noWrap w:val="0"/>
                  <w:vAlign w:val="center"/>
                </w:tcPr>
                <w:p w14:paraId="79646456">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监测因子</w:t>
                  </w:r>
                </w:p>
              </w:tc>
              <w:tc>
                <w:tcPr>
                  <w:tcW w:w="869" w:type="pct"/>
                  <w:noWrap w:val="0"/>
                  <w:vAlign w:val="center"/>
                </w:tcPr>
                <w:p w14:paraId="76D34387">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监测频率</w:t>
                  </w:r>
                </w:p>
              </w:tc>
            </w:tr>
            <w:tr w14:paraId="5B713A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88" w:hRule="atLeast"/>
                <w:jc w:val="center"/>
              </w:trPr>
              <w:tc>
                <w:tcPr>
                  <w:tcW w:w="1039" w:type="pct"/>
                  <w:noWrap w:val="0"/>
                  <w:vAlign w:val="center"/>
                </w:tcPr>
                <w:p w14:paraId="5D865229">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747" w:type="pct"/>
                  <w:noWrap w:val="0"/>
                  <w:vAlign w:val="center"/>
                </w:tcPr>
                <w:p w14:paraId="00E0233B">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厂界四周</w:t>
                  </w:r>
                </w:p>
              </w:tc>
              <w:tc>
                <w:tcPr>
                  <w:tcW w:w="1342" w:type="pct"/>
                  <w:noWrap w:val="0"/>
                  <w:vAlign w:val="center"/>
                </w:tcPr>
                <w:p w14:paraId="5C7E5289">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等效A声级dB（A）</w:t>
                  </w:r>
                </w:p>
              </w:tc>
              <w:tc>
                <w:tcPr>
                  <w:tcW w:w="869" w:type="pct"/>
                  <w:noWrap w:val="0"/>
                  <w:vAlign w:val="center"/>
                </w:tcPr>
                <w:p w14:paraId="6A119864">
                  <w:pPr>
                    <w:pStyle w:val="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w:t>
                  </w:r>
                  <w:r>
                    <w:rPr>
                      <w:rFonts w:hint="eastAsia" w:ascii="Times New Roman" w:hAnsi="Times New Roman" w:cs="Times New Roman"/>
                      <w:color w:val="auto"/>
                      <w:sz w:val="21"/>
                      <w:szCs w:val="21"/>
                    </w:rPr>
                    <w:t>季度</w:t>
                  </w:r>
                </w:p>
              </w:tc>
            </w:tr>
          </w:tbl>
          <w:p w14:paraId="4F7EF025">
            <w:pPr>
              <w:keepNext w:val="0"/>
              <w:keepLines w:val="0"/>
              <w:suppressLineNumbers w:val="0"/>
              <w:tabs>
                <w:tab w:val="left" w:pos="2851"/>
              </w:tabs>
              <w:adjustRightInd w:val="0"/>
              <w:snapToGrid w:val="0"/>
              <w:spacing w:before="0" w:beforeAutospacing="0" w:after="0" w:afterAutospacing="0" w:line="360" w:lineRule="auto"/>
              <w:ind w:left="0" w:right="0"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4、固体废物</w:t>
            </w:r>
          </w:p>
          <w:p w14:paraId="36BC7A23">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rPr>
              <w:t>固废产生情况</w:t>
            </w:r>
            <w:r>
              <w:rPr>
                <w:rFonts w:hint="eastAsia" w:ascii="Times New Roman" w:hAnsi="Times New Roman" w:cs="Times New Roman"/>
                <w:color w:val="auto"/>
                <w:sz w:val="24"/>
                <w:lang w:eastAsia="zh-CN"/>
              </w:rPr>
              <w:t>：</w:t>
            </w:r>
          </w:p>
          <w:p w14:paraId="22AFCF5B">
            <w:pPr>
              <w:keepNext w:val="0"/>
              <w:keepLines w:val="0"/>
              <w:suppressLineNumbers w:val="0"/>
              <w:adjustRightInd w:val="0"/>
              <w:snapToGrid w:val="0"/>
              <w:spacing w:before="0" w:beforeAutospacing="0" w:after="0" w:afterAutospacing="0" w:line="360" w:lineRule="auto"/>
              <w:ind w:left="0" w:right="0" w:firstLine="480" w:firstLineChars="200"/>
              <w:outlineLvl w:val="0"/>
              <w:rPr>
                <w:rFonts w:hint="default" w:ascii="Times New Roman" w:hAnsi="Times New Roman" w:cs="Times New Roman"/>
                <w:color w:val="auto"/>
                <w:sz w:val="24"/>
              </w:rPr>
            </w:pPr>
            <w:r>
              <w:rPr>
                <w:rFonts w:hint="eastAsia" w:ascii="Times New Roman" w:hAnsi="Times New Roman" w:cs="Times New Roman"/>
                <w:color w:val="auto"/>
                <w:sz w:val="24"/>
              </w:rPr>
              <w:t>项目产生的固体废弃物主要包括</w:t>
            </w:r>
            <w:r>
              <w:rPr>
                <w:rFonts w:hint="eastAsia" w:cs="Times New Roman"/>
                <w:color w:val="auto"/>
                <w:sz w:val="24"/>
                <w:lang w:val="en-US" w:eastAsia="zh-CN"/>
              </w:rPr>
              <w:t>生活垃圾、废包装材料、纸张边角料、印刷不合格产品、空油墨桶、废含油抹布、废污泥、废空胶桶、废机油、废显影液、废定影液、废活性炭、废擦机布、废清洗剂、废版</w:t>
            </w:r>
            <w:r>
              <w:rPr>
                <w:rFonts w:hint="default" w:ascii="Times New Roman" w:hAnsi="Times New Roman" w:cs="Times New Roman"/>
                <w:color w:val="auto"/>
                <w:sz w:val="24"/>
              </w:rPr>
              <w:t>等</w:t>
            </w:r>
            <w:r>
              <w:rPr>
                <w:rFonts w:hint="eastAsia" w:ascii="Times New Roman" w:hAnsi="Times New Roman" w:cs="Times New Roman"/>
                <w:color w:val="auto"/>
                <w:sz w:val="24"/>
              </w:rPr>
              <w:t>。</w:t>
            </w:r>
          </w:p>
          <w:p w14:paraId="13FE961B">
            <w:pPr>
              <w:keepNext w:val="0"/>
              <w:keepLines w:val="0"/>
              <w:numPr>
                <w:ilvl w:val="0"/>
                <w:numId w:val="12"/>
              </w:numPr>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cs="Times New Roman"/>
                <w:color w:val="auto"/>
                <w:sz w:val="24"/>
                <w:lang w:val="en-US" w:eastAsia="zh-CN"/>
              </w:rPr>
              <w:t>生活垃圾</w:t>
            </w:r>
            <w:r>
              <w:rPr>
                <w:rFonts w:hint="eastAsia" w:ascii="Times New Roman" w:hAnsi="Times New Roman" w:cs="Times New Roman"/>
                <w:color w:val="auto"/>
                <w:sz w:val="24"/>
              </w:rPr>
              <w:t>：</w:t>
            </w:r>
            <w:r>
              <w:rPr>
                <w:rFonts w:hint="eastAsia" w:cs="Times New Roman"/>
                <w:color w:val="auto"/>
                <w:sz w:val="24"/>
                <w:lang w:val="en-US" w:eastAsia="zh-CN"/>
              </w:rPr>
              <w:t>本项目新增劳动人员40人，生活垃圾按每人每天0.5kg计算，每年工作300天，则生活垃圾产生量为6t/a，收集后委托环卫部门清运处置。</w:t>
            </w:r>
          </w:p>
          <w:p w14:paraId="79E14EC1">
            <w:pPr>
              <w:keepNext w:val="0"/>
              <w:keepLines w:val="0"/>
              <w:numPr>
                <w:ilvl w:val="0"/>
                <w:numId w:val="12"/>
              </w:numPr>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废包装材料、纸张边角料、印刷不合格产品</w:t>
            </w:r>
            <w:r>
              <w:rPr>
                <w:rFonts w:hint="eastAsia" w:ascii="Times New Roman" w:hAnsi="Times New Roman" w:cs="Times New Roman"/>
                <w:color w:val="auto"/>
                <w:sz w:val="24"/>
              </w:rPr>
              <w:t>：</w:t>
            </w:r>
            <w:r>
              <w:rPr>
                <w:rFonts w:hint="eastAsia" w:cs="Times New Roman"/>
                <w:color w:val="auto"/>
                <w:sz w:val="24"/>
                <w:lang w:val="en-US" w:eastAsia="zh-CN" w:bidi="ar"/>
              </w:rPr>
              <w:t>据建设单位提供资料，</w:t>
            </w:r>
            <w:r>
              <w:rPr>
                <w:rFonts w:hint="eastAsia" w:ascii="Times New Roman" w:hAnsi="Times New Roman" w:cs="Times New Roman"/>
                <w:color w:val="auto"/>
                <w:sz w:val="24"/>
                <w:lang w:val="en-US" w:eastAsia="zh-CN"/>
              </w:rPr>
              <w:t>废包装材料、纸张边角料、印刷不合格产品产生量共计30t，定期</w:t>
            </w:r>
            <w:r>
              <w:rPr>
                <w:rFonts w:hint="eastAsia" w:cs="Times New Roman"/>
                <w:color w:val="auto"/>
                <w:sz w:val="24"/>
                <w:lang w:val="en-US" w:eastAsia="zh-CN"/>
              </w:rPr>
              <w:t xml:space="preserve"> </w:t>
            </w:r>
            <w:r>
              <w:rPr>
                <w:rFonts w:hint="eastAsia" w:ascii="Times New Roman" w:hAnsi="Times New Roman" w:cs="Times New Roman"/>
                <w:color w:val="auto"/>
                <w:sz w:val="24"/>
                <w:lang w:val="en-US" w:eastAsia="zh-CN"/>
              </w:rPr>
              <w:t>交由收购站收购处置</w:t>
            </w:r>
            <w:r>
              <w:rPr>
                <w:rFonts w:hint="eastAsia" w:cs="Times New Roman"/>
                <w:color w:val="auto"/>
                <w:sz w:val="24"/>
                <w:lang w:eastAsia="zh-CN"/>
              </w:rPr>
              <w:t>。</w:t>
            </w:r>
          </w:p>
          <w:p w14:paraId="67119B07">
            <w:pPr>
              <w:keepNext w:val="0"/>
              <w:keepLines w:val="0"/>
              <w:numPr>
                <w:ilvl w:val="0"/>
                <w:numId w:val="12"/>
              </w:numPr>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危险废物：据</w:t>
            </w:r>
            <w:r>
              <w:rPr>
                <w:rFonts w:hint="eastAsia" w:cs="Times New Roman"/>
                <w:color w:val="auto"/>
                <w:sz w:val="24"/>
                <w:lang w:val="en-US" w:eastAsia="zh-CN"/>
              </w:rPr>
              <w:t>工程分析</w:t>
            </w:r>
            <w:r>
              <w:rPr>
                <w:rFonts w:hint="eastAsia" w:ascii="Times New Roman" w:hAnsi="Times New Roman" w:cs="Times New Roman"/>
                <w:color w:val="auto"/>
                <w:sz w:val="24"/>
              </w:rPr>
              <w:t>，</w:t>
            </w:r>
            <w:r>
              <w:rPr>
                <w:rFonts w:hint="eastAsia" w:cs="Times New Roman"/>
                <w:color w:val="auto"/>
                <w:sz w:val="24"/>
                <w:lang w:val="en-US" w:eastAsia="zh-CN"/>
              </w:rPr>
              <w:t>油墨</w:t>
            </w:r>
            <w:r>
              <w:rPr>
                <w:rFonts w:hint="eastAsia" w:ascii="Times New Roman" w:hAnsi="Times New Roman" w:cs="Times New Roman"/>
                <w:color w:val="auto"/>
                <w:sz w:val="24"/>
                <w:lang w:val="en-US" w:eastAsia="zh-CN"/>
              </w:rPr>
              <w:t>年用量为</w:t>
            </w:r>
            <w:r>
              <w:rPr>
                <w:rFonts w:hint="eastAsia" w:cs="Times New Roman"/>
                <w:color w:val="auto"/>
                <w:sz w:val="24"/>
                <w:lang w:val="en-US" w:eastAsia="zh-CN"/>
              </w:rPr>
              <w:t>372</w:t>
            </w:r>
            <w:r>
              <w:rPr>
                <w:rFonts w:hint="eastAsia" w:ascii="Times New Roman" w:hAnsi="Times New Roman" w:cs="Times New Roman"/>
                <w:color w:val="auto"/>
                <w:sz w:val="24"/>
                <w:lang w:val="en-US" w:eastAsia="zh-CN"/>
              </w:rPr>
              <w:t>桶</w:t>
            </w:r>
            <w:r>
              <w:rPr>
                <w:rFonts w:hint="eastAsia" w:cs="Times New Roman"/>
                <w:color w:val="auto"/>
                <w:sz w:val="24"/>
                <w:lang w:val="en-US" w:eastAsia="zh-CN"/>
              </w:rPr>
              <w:t>（水性油墨桶350桶，胶印油墨桶22桶）</w:t>
            </w:r>
            <w:r>
              <w:rPr>
                <w:rFonts w:hint="eastAsia" w:ascii="Times New Roman" w:hAnsi="Times New Roman" w:cs="Times New Roman"/>
                <w:color w:val="auto"/>
                <w:sz w:val="24"/>
                <w:lang w:val="en-US" w:eastAsia="zh-CN"/>
              </w:rPr>
              <w:t>，</w:t>
            </w:r>
            <w:r>
              <w:rPr>
                <w:rFonts w:hint="eastAsia" w:cs="Times New Roman"/>
                <w:color w:val="auto"/>
                <w:sz w:val="24"/>
                <w:lang w:val="en-US" w:eastAsia="zh-CN"/>
              </w:rPr>
              <w:t>水性油墨桶桶重</w:t>
            </w:r>
            <w:r>
              <w:rPr>
                <w:rFonts w:hint="eastAsia" w:ascii="Times New Roman" w:hAnsi="Times New Roman" w:cs="Times New Roman"/>
                <w:color w:val="auto"/>
                <w:sz w:val="24"/>
                <w:lang w:val="en-US" w:eastAsia="zh-CN"/>
              </w:rPr>
              <w:t>约为0.</w:t>
            </w:r>
            <w:r>
              <w:rPr>
                <w:rFonts w:hint="eastAsia" w:cs="Times New Roman"/>
                <w:color w:val="auto"/>
                <w:sz w:val="24"/>
                <w:lang w:val="en-US" w:eastAsia="zh-CN"/>
              </w:rPr>
              <w:t>8</w:t>
            </w:r>
            <w:r>
              <w:rPr>
                <w:rFonts w:hint="eastAsia" w:ascii="Times New Roman" w:hAnsi="Times New Roman" w:cs="Times New Roman"/>
                <w:color w:val="auto"/>
                <w:sz w:val="24"/>
                <w:lang w:val="en-US" w:eastAsia="zh-CN"/>
              </w:rPr>
              <w:t>kg，</w:t>
            </w:r>
            <w:r>
              <w:rPr>
                <w:rFonts w:hint="eastAsia" w:cs="Times New Roman"/>
                <w:color w:val="auto"/>
                <w:sz w:val="24"/>
                <w:lang w:val="en-US" w:eastAsia="zh-CN"/>
              </w:rPr>
              <w:t>胶</w:t>
            </w:r>
            <w:r>
              <w:rPr>
                <w:rFonts w:hint="eastAsia" w:cs="Times New Roman"/>
                <w:color w:val="000000" w:themeColor="text1"/>
                <w:sz w:val="24"/>
                <w:lang w:val="en-US" w:eastAsia="zh-CN"/>
                <w14:textFill>
                  <w14:solidFill>
                    <w14:schemeClr w14:val="tx1"/>
                  </w14:solidFill>
                </w14:textFill>
              </w:rPr>
              <w:t>印油墨桶桶重</w:t>
            </w:r>
            <w:r>
              <w:rPr>
                <w:rFonts w:hint="eastAsia" w:ascii="Times New Roman" w:hAnsi="Times New Roman" w:cs="Times New Roman"/>
                <w:color w:val="000000" w:themeColor="text1"/>
                <w:sz w:val="24"/>
                <w:lang w:val="en-US" w:eastAsia="zh-CN"/>
                <w14:textFill>
                  <w14:solidFill>
                    <w14:schemeClr w14:val="tx1"/>
                  </w14:solidFill>
                </w14:textFill>
              </w:rPr>
              <w:t>约为5kg，</w:t>
            </w:r>
            <w:r>
              <w:rPr>
                <w:rFonts w:hint="eastAsia" w:cs="Times New Roman"/>
                <w:color w:val="000000" w:themeColor="text1"/>
                <w:sz w:val="24"/>
                <w:lang w:val="en-US" w:eastAsia="zh-CN"/>
                <w14:textFill>
                  <w14:solidFill>
                    <w14:schemeClr w14:val="tx1"/>
                  </w14:solidFill>
                </w14:textFill>
              </w:rPr>
              <w:t>故</w:t>
            </w:r>
            <w:r>
              <w:rPr>
                <w:rFonts w:hint="eastAsia" w:ascii="Times New Roman" w:hAnsi="Times New Roman" w:cs="Times New Roman"/>
                <w:color w:val="000000" w:themeColor="text1"/>
                <w:sz w:val="24"/>
                <w:lang w:val="en-US" w:eastAsia="zh-CN"/>
                <w14:textFill>
                  <w14:solidFill>
                    <w14:schemeClr w14:val="tx1"/>
                  </w14:solidFill>
                </w14:textFill>
              </w:rPr>
              <w:t>空油墨桶</w:t>
            </w:r>
            <w:r>
              <w:rPr>
                <w:rFonts w:hint="eastAsia" w:ascii="Times New Roman" w:hAnsi="Times New Roman" w:cs="Times New Roman"/>
                <w:color w:val="000000" w:themeColor="text1"/>
                <w:sz w:val="24"/>
                <w14:textFill>
                  <w14:solidFill>
                    <w14:schemeClr w14:val="tx1"/>
                  </w14:solidFill>
                </w14:textFill>
              </w:rPr>
              <w:t>产生量为0.</w:t>
            </w:r>
            <w:r>
              <w:rPr>
                <w:rFonts w:hint="eastAsia" w:cs="Times New Roman"/>
                <w:color w:val="000000" w:themeColor="text1"/>
                <w:sz w:val="24"/>
                <w:lang w:val="en-US" w:eastAsia="zh-CN"/>
                <w14:textFill>
                  <w14:solidFill>
                    <w14:schemeClr w14:val="tx1"/>
                  </w14:solidFill>
                </w14:textFill>
              </w:rPr>
              <w:t>4</w:t>
            </w:r>
            <w:r>
              <w:rPr>
                <w:rFonts w:hint="eastAsia" w:ascii="Times New Roman" w:hAnsi="Times New Roman" w:cs="Times New Roman"/>
                <w:color w:val="000000" w:themeColor="text1"/>
                <w:sz w:val="24"/>
                <w14:textFill>
                  <w14:solidFill>
                    <w14:schemeClr w14:val="tx1"/>
                  </w14:solidFill>
                </w14:textFill>
              </w:rPr>
              <w:t>t/a</w:t>
            </w:r>
            <w:r>
              <w:rPr>
                <w:rFonts w:hint="eastAsia"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废含油抹布</w:t>
            </w:r>
            <w:r>
              <w:rPr>
                <w:rFonts w:hint="eastAsia" w:ascii="Times New Roman" w:hAnsi="Times New Roman" w:cs="Times New Roman"/>
                <w:color w:val="000000" w:themeColor="text1"/>
                <w:sz w:val="24"/>
                <w14:textFill>
                  <w14:solidFill>
                    <w14:schemeClr w14:val="tx1"/>
                  </w14:solidFill>
                </w14:textFill>
              </w:rPr>
              <w:t>产生量为0.005t/a</w:t>
            </w:r>
            <w:r>
              <w:rPr>
                <w:rFonts w:hint="eastAsia"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废污泥</w:t>
            </w:r>
            <w:r>
              <w:rPr>
                <w:rFonts w:hint="eastAsia" w:ascii="Times New Roman" w:hAnsi="Times New Roman" w:cs="Times New Roman"/>
                <w:color w:val="000000" w:themeColor="text1"/>
                <w:sz w:val="24"/>
                <w14:textFill>
                  <w14:solidFill>
                    <w14:schemeClr w14:val="tx1"/>
                  </w14:solidFill>
                </w14:textFill>
              </w:rPr>
              <w:t>产生量为0.</w:t>
            </w:r>
            <w:r>
              <w:rPr>
                <w:rFonts w:hint="eastAsia" w:cs="Times New Roman"/>
                <w:color w:val="000000" w:themeColor="text1"/>
                <w:sz w:val="24"/>
                <w:lang w:val="en-US" w:eastAsia="zh-CN"/>
                <w14:textFill>
                  <w14:solidFill>
                    <w14:schemeClr w14:val="tx1"/>
                  </w14:solidFill>
                </w14:textFill>
              </w:rPr>
              <w:t>2</w:t>
            </w:r>
            <w:r>
              <w:rPr>
                <w:rFonts w:hint="eastAsia" w:ascii="Times New Roman" w:hAnsi="Times New Roman" w:cs="Times New Roman"/>
                <w:color w:val="000000" w:themeColor="text1"/>
                <w:sz w:val="24"/>
                <w14:textFill>
                  <w14:solidFill>
                    <w14:schemeClr w14:val="tx1"/>
                  </w14:solidFill>
                </w14:textFill>
              </w:rPr>
              <w:t>t/a</w:t>
            </w:r>
            <w:r>
              <w:rPr>
                <w:rFonts w:hint="eastAsia" w:cs="Times New Roman"/>
                <w:color w:val="000000" w:themeColor="text1"/>
                <w:sz w:val="24"/>
                <w:lang w:val="en-US" w:eastAsia="zh-CN"/>
                <w14:textFill>
                  <w14:solidFill>
                    <w14:schemeClr w14:val="tx1"/>
                  </w14:solidFill>
                </w14:textFill>
              </w:rPr>
              <w:t>；胶桶年用量为40桶，每桶重量约为1.2kg，故</w:t>
            </w:r>
            <w:r>
              <w:rPr>
                <w:rFonts w:hint="eastAsia" w:ascii="Times New Roman" w:hAnsi="Times New Roman" w:cs="Times New Roman"/>
                <w:color w:val="000000" w:themeColor="text1"/>
                <w:sz w:val="24"/>
                <w:lang w:val="en-US" w:eastAsia="zh-CN"/>
                <w14:textFill>
                  <w14:solidFill>
                    <w14:schemeClr w14:val="tx1"/>
                  </w14:solidFill>
                </w14:textFill>
              </w:rPr>
              <w:t>废空胶桶</w:t>
            </w:r>
            <w:r>
              <w:rPr>
                <w:rFonts w:hint="eastAsia" w:ascii="Times New Roman" w:hAnsi="Times New Roman" w:cs="Times New Roman"/>
                <w:color w:val="000000" w:themeColor="text1"/>
                <w:sz w:val="24"/>
                <w14:textFill>
                  <w14:solidFill>
                    <w14:schemeClr w14:val="tx1"/>
                  </w14:solidFill>
                </w14:textFill>
              </w:rPr>
              <w:t>产生量为0.</w:t>
            </w:r>
            <w:r>
              <w:rPr>
                <w:rFonts w:hint="eastAsia" w:cs="Times New Roman"/>
                <w:color w:val="000000" w:themeColor="text1"/>
                <w:sz w:val="24"/>
                <w:lang w:val="en-US" w:eastAsia="zh-CN"/>
                <w14:textFill>
                  <w14:solidFill>
                    <w14:schemeClr w14:val="tx1"/>
                  </w14:solidFill>
                </w14:textFill>
              </w:rPr>
              <w:t>05</w:t>
            </w:r>
            <w:r>
              <w:rPr>
                <w:rFonts w:hint="eastAsia" w:ascii="Times New Roman" w:hAnsi="Times New Roman" w:cs="Times New Roman"/>
                <w:color w:val="000000" w:themeColor="text1"/>
                <w:sz w:val="24"/>
                <w14:textFill>
                  <w14:solidFill>
                    <w14:schemeClr w14:val="tx1"/>
                  </w14:solidFill>
                </w14:textFill>
              </w:rPr>
              <w:t>t/a</w:t>
            </w:r>
            <w:r>
              <w:rPr>
                <w:rFonts w:hint="eastAsia"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废机油</w:t>
            </w:r>
            <w:r>
              <w:rPr>
                <w:rFonts w:hint="eastAsia" w:ascii="Times New Roman" w:hAnsi="Times New Roman" w:cs="Times New Roman"/>
                <w:color w:val="000000" w:themeColor="text1"/>
                <w:sz w:val="24"/>
                <w14:textFill>
                  <w14:solidFill>
                    <w14:schemeClr w14:val="tx1"/>
                  </w14:solidFill>
                </w14:textFill>
              </w:rPr>
              <w:t>产生量为0.</w:t>
            </w:r>
            <w:r>
              <w:rPr>
                <w:rFonts w:hint="eastAsia" w:cs="Times New Roman"/>
                <w:color w:val="000000" w:themeColor="text1"/>
                <w:sz w:val="24"/>
                <w:lang w:val="en-US" w:eastAsia="zh-CN"/>
                <w14:textFill>
                  <w14:solidFill>
                    <w14:schemeClr w14:val="tx1"/>
                  </w14:solidFill>
                </w14:textFill>
              </w:rPr>
              <w:t>2</w:t>
            </w:r>
            <w:r>
              <w:rPr>
                <w:rFonts w:hint="eastAsia" w:ascii="Times New Roman" w:hAnsi="Times New Roman" w:cs="Times New Roman"/>
                <w:color w:val="000000" w:themeColor="text1"/>
                <w:sz w:val="24"/>
                <w14:textFill>
                  <w14:solidFill>
                    <w14:schemeClr w14:val="tx1"/>
                  </w14:solidFill>
                </w14:textFill>
              </w:rPr>
              <w:t>t/a</w:t>
            </w:r>
            <w:r>
              <w:rPr>
                <w:rFonts w:hint="eastAsia"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废显影液</w:t>
            </w:r>
            <w:r>
              <w:rPr>
                <w:rFonts w:hint="eastAsia" w:ascii="Times New Roman" w:hAnsi="Times New Roman" w:cs="Times New Roman"/>
                <w:color w:val="000000" w:themeColor="text1"/>
                <w:sz w:val="24"/>
                <w14:textFill>
                  <w14:solidFill>
                    <w14:schemeClr w14:val="tx1"/>
                  </w14:solidFill>
                </w14:textFill>
              </w:rPr>
              <w:t>产生量为0.</w:t>
            </w:r>
            <w:r>
              <w:rPr>
                <w:rFonts w:hint="eastAsia" w:cs="Times New Roman"/>
                <w:color w:val="000000" w:themeColor="text1"/>
                <w:sz w:val="24"/>
                <w:lang w:val="en-US" w:eastAsia="zh-CN"/>
                <w14:textFill>
                  <w14:solidFill>
                    <w14:schemeClr w14:val="tx1"/>
                  </w14:solidFill>
                </w14:textFill>
              </w:rPr>
              <w:t>15</w:t>
            </w:r>
            <w:r>
              <w:rPr>
                <w:rFonts w:hint="eastAsia" w:ascii="Times New Roman" w:hAnsi="Times New Roman" w:cs="Times New Roman"/>
                <w:color w:val="000000" w:themeColor="text1"/>
                <w:sz w:val="24"/>
                <w14:textFill>
                  <w14:solidFill>
                    <w14:schemeClr w14:val="tx1"/>
                  </w14:solidFill>
                </w14:textFill>
              </w:rPr>
              <w:t>t/a</w:t>
            </w:r>
            <w:r>
              <w:rPr>
                <w:rFonts w:hint="eastAsia"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废定影液</w:t>
            </w:r>
            <w:r>
              <w:rPr>
                <w:rFonts w:hint="eastAsia" w:ascii="Times New Roman" w:hAnsi="Times New Roman" w:cs="Times New Roman"/>
                <w:color w:val="000000" w:themeColor="text1"/>
                <w:sz w:val="24"/>
                <w14:textFill>
                  <w14:solidFill>
                    <w14:schemeClr w14:val="tx1"/>
                  </w14:solidFill>
                </w14:textFill>
              </w:rPr>
              <w:t>产生量为0.</w:t>
            </w:r>
            <w:r>
              <w:rPr>
                <w:rFonts w:hint="eastAsia" w:cs="Times New Roman"/>
                <w:color w:val="000000" w:themeColor="text1"/>
                <w:sz w:val="24"/>
                <w:lang w:val="en-US" w:eastAsia="zh-CN"/>
                <w14:textFill>
                  <w14:solidFill>
                    <w14:schemeClr w14:val="tx1"/>
                  </w14:solidFill>
                </w14:textFill>
              </w:rPr>
              <w:t>1</w:t>
            </w:r>
            <w:r>
              <w:rPr>
                <w:rFonts w:hint="eastAsia" w:ascii="Times New Roman" w:hAnsi="Times New Roman" w:cs="Times New Roman"/>
                <w:color w:val="000000" w:themeColor="text1"/>
                <w:sz w:val="24"/>
                <w14:textFill>
                  <w14:solidFill>
                    <w14:schemeClr w14:val="tx1"/>
                  </w14:solidFill>
                </w14:textFill>
              </w:rPr>
              <w:t>5t/a</w:t>
            </w:r>
            <w:r>
              <w:rPr>
                <w:rFonts w:hint="eastAsia" w:cs="Times New Roman"/>
                <w:color w:val="000000" w:themeColor="text1"/>
                <w:sz w:val="24"/>
                <w:lang w:val="en-US" w:eastAsia="zh-CN"/>
                <w14:textFill>
                  <w14:solidFill>
                    <w14:schemeClr w14:val="tx1"/>
                  </w14:solidFill>
                </w14:textFill>
              </w:rPr>
              <w:t>；本项目废气处理装置由“UV光氧+活性炭吸附装置”置换为“二级活性炭吸附装置”，</w:t>
            </w:r>
            <w:r>
              <w:rPr>
                <w:rFonts w:hint="eastAsia" w:cs="Times New Roman"/>
                <w:bCs/>
                <w:color w:val="000000" w:themeColor="text1"/>
                <w:sz w:val="24"/>
                <w:lang w:val="en-US" w:eastAsia="zh-CN"/>
                <w14:textFill>
                  <w14:solidFill>
                    <w14:schemeClr w14:val="tx1"/>
                  </w14:solidFill>
                </w14:textFill>
              </w:rPr>
              <w:t>根据行业经验，活性炭对有机废气各成分的吸附量约为1g废气/2.5g活性炭，根据前文工程分析，本项目吸附处理的有机废气量为2.94t/a，则吸附有机废气理论上需要活性炭7.35t/a，废活性炭产生量为10.29t/a</w:t>
            </w:r>
            <w:r>
              <w:rPr>
                <w:rFonts w:hint="eastAsia" w:cs="Times New Roman"/>
                <w:color w:val="000000" w:themeColor="text1"/>
                <w:sz w:val="24"/>
                <w:lang w:eastAsia="zh-CN"/>
                <w14:textFill>
                  <w14:solidFill>
                    <w14:schemeClr w14:val="tx1"/>
                  </w14:solidFill>
                </w14:textFill>
              </w:rPr>
              <w:t>；</w:t>
            </w:r>
            <w:r>
              <w:rPr>
                <w:rFonts w:hint="eastAsia" w:cs="Times New Roman"/>
                <w:color w:val="auto"/>
                <w:sz w:val="24"/>
                <w:lang w:val="en-US" w:eastAsia="zh-CN"/>
              </w:rPr>
              <w:t>废擦机布产生量为0.55</w:t>
            </w:r>
            <w:r>
              <w:rPr>
                <w:rFonts w:hint="eastAsia" w:ascii="Times New Roman" w:hAnsi="Times New Roman" w:cs="Times New Roman"/>
                <w:color w:val="auto"/>
                <w:sz w:val="24"/>
              </w:rPr>
              <w:t>t/a</w:t>
            </w:r>
            <w:r>
              <w:rPr>
                <w:rFonts w:hint="eastAsia" w:cs="Times New Roman"/>
                <w:color w:val="auto"/>
                <w:sz w:val="24"/>
                <w:lang w:eastAsia="zh-CN"/>
              </w:rPr>
              <w:t>；</w:t>
            </w:r>
            <w:r>
              <w:rPr>
                <w:rFonts w:hint="eastAsia" w:cs="Times New Roman"/>
                <w:color w:val="auto"/>
                <w:sz w:val="24"/>
                <w:lang w:val="en-US" w:eastAsia="zh-CN"/>
              </w:rPr>
              <w:t>废清洗剂产生量为0.5</w:t>
            </w:r>
            <w:r>
              <w:rPr>
                <w:rFonts w:hint="eastAsia" w:ascii="Times New Roman" w:hAnsi="Times New Roman" w:cs="Times New Roman"/>
                <w:color w:val="auto"/>
                <w:sz w:val="24"/>
              </w:rPr>
              <w:t>t/a</w:t>
            </w:r>
            <w:r>
              <w:rPr>
                <w:rFonts w:hint="eastAsia" w:cs="Times New Roman"/>
                <w:color w:val="auto"/>
                <w:sz w:val="24"/>
                <w:lang w:eastAsia="zh-CN"/>
              </w:rPr>
              <w:t>；</w:t>
            </w:r>
            <w:r>
              <w:rPr>
                <w:rFonts w:hint="eastAsia" w:cs="Times New Roman"/>
                <w:color w:val="auto"/>
                <w:sz w:val="24"/>
                <w:lang w:val="en-US" w:eastAsia="zh-CN"/>
              </w:rPr>
              <w:t>废版产生量为2</w:t>
            </w:r>
            <w:r>
              <w:rPr>
                <w:rFonts w:hint="eastAsia" w:ascii="Times New Roman" w:hAnsi="Times New Roman" w:cs="Times New Roman"/>
                <w:color w:val="auto"/>
                <w:sz w:val="24"/>
              </w:rPr>
              <w:t>t/a</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rPr>
              <w:t>在厂区危废贮存库（位于厂房</w:t>
            </w:r>
            <w:r>
              <w:rPr>
                <w:rFonts w:hint="eastAsia" w:cs="Times New Roman"/>
                <w:color w:val="auto"/>
                <w:sz w:val="24"/>
                <w:lang w:val="en-US" w:eastAsia="zh-CN"/>
              </w:rPr>
              <w:t>西侧</w:t>
            </w:r>
            <w:r>
              <w:rPr>
                <w:rFonts w:hint="eastAsia" w:ascii="Times New Roman" w:hAnsi="Times New Roman" w:cs="Times New Roman"/>
                <w:color w:val="auto"/>
                <w:sz w:val="24"/>
              </w:rPr>
              <w:t>，</w:t>
            </w:r>
            <w:r>
              <w:rPr>
                <w:rFonts w:hint="eastAsia" w:cs="Times New Roman"/>
                <w:color w:val="auto"/>
                <w:sz w:val="24"/>
                <w:lang w:val="en-US" w:eastAsia="zh-CN"/>
              </w:rPr>
              <w:t>占地面积50</w:t>
            </w:r>
            <w:r>
              <w:rPr>
                <w:rFonts w:hint="eastAsia" w:ascii="Times New Roman" w:hAnsi="Times New Roman" w:cs="Times New Roman"/>
                <w:color w:val="auto"/>
                <w:sz w:val="24"/>
              </w:rPr>
              <w:t>m²）贮存，定期交</w:t>
            </w:r>
            <w:r>
              <w:rPr>
                <w:rFonts w:hint="eastAsia" w:cs="Times New Roman"/>
                <w:color w:val="auto"/>
                <w:sz w:val="24"/>
                <w:lang w:val="en-US" w:eastAsia="zh-CN"/>
              </w:rPr>
              <w:t>由</w:t>
            </w:r>
            <w:r>
              <w:rPr>
                <w:rFonts w:hint="eastAsia" w:ascii="Times New Roman" w:hAnsi="Times New Roman" w:cs="Times New Roman"/>
                <w:color w:val="auto"/>
                <w:sz w:val="24"/>
              </w:rPr>
              <w:t>陕西</w:t>
            </w:r>
            <w:r>
              <w:rPr>
                <w:rFonts w:hint="eastAsia" w:cs="Times New Roman"/>
                <w:color w:val="auto"/>
                <w:sz w:val="24"/>
                <w:lang w:val="en-US" w:eastAsia="zh-CN"/>
              </w:rPr>
              <w:t>宏恩等离子技术有限责任公司</w:t>
            </w:r>
            <w:r>
              <w:rPr>
                <w:rFonts w:hint="eastAsia" w:ascii="Times New Roman" w:hAnsi="Times New Roman" w:cs="Times New Roman"/>
                <w:color w:val="auto"/>
                <w:sz w:val="24"/>
              </w:rPr>
              <w:t>处置。</w:t>
            </w:r>
          </w:p>
          <w:p w14:paraId="6EB6EA2D">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本项目产生固废汇总情况见下表。</w:t>
            </w:r>
          </w:p>
          <w:p w14:paraId="0C033AD2">
            <w:pPr>
              <w:keepNext w:val="0"/>
              <w:keepLines w:val="0"/>
              <w:suppressLineNumbers w:val="0"/>
              <w:spacing w:before="0" w:beforeAutospacing="0" w:after="0" w:afterAutospacing="0"/>
              <w:ind w:left="0" w:right="0"/>
              <w:jc w:val="center"/>
              <w:rPr>
                <w:rFonts w:hint="default" w:ascii="Times New Roman" w:hAnsi="Times New Roman" w:cs="Times New Roman"/>
                <w:b/>
                <w:color w:val="auto"/>
                <w:sz w:val="24"/>
              </w:rPr>
            </w:pPr>
            <w:r>
              <w:rPr>
                <w:rFonts w:hint="default" w:ascii="Times New Roman" w:hAnsi="Times New Roman" w:cs="Times New Roman"/>
                <w:b/>
                <w:color w:val="auto"/>
                <w:sz w:val="24"/>
              </w:rPr>
              <w:t>表4-</w:t>
            </w:r>
            <w:r>
              <w:rPr>
                <w:rFonts w:hint="eastAsia" w:ascii="Times New Roman" w:hAnsi="Times New Roman" w:cs="Times New Roman"/>
                <w:b/>
                <w:color w:val="auto"/>
                <w:sz w:val="24"/>
              </w:rPr>
              <w:t>1</w:t>
            </w:r>
            <w:r>
              <w:rPr>
                <w:rFonts w:hint="eastAsia" w:cs="Times New Roman"/>
                <w:b/>
                <w:color w:val="auto"/>
                <w:sz w:val="24"/>
                <w:lang w:val="en-US" w:eastAsia="zh-CN"/>
              </w:rPr>
              <w:t>2</w:t>
            </w:r>
            <w:r>
              <w:rPr>
                <w:rFonts w:hint="default" w:ascii="Times New Roman" w:hAnsi="Times New Roman" w:cs="Times New Roman"/>
                <w:b/>
                <w:color w:val="auto"/>
                <w:sz w:val="24"/>
              </w:rPr>
              <w:t xml:space="preserve">  本项目固废汇总表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93"/>
              <w:gridCol w:w="1291"/>
              <w:gridCol w:w="418"/>
              <w:gridCol w:w="1943"/>
              <w:gridCol w:w="668"/>
              <w:gridCol w:w="723"/>
              <w:gridCol w:w="749"/>
              <w:gridCol w:w="1286"/>
              <w:gridCol w:w="859"/>
            </w:tblGrid>
            <w:tr w14:paraId="2D77DB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358B48D8">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765" w:type="pct"/>
                  <w:noWrap w:val="0"/>
                  <w:vAlign w:val="center"/>
                </w:tcPr>
                <w:p w14:paraId="2D01E7E7">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固废名称</w:t>
                  </w:r>
                </w:p>
              </w:tc>
              <w:tc>
                <w:tcPr>
                  <w:tcW w:w="247" w:type="pct"/>
                  <w:noWrap w:val="0"/>
                  <w:vAlign w:val="center"/>
                </w:tcPr>
                <w:p w14:paraId="58B27208">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属性</w:t>
                  </w:r>
                </w:p>
              </w:tc>
              <w:tc>
                <w:tcPr>
                  <w:tcW w:w="1152" w:type="pct"/>
                  <w:noWrap w:val="0"/>
                  <w:vAlign w:val="center"/>
                </w:tcPr>
                <w:p w14:paraId="63438BE9">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代码</w:t>
                  </w:r>
                </w:p>
              </w:tc>
              <w:tc>
                <w:tcPr>
                  <w:tcW w:w="396" w:type="pct"/>
                  <w:noWrap w:val="0"/>
                  <w:vAlign w:val="center"/>
                </w:tcPr>
                <w:p w14:paraId="69162DB4">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物理性状</w:t>
                  </w:r>
                </w:p>
              </w:tc>
              <w:tc>
                <w:tcPr>
                  <w:tcW w:w="428" w:type="pct"/>
                  <w:noWrap w:val="0"/>
                  <w:vAlign w:val="center"/>
                </w:tcPr>
                <w:p w14:paraId="254C13CF">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环境危险特性</w:t>
                  </w:r>
                </w:p>
              </w:tc>
              <w:tc>
                <w:tcPr>
                  <w:tcW w:w="444" w:type="pct"/>
                  <w:noWrap w:val="0"/>
                  <w:vAlign w:val="center"/>
                </w:tcPr>
                <w:p w14:paraId="0EF6F79C">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贮存方式</w:t>
                  </w:r>
                </w:p>
              </w:tc>
              <w:tc>
                <w:tcPr>
                  <w:tcW w:w="762" w:type="pct"/>
                  <w:noWrap w:val="0"/>
                  <w:vAlign w:val="center"/>
                </w:tcPr>
                <w:p w14:paraId="2EE7CB14">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处置方式和去向</w:t>
                  </w:r>
                </w:p>
              </w:tc>
              <w:tc>
                <w:tcPr>
                  <w:tcW w:w="509" w:type="pct"/>
                  <w:noWrap w:val="0"/>
                  <w:vAlign w:val="center"/>
                </w:tcPr>
                <w:p w14:paraId="59E6BC7E">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处置量（t/a）</w:t>
                  </w:r>
                </w:p>
              </w:tc>
            </w:tr>
            <w:tr w14:paraId="4A6AD7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292" w:type="pct"/>
                  <w:noWrap w:val="0"/>
                  <w:vAlign w:val="center"/>
                </w:tcPr>
                <w:p w14:paraId="39ABA56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rPr>
                    <w:t>1</w:t>
                  </w:r>
                </w:p>
              </w:tc>
              <w:tc>
                <w:tcPr>
                  <w:tcW w:w="765" w:type="pct"/>
                  <w:noWrap w:val="0"/>
                  <w:vAlign w:val="center"/>
                </w:tcPr>
                <w:p w14:paraId="0D3B499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生活垃圾</w:t>
                  </w:r>
                </w:p>
              </w:tc>
              <w:tc>
                <w:tcPr>
                  <w:tcW w:w="247" w:type="pct"/>
                  <w:noWrap w:val="0"/>
                  <w:vAlign w:val="center"/>
                </w:tcPr>
                <w:p w14:paraId="3C9E581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生活垃圾</w:t>
                  </w:r>
                </w:p>
              </w:tc>
              <w:tc>
                <w:tcPr>
                  <w:tcW w:w="1152" w:type="pct"/>
                  <w:noWrap w:val="0"/>
                  <w:vAlign w:val="center"/>
                </w:tcPr>
                <w:p w14:paraId="0DBBFFF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SW64-900-099-S64</w:t>
                  </w:r>
                </w:p>
              </w:tc>
              <w:tc>
                <w:tcPr>
                  <w:tcW w:w="396" w:type="pct"/>
                  <w:noWrap w:val="0"/>
                  <w:vAlign w:val="center"/>
                </w:tcPr>
                <w:p w14:paraId="71CE78B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r>
                    <w:rPr>
                      <w:rFonts w:hint="default" w:ascii="Times New Roman" w:hAnsi="Times New Roman" w:cs="Times New Roman"/>
                      <w:bCs/>
                      <w:color w:val="000000" w:themeColor="text1"/>
                      <w:szCs w:val="21"/>
                      <w14:textFill>
                        <w14:solidFill>
                          <w14:schemeClr w14:val="tx1"/>
                        </w14:solidFill>
                      </w14:textFill>
                    </w:rPr>
                    <w:t>态</w:t>
                  </w:r>
                </w:p>
              </w:tc>
              <w:tc>
                <w:tcPr>
                  <w:tcW w:w="428" w:type="pct"/>
                  <w:noWrap w:val="0"/>
                  <w:vAlign w:val="center"/>
                </w:tcPr>
                <w:p w14:paraId="7BBBCA6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44" w:type="pct"/>
                  <w:noWrap w:val="0"/>
                  <w:vAlign w:val="center"/>
                </w:tcPr>
                <w:p w14:paraId="13E269B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垃圾桶</w:t>
                  </w:r>
                </w:p>
              </w:tc>
              <w:tc>
                <w:tcPr>
                  <w:tcW w:w="762" w:type="pct"/>
                  <w:noWrap w:val="0"/>
                  <w:vAlign w:val="center"/>
                </w:tcPr>
                <w:p w14:paraId="5ADAE52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收集后委托环卫部门清运处置</w:t>
                  </w:r>
                </w:p>
              </w:tc>
              <w:tc>
                <w:tcPr>
                  <w:tcW w:w="509" w:type="pct"/>
                  <w:noWrap w:val="0"/>
                  <w:vAlign w:val="center"/>
                </w:tcPr>
                <w:p w14:paraId="79FB6DE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6</w:t>
                  </w:r>
                </w:p>
              </w:tc>
            </w:tr>
            <w:tr w14:paraId="5CC8E7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1700898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rPr>
                    <w:t>2</w:t>
                  </w:r>
                </w:p>
              </w:tc>
              <w:tc>
                <w:tcPr>
                  <w:tcW w:w="765" w:type="pct"/>
                  <w:noWrap w:val="0"/>
                  <w:vAlign w:val="center"/>
                </w:tcPr>
                <w:p w14:paraId="0A243EDF">
                  <w:pPr>
                    <w:keepNext w:val="0"/>
                    <w:keepLines w:val="0"/>
                    <w:suppressLineNumbers w:val="0"/>
                    <w:spacing w:before="0" w:beforeAutospacing="0" w:after="0" w:afterAutospacing="0"/>
                    <w:ind w:left="0" w:right="0"/>
                    <w:jc w:val="center"/>
                    <w:rPr>
                      <w:rFonts w:hint="eastAsia" w:ascii="Times New Roman" w:hAnsi="Times New Roman" w:cs="Times New Roman"/>
                      <w:color w:val="auto"/>
                      <w:szCs w:val="21"/>
                    </w:rPr>
                  </w:pPr>
                  <w:r>
                    <w:rPr>
                      <w:rFonts w:hint="eastAsia" w:ascii="Times New Roman" w:hAnsi="Times New Roman" w:cs="Times New Roman"/>
                      <w:color w:val="auto"/>
                      <w:szCs w:val="21"/>
                      <w:lang w:val="en-US" w:eastAsia="zh-CN"/>
                    </w:rPr>
                    <w:t>废包装材料、纸张边角料、印刷不合格产品</w:t>
                  </w:r>
                </w:p>
              </w:tc>
              <w:tc>
                <w:tcPr>
                  <w:tcW w:w="247" w:type="pct"/>
                  <w:noWrap w:val="0"/>
                  <w:vAlign w:val="center"/>
                </w:tcPr>
                <w:p w14:paraId="10914F0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一般固废</w:t>
                  </w:r>
                </w:p>
              </w:tc>
              <w:tc>
                <w:tcPr>
                  <w:tcW w:w="1152" w:type="pct"/>
                  <w:noWrap w:val="0"/>
                  <w:vAlign w:val="center"/>
                </w:tcPr>
                <w:p w14:paraId="59B5A19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SW17-</w:t>
                  </w:r>
                  <w:r>
                    <w:rPr>
                      <w:rFonts w:hint="default" w:ascii="Times New Roman" w:hAnsi="Times New Roman" w:cs="Times New Roman"/>
                      <w:color w:val="000000" w:themeColor="text1"/>
                      <w:sz w:val="21"/>
                      <w:szCs w:val="21"/>
                      <w14:textFill>
                        <w14:solidFill>
                          <w14:schemeClr w14:val="tx1"/>
                        </w14:solidFill>
                      </w14:textFill>
                    </w:rPr>
                    <w:t>900-004-S17</w:t>
                  </w:r>
                </w:p>
              </w:tc>
              <w:tc>
                <w:tcPr>
                  <w:tcW w:w="396" w:type="pct"/>
                  <w:noWrap w:val="0"/>
                  <w:vAlign w:val="center"/>
                </w:tcPr>
                <w:p w14:paraId="11F7393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固</w:t>
                  </w:r>
                  <w:r>
                    <w:rPr>
                      <w:rFonts w:hint="default" w:ascii="Times New Roman" w:hAnsi="Times New Roman" w:cs="Times New Roman"/>
                      <w:bCs/>
                      <w:color w:val="000000" w:themeColor="text1"/>
                      <w:szCs w:val="21"/>
                      <w14:textFill>
                        <w14:solidFill>
                          <w14:schemeClr w14:val="tx1"/>
                        </w14:solidFill>
                      </w14:textFill>
                    </w:rPr>
                    <w:t>态</w:t>
                  </w:r>
                </w:p>
              </w:tc>
              <w:tc>
                <w:tcPr>
                  <w:tcW w:w="428" w:type="pct"/>
                  <w:noWrap w:val="0"/>
                  <w:vAlign w:val="center"/>
                </w:tcPr>
                <w:p w14:paraId="65D6608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444" w:type="pct"/>
                  <w:noWrap w:val="0"/>
                  <w:vAlign w:val="center"/>
                </w:tcPr>
                <w:p w14:paraId="1A6E845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生产车间</w:t>
                  </w:r>
                </w:p>
              </w:tc>
              <w:tc>
                <w:tcPr>
                  <w:tcW w:w="762" w:type="pct"/>
                  <w:noWrap w:val="0"/>
                  <w:vAlign w:val="center"/>
                </w:tcPr>
                <w:p w14:paraId="7EAFC6F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定期交由收购站收购处置</w:t>
                  </w:r>
                </w:p>
              </w:tc>
              <w:tc>
                <w:tcPr>
                  <w:tcW w:w="509" w:type="pct"/>
                  <w:noWrap w:val="0"/>
                  <w:vAlign w:val="center"/>
                </w:tcPr>
                <w:p w14:paraId="170DF4A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30</w:t>
                  </w:r>
                </w:p>
              </w:tc>
            </w:tr>
            <w:tr w14:paraId="6CF328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2036B6C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rPr>
                    <w:t>3</w:t>
                  </w:r>
                </w:p>
              </w:tc>
              <w:tc>
                <w:tcPr>
                  <w:tcW w:w="765" w:type="pct"/>
                  <w:noWrap w:val="0"/>
                  <w:vAlign w:val="center"/>
                </w:tcPr>
                <w:p w14:paraId="6D03B21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空油墨桶</w:t>
                  </w:r>
                </w:p>
              </w:tc>
              <w:tc>
                <w:tcPr>
                  <w:tcW w:w="247" w:type="pct"/>
                  <w:vMerge w:val="restart"/>
                  <w:noWrap w:val="0"/>
                  <w:vAlign w:val="center"/>
                </w:tcPr>
                <w:p w14:paraId="618472E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危险废物</w:t>
                  </w:r>
                </w:p>
              </w:tc>
              <w:tc>
                <w:tcPr>
                  <w:tcW w:w="1152" w:type="pct"/>
                  <w:noWrap w:val="0"/>
                  <w:vAlign w:val="center"/>
                </w:tcPr>
                <w:p w14:paraId="784DA27A">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eastAsia="宋体" w:cs="Times New Roman"/>
                      <w:color w:val="000000"/>
                      <w:kern w:val="0"/>
                      <w:sz w:val="20"/>
                      <w:szCs w:val="20"/>
                      <w:lang w:val="en-US" w:eastAsia="zh-CN" w:bidi="ar"/>
                    </w:rPr>
                    <w:t>HW49 900-041-49</w:t>
                  </w:r>
                </w:p>
              </w:tc>
              <w:tc>
                <w:tcPr>
                  <w:tcW w:w="396" w:type="pct"/>
                  <w:noWrap w:val="0"/>
                  <w:vAlign w:val="center"/>
                </w:tcPr>
                <w:p w14:paraId="77B7C2B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固</w:t>
                  </w:r>
                  <w:r>
                    <w:rPr>
                      <w:rFonts w:hint="default" w:ascii="Times New Roman" w:hAnsi="Times New Roman" w:cs="Times New Roman"/>
                      <w:bCs/>
                      <w:color w:val="auto"/>
                      <w:szCs w:val="21"/>
                    </w:rPr>
                    <w:t>态</w:t>
                  </w:r>
                </w:p>
              </w:tc>
              <w:tc>
                <w:tcPr>
                  <w:tcW w:w="428" w:type="pct"/>
                  <w:noWrap w:val="0"/>
                  <w:vAlign w:val="center"/>
                </w:tcPr>
                <w:p w14:paraId="5267031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444" w:type="pct"/>
                  <w:vMerge w:val="restart"/>
                  <w:noWrap w:val="0"/>
                  <w:vAlign w:val="center"/>
                </w:tcPr>
                <w:p w14:paraId="64EC89D4">
                  <w:pPr>
                    <w:keepNext w:val="0"/>
                    <w:keepLines w:val="0"/>
                    <w:suppressLineNumbers w:val="0"/>
                    <w:spacing w:before="0" w:beforeAutospacing="0" w:after="0" w:afterAutospacing="0"/>
                    <w:ind w:left="0" w:right="0"/>
                    <w:jc w:val="both"/>
                    <w:rPr>
                      <w:rFonts w:hint="default" w:ascii="Times New Roman" w:hAnsi="Times New Roman" w:cs="Times New Roman"/>
                      <w:color w:val="auto"/>
                      <w:szCs w:val="21"/>
                    </w:rPr>
                  </w:pPr>
                  <w:r>
                    <w:rPr>
                      <w:rFonts w:hint="eastAsia" w:ascii="Times New Roman" w:hAnsi="Times New Roman" w:cs="Times New Roman"/>
                      <w:color w:val="auto"/>
                      <w:szCs w:val="21"/>
                    </w:rPr>
                    <w:t>危废贮存库</w:t>
                  </w:r>
                </w:p>
              </w:tc>
              <w:tc>
                <w:tcPr>
                  <w:tcW w:w="762" w:type="pct"/>
                  <w:vMerge w:val="restart"/>
                  <w:noWrap w:val="0"/>
                  <w:vAlign w:val="center"/>
                </w:tcPr>
                <w:p w14:paraId="4B8D286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定期交由陕西</w:t>
                  </w:r>
                  <w:r>
                    <w:rPr>
                      <w:rFonts w:hint="default" w:ascii="Times New Roman" w:hAnsi="Times New Roman" w:cs="Times New Roman"/>
                      <w:color w:val="auto"/>
                      <w:szCs w:val="21"/>
                      <w:lang w:val="en-US" w:eastAsia="zh-CN"/>
                    </w:rPr>
                    <w:t>宏恩等离子技术有限责任公司</w:t>
                  </w:r>
                  <w:r>
                    <w:rPr>
                      <w:rFonts w:hint="default" w:ascii="Times New Roman" w:hAnsi="Times New Roman" w:cs="Times New Roman"/>
                      <w:color w:val="auto"/>
                      <w:szCs w:val="21"/>
                    </w:rPr>
                    <w:t>处置</w:t>
                  </w:r>
                </w:p>
              </w:tc>
              <w:tc>
                <w:tcPr>
                  <w:tcW w:w="509" w:type="pct"/>
                  <w:noWrap w:val="0"/>
                  <w:vAlign w:val="center"/>
                </w:tcPr>
                <w:p w14:paraId="4DB838B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0.4</w:t>
                  </w:r>
                </w:p>
              </w:tc>
            </w:tr>
            <w:tr w14:paraId="160861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2B9E488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rPr>
                    <w:t>4</w:t>
                  </w:r>
                </w:p>
              </w:tc>
              <w:tc>
                <w:tcPr>
                  <w:tcW w:w="765" w:type="pct"/>
                  <w:noWrap w:val="0"/>
                  <w:vAlign w:val="center"/>
                </w:tcPr>
                <w:p w14:paraId="5EB1A312">
                  <w:pPr>
                    <w:keepNext w:val="0"/>
                    <w:keepLines w:val="0"/>
                    <w:suppressLineNumbers w:val="0"/>
                    <w:spacing w:before="0" w:beforeAutospacing="0" w:after="0" w:afterAutospacing="0"/>
                    <w:ind w:left="0" w:right="0"/>
                    <w:jc w:val="center"/>
                    <w:rPr>
                      <w:rFonts w:hint="eastAsia" w:ascii="Times New Roman" w:hAnsi="Times New Roman" w:cs="Times New Roman"/>
                      <w:color w:val="auto"/>
                      <w:szCs w:val="21"/>
                    </w:rPr>
                  </w:pPr>
                  <w:r>
                    <w:rPr>
                      <w:rFonts w:hint="eastAsia" w:ascii="Times New Roman" w:hAnsi="Times New Roman" w:cs="Times New Roman"/>
                      <w:color w:val="auto"/>
                      <w:szCs w:val="21"/>
                      <w:lang w:val="en-US" w:eastAsia="zh-CN"/>
                    </w:rPr>
                    <w:t>废含油抹布</w:t>
                  </w:r>
                </w:p>
              </w:tc>
              <w:tc>
                <w:tcPr>
                  <w:tcW w:w="247" w:type="pct"/>
                  <w:vMerge w:val="continue"/>
                  <w:noWrap w:val="0"/>
                  <w:vAlign w:val="center"/>
                </w:tcPr>
                <w:p w14:paraId="1E03CC2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6C3847E0">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eastAsia="宋体" w:cs="Times New Roman"/>
                      <w:color w:val="000000"/>
                      <w:kern w:val="0"/>
                      <w:sz w:val="20"/>
                      <w:szCs w:val="20"/>
                      <w:lang w:val="en-US" w:eastAsia="zh-CN" w:bidi="ar"/>
                    </w:rPr>
                    <w:t>HW49 900-041-49</w:t>
                  </w:r>
                </w:p>
              </w:tc>
              <w:tc>
                <w:tcPr>
                  <w:tcW w:w="396" w:type="pct"/>
                  <w:noWrap w:val="0"/>
                  <w:vAlign w:val="center"/>
                </w:tcPr>
                <w:p w14:paraId="3203C2A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固</w:t>
                  </w:r>
                  <w:r>
                    <w:rPr>
                      <w:rFonts w:hint="default" w:ascii="Times New Roman" w:hAnsi="Times New Roman" w:cs="Times New Roman"/>
                      <w:bCs/>
                      <w:color w:val="auto"/>
                      <w:szCs w:val="21"/>
                    </w:rPr>
                    <w:t>态</w:t>
                  </w:r>
                </w:p>
              </w:tc>
              <w:tc>
                <w:tcPr>
                  <w:tcW w:w="428" w:type="pct"/>
                  <w:noWrap w:val="0"/>
                  <w:vAlign w:val="center"/>
                </w:tcPr>
                <w:p w14:paraId="43B076A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444" w:type="pct"/>
                  <w:vMerge w:val="continue"/>
                  <w:noWrap w:val="0"/>
                  <w:vAlign w:val="center"/>
                </w:tcPr>
                <w:p w14:paraId="3A7942F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668C174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48F37CA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rPr>
                    <w:t>0.0</w:t>
                  </w:r>
                  <w:r>
                    <w:rPr>
                      <w:rFonts w:hint="eastAsia" w:cs="Times New Roman"/>
                      <w:color w:val="auto"/>
                      <w:szCs w:val="21"/>
                      <w:lang w:val="en-US" w:eastAsia="zh-CN"/>
                    </w:rPr>
                    <w:t>05</w:t>
                  </w:r>
                </w:p>
              </w:tc>
            </w:tr>
            <w:tr w14:paraId="178A50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6E8AEE2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rPr>
                    <w:t>5</w:t>
                  </w:r>
                </w:p>
              </w:tc>
              <w:tc>
                <w:tcPr>
                  <w:tcW w:w="765" w:type="pct"/>
                  <w:noWrap w:val="0"/>
                  <w:vAlign w:val="center"/>
                </w:tcPr>
                <w:p w14:paraId="046FCDB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废污泥</w:t>
                  </w:r>
                </w:p>
              </w:tc>
              <w:tc>
                <w:tcPr>
                  <w:tcW w:w="247" w:type="pct"/>
                  <w:vMerge w:val="continue"/>
                  <w:noWrap w:val="0"/>
                  <w:vAlign w:val="center"/>
                </w:tcPr>
                <w:p w14:paraId="108CE53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209EF3B8">
                  <w:pPr>
                    <w:keepNext w:val="0"/>
                    <w:keepLines w:val="0"/>
                    <w:widowControl/>
                    <w:suppressLineNumbers w:val="0"/>
                    <w:spacing w:before="0" w:beforeAutospacing="0" w:after="0" w:afterAutospacing="0"/>
                    <w:ind w:left="0" w:right="0"/>
                    <w:jc w:val="left"/>
                    <w:rPr>
                      <w:rFonts w:hint="default" w:ascii="Times New Roman" w:hAnsi="Times New Roman" w:cs="Times New Roman"/>
                      <w:bCs/>
                      <w:color w:val="auto"/>
                      <w:szCs w:val="21"/>
                    </w:rPr>
                  </w:pPr>
                  <w:r>
                    <w:rPr>
                      <w:rFonts w:hint="default" w:ascii="Times New Roman" w:hAnsi="Times New Roman" w:eastAsia="宋体" w:cs="Times New Roman"/>
                      <w:color w:val="000000"/>
                      <w:kern w:val="0"/>
                      <w:sz w:val="20"/>
                      <w:szCs w:val="20"/>
                      <w:lang w:val="en-US" w:eastAsia="zh-CN" w:bidi="ar"/>
                    </w:rPr>
                    <w:t>HW</w:t>
                  </w:r>
                  <w:r>
                    <w:rPr>
                      <w:rFonts w:hint="eastAsia" w:ascii="Times New Roman" w:hAnsi="Times New Roman" w:eastAsia="宋体" w:cs="Times New Roman"/>
                      <w:color w:val="000000"/>
                      <w:kern w:val="0"/>
                      <w:sz w:val="20"/>
                      <w:szCs w:val="20"/>
                      <w:lang w:val="en-US" w:eastAsia="zh-CN" w:bidi="ar"/>
                    </w:rPr>
                    <w:t>12</w:t>
                  </w:r>
                  <w:r>
                    <w:rPr>
                      <w:rFonts w:hint="default" w:ascii="Times New Roman" w:hAnsi="Times New Roman" w:eastAsia="宋体" w:cs="Times New Roman"/>
                      <w:color w:val="000000"/>
                      <w:kern w:val="0"/>
                      <w:sz w:val="20"/>
                      <w:szCs w:val="20"/>
                      <w:lang w:val="en-US" w:eastAsia="zh-CN" w:bidi="ar"/>
                    </w:rPr>
                    <w:t xml:space="preserve"> 264-012-12</w:t>
                  </w:r>
                </w:p>
              </w:tc>
              <w:tc>
                <w:tcPr>
                  <w:tcW w:w="396" w:type="pct"/>
                  <w:noWrap w:val="0"/>
                  <w:vAlign w:val="center"/>
                </w:tcPr>
                <w:p w14:paraId="69B1213F">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eastAsia" w:cs="Times New Roman"/>
                      <w:bCs/>
                      <w:color w:val="auto"/>
                      <w:szCs w:val="21"/>
                      <w:lang w:val="en-US" w:eastAsia="zh-CN"/>
                    </w:rPr>
                    <w:t>固</w:t>
                  </w:r>
                  <w:r>
                    <w:rPr>
                      <w:rFonts w:hint="default" w:ascii="Times New Roman" w:hAnsi="Times New Roman" w:cs="Times New Roman"/>
                      <w:bCs/>
                      <w:color w:val="auto"/>
                      <w:szCs w:val="21"/>
                    </w:rPr>
                    <w:t>态</w:t>
                  </w:r>
                </w:p>
              </w:tc>
              <w:tc>
                <w:tcPr>
                  <w:tcW w:w="428" w:type="pct"/>
                  <w:noWrap w:val="0"/>
                  <w:vAlign w:val="center"/>
                </w:tcPr>
                <w:p w14:paraId="45B4AD55">
                  <w:pPr>
                    <w:keepNext w:val="0"/>
                    <w:keepLines w:val="0"/>
                    <w:suppressLineNumbers w:val="0"/>
                    <w:spacing w:before="0" w:beforeAutospacing="0" w:after="0" w:afterAutospacing="0"/>
                    <w:ind w:left="0" w:right="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T</w:t>
                  </w:r>
                </w:p>
              </w:tc>
              <w:tc>
                <w:tcPr>
                  <w:tcW w:w="444" w:type="pct"/>
                  <w:vMerge w:val="continue"/>
                  <w:noWrap w:val="0"/>
                  <w:vAlign w:val="center"/>
                </w:tcPr>
                <w:p w14:paraId="2BA43A3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5B6A437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0BF72953">
                  <w:pPr>
                    <w:keepNext w:val="0"/>
                    <w:keepLines w:val="0"/>
                    <w:suppressLineNumbers w:val="0"/>
                    <w:spacing w:before="0" w:beforeAutospacing="0" w:after="0" w:afterAutospacing="0"/>
                    <w:ind w:left="0" w:right="0"/>
                    <w:jc w:val="center"/>
                    <w:rPr>
                      <w:rFonts w:hint="eastAsia" w:ascii="Times New Roman" w:hAnsi="Times New Roman" w:eastAsia="宋体" w:cs="Times New Roman"/>
                      <w:bCs/>
                      <w:color w:val="auto"/>
                      <w:szCs w:val="21"/>
                      <w:lang w:eastAsia="zh-CN"/>
                    </w:rPr>
                  </w:pPr>
                  <w:r>
                    <w:rPr>
                      <w:rFonts w:hint="default" w:ascii="Times New Roman" w:hAnsi="Times New Roman" w:cs="Times New Roman"/>
                      <w:bCs/>
                      <w:color w:val="auto"/>
                      <w:szCs w:val="21"/>
                    </w:rPr>
                    <w:t>0.</w:t>
                  </w:r>
                  <w:r>
                    <w:rPr>
                      <w:rFonts w:hint="eastAsia" w:cs="Times New Roman"/>
                      <w:bCs/>
                      <w:color w:val="auto"/>
                      <w:szCs w:val="21"/>
                      <w:lang w:val="en-US" w:eastAsia="zh-CN"/>
                    </w:rPr>
                    <w:t>2</w:t>
                  </w:r>
                </w:p>
              </w:tc>
            </w:tr>
            <w:tr w14:paraId="457517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1CAF052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6</w:t>
                  </w:r>
                </w:p>
              </w:tc>
              <w:tc>
                <w:tcPr>
                  <w:tcW w:w="765" w:type="pct"/>
                  <w:noWrap w:val="0"/>
                  <w:vAlign w:val="center"/>
                </w:tcPr>
                <w:p w14:paraId="792B911C">
                  <w:pPr>
                    <w:keepNext w:val="0"/>
                    <w:keepLines w:val="0"/>
                    <w:suppressLineNumbers w:val="0"/>
                    <w:spacing w:before="0" w:beforeAutospacing="0" w:after="0" w:afterAutospacing="0"/>
                    <w:ind w:left="0" w:right="0"/>
                    <w:jc w:val="center"/>
                    <w:rPr>
                      <w:rFonts w:hint="eastAsia" w:ascii="Times New Roman" w:hAnsi="Times New Roman" w:cs="Times New Roman"/>
                      <w:color w:val="auto"/>
                      <w:szCs w:val="21"/>
                    </w:rPr>
                  </w:pPr>
                  <w:r>
                    <w:rPr>
                      <w:rFonts w:hint="eastAsia" w:ascii="Times New Roman" w:hAnsi="Times New Roman" w:cs="Times New Roman"/>
                      <w:color w:val="auto"/>
                      <w:szCs w:val="21"/>
                      <w:lang w:val="en-US" w:eastAsia="zh-CN"/>
                    </w:rPr>
                    <w:t>废空胶桶</w:t>
                  </w:r>
                </w:p>
              </w:tc>
              <w:tc>
                <w:tcPr>
                  <w:tcW w:w="247" w:type="pct"/>
                  <w:vMerge w:val="continue"/>
                  <w:noWrap w:val="0"/>
                  <w:vAlign w:val="center"/>
                </w:tcPr>
                <w:p w14:paraId="2F5AD67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12950D20">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eastAsia="宋体" w:cs="Times New Roman"/>
                      <w:color w:val="000000"/>
                      <w:kern w:val="0"/>
                      <w:sz w:val="20"/>
                      <w:szCs w:val="20"/>
                      <w:lang w:val="en-US" w:eastAsia="zh-CN" w:bidi="ar"/>
                    </w:rPr>
                    <w:t>HW49 900-041-49</w:t>
                  </w:r>
                </w:p>
              </w:tc>
              <w:tc>
                <w:tcPr>
                  <w:tcW w:w="396" w:type="pct"/>
                  <w:noWrap w:val="0"/>
                  <w:vAlign w:val="center"/>
                </w:tcPr>
                <w:p w14:paraId="5399710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rPr>
                  </w:pPr>
                  <w:r>
                    <w:rPr>
                      <w:rFonts w:hint="default" w:ascii="Times New Roman" w:hAnsi="Times New Roman" w:cs="Times New Roman"/>
                      <w:color w:val="auto"/>
                      <w:szCs w:val="21"/>
                    </w:rPr>
                    <w:t>固</w:t>
                  </w:r>
                  <w:r>
                    <w:rPr>
                      <w:rFonts w:hint="default" w:ascii="Times New Roman" w:hAnsi="Times New Roman" w:cs="Times New Roman"/>
                      <w:bCs/>
                      <w:color w:val="auto"/>
                      <w:szCs w:val="21"/>
                    </w:rPr>
                    <w:t>态</w:t>
                  </w:r>
                </w:p>
              </w:tc>
              <w:tc>
                <w:tcPr>
                  <w:tcW w:w="428" w:type="pct"/>
                  <w:noWrap w:val="0"/>
                  <w:vAlign w:val="center"/>
                </w:tcPr>
                <w:p w14:paraId="6AA7013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444" w:type="pct"/>
                  <w:vMerge w:val="continue"/>
                  <w:noWrap w:val="0"/>
                  <w:vAlign w:val="center"/>
                </w:tcPr>
                <w:p w14:paraId="0BD4C86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0BCF34E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00DA6D3A">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rPr>
                    <w:t>0.</w:t>
                  </w:r>
                  <w:r>
                    <w:rPr>
                      <w:rFonts w:hint="eastAsia" w:cs="Times New Roman"/>
                      <w:bCs/>
                      <w:color w:val="auto"/>
                      <w:szCs w:val="21"/>
                      <w:lang w:val="en-US" w:eastAsia="zh-CN"/>
                    </w:rPr>
                    <w:t>05</w:t>
                  </w:r>
                </w:p>
              </w:tc>
            </w:tr>
            <w:tr w14:paraId="2ED666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2786F03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7</w:t>
                  </w:r>
                </w:p>
              </w:tc>
              <w:tc>
                <w:tcPr>
                  <w:tcW w:w="765" w:type="pct"/>
                  <w:noWrap w:val="0"/>
                  <w:vAlign w:val="center"/>
                </w:tcPr>
                <w:p w14:paraId="409FB22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废机油</w:t>
                  </w:r>
                </w:p>
              </w:tc>
              <w:tc>
                <w:tcPr>
                  <w:tcW w:w="247" w:type="pct"/>
                  <w:vMerge w:val="continue"/>
                  <w:noWrap w:val="0"/>
                  <w:vAlign w:val="center"/>
                </w:tcPr>
                <w:p w14:paraId="7AD15A3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25388005">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eastAsia="宋体" w:cs="Times New Roman"/>
                      <w:color w:val="000000"/>
                      <w:kern w:val="0"/>
                      <w:sz w:val="20"/>
                      <w:szCs w:val="20"/>
                      <w:lang w:val="en-US" w:eastAsia="zh-CN" w:bidi="ar"/>
                    </w:rPr>
                    <w:t>HW08 900-217-08</w:t>
                  </w:r>
                </w:p>
              </w:tc>
              <w:tc>
                <w:tcPr>
                  <w:tcW w:w="396" w:type="pct"/>
                  <w:noWrap w:val="0"/>
                  <w:vAlign w:val="center"/>
                </w:tcPr>
                <w:p w14:paraId="6CC69AA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液态</w:t>
                  </w:r>
                </w:p>
              </w:tc>
              <w:tc>
                <w:tcPr>
                  <w:tcW w:w="428" w:type="pct"/>
                  <w:noWrap w:val="0"/>
                  <w:vAlign w:val="center"/>
                </w:tcPr>
                <w:p w14:paraId="06E7759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bCs/>
                      <w:color w:val="auto"/>
                      <w:szCs w:val="21"/>
                    </w:rPr>
                    <w:t>T，I</w:t>
                  </w:r>
                </w:p>
              </w:tc>
              <w:tc>
                <w:tcPr>
                  <w:tcW w:w="444" w:type="pct"/>
                  <w:vMerge w:val="continue"/>
                  <w:noWrap w:val="0"/>
                  <w:vAlign w:val="center"/>
                </w:tcPr>
                <w:p w14:paraId="3171B93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4837999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6B4DB86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default" w:ascii="Times New Roman" w:hAnsi="Times New Roman" w:cs="Times New Roman"/>
                      <w:color w:val="auto"/>
                      <w:szCs w:val="21"/>
                    </w:rPr>
                    <w:t>0.</w:t>
                  </w:r>
                  <w:r>
                    <w:rPr>
                      <w:rFonts w:hint="eastAsia" w:cs="Times New Roman"/>
                      <w:color w:val="auto"/>
                      <w:szCs w:val="21"/>
                      <w:lang w:val="en-US" w:eastAsia="zh-CN"/>
                    </w:rPr>
                    <w:t>2</w:t>
                  </w:r>
                </w:p>
              </w:tc>
            </w:tr>
            <w:tr w14:paraId="4F7A17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46DA60F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8</w:t>
                  </w:r>
                </w:p>
              </w:tc>
              <w:tc>
                <w:tcPr>
                  <w:tcW w:w="765" w:type="pct"/>
                  <w:noWrap w:val="0"/>
                  <w:vAlign w:val="center"/>
                </w:tcPr>
                <w:p w14:paraId="300B15F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废显影液</w:t>
                  </w:r>
                </w:p>
              </w:tc>
              <w:tc>
                <w:tcPr>
                  <w:tcW w:w="247" w:type="pct"/>
                  <w:vMerge w:val="continue"/>
                  <w:noWrap w:val="0"/>
                  <w:vAlign w:val="center"/>
                </w:tcPr>
                <w:p w14:paraId="55E11F4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0892772D">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eastAsia="宋体" w:cs="Times New Roman"/>
                      <w:color w:val="000000"/>
                      <w:kern w:val="0"/>
                      <w:sz w:val="20"/>
                      <w:szCs w:val="20"/>
                      <w:lang w:val="en-US" w:eastAsia="zh-CN" w:bidi="ar"/>
                    </w:rPr>
                    <w:t>HW16 231-002-16</w:t>
                  </w:r>
                </w:p>
              </w:tc>
              <w:tc>
                <w:tcPr>
                  <w:tcW w:w="396" w:type="pct"/>
                  <w:noWrap w:val="0"/>
                  <w:vAlign w:val="center"/>
                </w:tcPr>
                <w:p w14:paraId="017A7FF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color w:val="auto"/>
                      <w:szCs w:val="21"/>
                      <w:lang w:val="en-US" w:eastAsia="zh-CN"/>
                    </w:rPr>
                    <w:t>液态</w:t>
                  </w:r>
                </w:p>
              </w:tc>
              <w:tc>
                <w:tcPr>
                  <w:tcW w:w="428" w:type="pct"/>
                  <w:noWrap w:val="0"/>
                  <w:vAlign w:val="center"/>
                </w:tcPr>
                <w:p w14:paraId="5861569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bCs/>
                      <w:color w:val="auto"/>
                      <w:szCs w:val="21"/>
                    </w:rPr>
                    <w:t>T</w:t>
                  </w:r>
                </w:p>
              </w:tc>
              <w:tc>
                <w:tcPr>
                  <w:tcW w:w="444" w:type="pct"/>
                  <w:vMerge w:val="continue"/>
                  <w:noWrap w:val="0"/>
                  <w:vAlign w:val="center"/>
                </w:tcPr>
                <w:p w14:paraId="3788166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203196E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6F8785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0.15</w:t>
                  </w:r>
                </w:p>
              </w:tc>
            </w:tr>
            <w:tr w14:paraId="495B58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3176E80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9</w:t>
                  </w:r>
                </w:p>
              </w:tc>
              <w:tc>
                <w:tcPr>
                  <w:tcW w:w="765" w:type="pct"/>
                  <w:noWrap w:val="0"/>
                  <w:vAlign w:val="center"/>
                </w:tcPr>
                <w:p w14:paraId="00A6C92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废定影液</w:t>
                  </w:r>
                </w:p>
              </w:tc>
              <w:tc>
                <w:tcPr>
                  <w:tcW w:w="247" w:type="pct"/>
                  <w:vMerge w:val="continue"/>
                  <w:noWrap w:val="0"/>
                  <w:vAlign w:val="center"/>
                </w:tcPr>
                <w:p w14:paraId="73810B8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0E9523F4">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eastAsia="宋体" w:cs="Times New Roman"/>
                      <w:color w:val="000000"/>
                      <w:kern w:val="0"/>
                      <w:sz w:val="20"/>
                      <w:szCs w:val="20"/>
                      <w:lang w:val="en-US" w:eastAsia="zh-CN" w:bidi="ar"/>
                    </w:rPr>
                    <w:t>HW16 231-002-16</w:t>
                  </w:r>
                </w:p>
              </w:tc>
              <w:tc>
                <w:tcPr>
                  <w:tcW w:w="396" w:type="pct"/>
                  <w:noWrap w:val="0"/>
                  <w:vAlign w:val="center"/>
                </w:tcPr>
                <w:p w14:paraId="7042307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color w:val="auto"/>
                      <w:szCs w:val="21"/>
                      <w:lang w:val="en-US" w:eastAsia="zh-CN"/>
                    </w:rPr>
                    <w:t>液态</w:t>
                  </w:r>
                </w:p>
              </w:tc>
              <w:tc>
                <w:tcPr>
                  <w:tcW w:w="428" w:type="pct"/>
                  <w:noWrap w:val="0"/>
                  <w:vAlign w:val="center"/>
                </w:tcPr>
                <w:p w14:paraId="2CB6C37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bCs/>
                      <w:color w:val="auto"/>
                      <w:szCs w:val="21"/>
                    </w:rPr>
                    <w:t>T</w:t>
                  </w:r>
                </w:p>
              </w:tc>
              <w:tc>
                <w:tcPr>
                  <w:tcW w:w="444" w:type="pct"/>
                  <w:vMerge w:val="continue"/>
                  <w:noWrap w:val="0"/>
                  <w:vAlign w:val="center"/>
                </w:tcPr>
                <w:p w14:paraId="0FEF6804">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3E88167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75DA8C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0.15</w:t>
                  </w:r>
                </w:p>
              </w:tc>
            </w:tr>
            <w:tr w14:paraId="6A14EF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2987A17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c>
                <w:tcPr>
                  <w:tcW w:w="765" w:type="pct"/>
                  <w:noWrap w:val="0"/>
                  <w:vAlign w:val="center"/>
                </w:tcPr>
                <w:p w14:paraId="250A0A3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废活性炭</w:t>
                  </w:r>
                </w:p>
              </w:tc>
              <w:tc>
                <w:tcPr>
                  <w:tcW w:w="247" w:type="pct"/>
                  <w:vMerge w:val="continue"/>
                  <w:noWrap w:val="0"/>
                  <w:vAlign w:val="center"/>
                </w:tcPr>
                <w:p w14:paraId="0D49520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4D7E9EDB">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eastAsia="宋体" w:cs="Times New Roman"/>
                      <w:color w:val="000000"/>
                      <w:kern w:val="0"/>
                      <w:sz w:val="20"/>
                      <w:szCs w:val="20"/>
                      <w:lang w:val="en-US" w:eastAsia="zh-CN" w:bidi="ar"/>
                    </w:rPr>
                    <w:t>HW49 900-041-49</w:t>
                  </w:r>
                </w:p>
              </w:tc>
              <w:tc>
                <w:tcPr>
                  <w:tcW w:w="396" w:type="pct"/>
                  <w:noWrap w:val="0"/>
                  <w:vAlign w:val="center"/>
                </w:tcPr>
                <w:p w14:paraId="7E406B9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固态</w:t>
                  </w:r>
                </w:p>
              </w:tc>
              <w:tc>
                <w:tcPr>
                  <w:tcW w:w="428" w:type="pct"/>
                  <w:noWrap w:val="0"/>
                  <w:vAlign w:val="center"/>
                </w:tcPr>
                <w:p w14:paraId="147F09A9">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444" w:type="pct"/>
                  <w:vMerge w:val="continue"/>
                  <w:noWrap w:val="0"/>
                  <w:vAlign w:val="center"/>
                </w:tcPr>
                <w:p w14:paraId="5A9C6D1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5D690A4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6AA601B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10.29</w:t>
                  </w:r>
                </w:p>
              </w:tc>
            </w:tr>
            <w:tr w14:paraId="593A96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394BB8B4">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11</w:t>
                  </w:r>
                </w:p>
              </w:tc>
              <w:tc>
                <w:tcPr>
                  <w:tcW w:w="765" w:type="pct"/>
                  <w:noWrap w:val="0"/>
                  <w:vAlign w:val="center"/>
                </w:tcPr>
                <w:p w14:paraId="0F9AC63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废擦机布</w:t>
                  </w:r>
                </w:p>
              </w:tc>
              <w:tc>
                <w:tcPr>
                  <w:tcW w:w="247" w:type="pct"/>
                  <w:vMerge w:val="continue"/>
                  <w:noWrap w:val="0"/>
                  <w:vAlign w:val="center"/>
                </w:tcPr>
                <w:p w14:paraId="506445B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4001DAD1">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HW49 900-041-49</w:t>
                  </w:r>
                </w:p>
              </w:tc>
              <w:tc>
                <w:tcPr>
                  <w:tcW w:w="396" w:type="pct"/>
                  <w:noWrap w:val="0"/>
                  <w:vAlign w:val="center"/>
                </w:tcPr>
                <w:p w14:paraId="4345A067">
                  <w:pPr>
                    <w:keepNext w:val="0"/>
                    <w:keepLines w:val="0"/>
                    <w:suppressLineNumbers w:val="0"/>
                    <w:spacing w:before="0" w:beforeAutospacing="0" w:after="0" w:afterAutospacing="0"/>
                    <w:ind w:left="0" w:right="0"/>
                    <w:jc w:val="center"/>
                    <w:rPr>
                      <w:rFonts w:hint="eastAsia" w:cs="Times New Roman"/>
                      <w:color w:val="auto"/>
                      <w:szCs w:val="21"/>
                      <w:lang w:val="en-US" w:eastAsia="zh-CN"/>
                    </w:rPr>
                  </w:pPr>
                  <w:r>
                    <w:rPr>
                      <w:rFonts w:hint="eastAsia" w:cs="Times New Roman"/>
                      <w:color w:val="auto"/>
                      <w:szCs w:val="21"/>
                      <w:lang w:val="en-US" w:eastAsia="zh-CN"/>
                    </w:rPr>
                    <w:t>固态</w:t>
                  </w:r>
                </w:p>
              </w:tc>
              <w:tc>
                <w:tcPr>
                  <w:tcW w:w="428" w:type="pct"/>
                  <w:noWrap w:val="0"/>
                  <w:vAlign w:val="center"/>
                </w:tcPr>
                <w:p w14:paraId="4E8ABFA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T/In</w:t>
                  </w:r>
                </w:p>
              </w:tc>
              <w:tc>
                <w:tcPr>
                  <w:tcW w:w="444" w:type="pct"/>
                  <w:vMerge w:val="continue"/>
                  <w:noWrap w:val="0"/>
                  <w:vAlign w:val="center"/>
                </w:tcPr>
                <w:p w14:paraId="55A278B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60B1024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3D8755B7">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0.55</w:t>
                  </w:r>
                </w:p>
              </w:tc>
            </w:tr>
            <w:tr w14:paraId="35A7D5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292" w:type="pct"/>
                  <w:noWrap w:val="0"/>
                  <w:vAlign w:val="center"/>
                </w:tcPr>
                <w:p w14:paraId="2CF2318F">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12</w:t>
                  </w:r>
                </w:p>
              </w:tc>
              <w:tc>
                <w:tcPr>
                  <w:tcW w:w="765" w:type="pct"/>
                  <w:noWrap w:val="0"/>
                  <w:vAlign w:val="center"/>
                </w:tcPr>
                <w:p w14:paraId="656FABF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cs="Times New Roman"/>
                      <w:color w:val="auto"/>
                      <w:szCs w:val="21"/>
                      <w:lang w:val="en-US" w:eastAsia="zh-CN"/>
                    </w:rPr>
                    <w:t>废清洗剂</w:t>
                  </w:r>
                </w:p>
              </w:tc>
              <w:tc>
                <w:tcPr>
                  <w:tcW w:w="247" w:type="pct"/>
                  <w:vMerge w:val="continue"/>
                  <w:noWrap w:val="0"/>
                  <w:vAlign w:val="center"/>
                </w:tcPr>
                <w:p w14:paraId="389654D5">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7B82BE11">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kern w:val="0"/>
                      <w:sz w:val="20"/>
                      <w:szCs w:val="20"/>
                      <w:lang w:val="en-US" w:eastAsia="zh-CN" w:bidi="ar"/>
                    </w:rPr>
                  </w:pPr>
                  <w:r>
                    <w:rPr>
                      <w:rFonts w:hint="eastAsia" w:cs="Times New Roman"/>
                      <w:color w:val="auto"/>
                      <w:kern w:val="0"/>
                      <w:sz w:val="20"/>
                      <w:szCs w:val="20"/>
                      <w:lang w:val="en-US" w:eastAsia="zh-CN" w:bidi="ar"/>
                    </w:rPr>
                    <w:t>HW06 900-404-06</w:t>
                  </w:r>
                </w:p>
              </w:tc>
              <w:tc>
                <w:tcPr>
                  <w:tcW w:w="396" w:type="pct"/>
                  <w:noWrap w:val="0"/>
                  <w:vAlign w:val="center"/>
                </w:tcPr>
                <w:p w14:paraId="1C1EFB59">
                  <w:pPr>
                    <w:keepNext w:val="0"/>
                    <w:keepLines w:val="0"/>
                    <w:suppressLineNumbers w:val="0"/>
                    <w:spacing w:before="0" w:beforeAutospacing="0" w:after="0" w:afterAutospacing="0"/>
                    <w:ind w:left="0" w:right="0"/>
                    <w:jc w:val="center"/>
                    <w:rPr>
                      <w:rFonts w:hint="eastAsia" w:cs="Times New Roman"/>
                      <w:color w:val="auto"/>
                      <w:szCs w:val="21"/>
                      <w:lang w:val="en-US" w:eastAsia="zh-CN"/>
                    </w:rPr>
                  </w:pPr>
                  <w:r>
                    <w:rPr>
                      <w:rFonts w:hint="eastAsia" w:cs="Times New Roman"/>
                      <w:color w:val="auto"/>
                      <w:szCs w:val="21"/>
                      <w:lang w:val="en-US" w:eastAsia="zh-CN"/>
                    </w:rPr>
                    <w:t>液态</w:t>
                  </w:r>
                </w:p>
              </w:tc>
              <w:tc>
                <w:tcPr>
                  <w:tcW w:w="428" w:type="pct"/>
                  <w:noWrap w:val="0"/>
                  <w:vAlign w:val="center"/>
                </w:tcPr>
                <w:p w14:paraId="2EDA94F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T，I，R</w:t>
                  </w:r>
                </w:p>
              </w:tc>
              <w:tc>
                <w:tcPr>
                  <w:tcW w:w="444" w:type="pct"/>
                  <w:vMerge w:val="continue"/>
                  <w:noWrap w:val="0"/>
                  <w:vAlign w:val="center"/>
                </w:tcPr>
                <w:p w14:paraId="1B4D138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2153DA7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6F478E14">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0.5</w:t>
                  </w:r>
                </w:p>
              </w:tc>
            </w:tr>
            <w:tr w14:paraId="0BC33F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 w:type="pct"/>
                  <w:noWrap w:val="0"/>
                  <w:vAlign w:val="center"/>
                </w:tcPr>
                <w:p w14:paraId="6AC6960C">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13</w:t>
                  </w:r>
                </w:p>
              </w:tc>
              <w:tc>
                <w:tcPr>
                  <w:tcW w:w="765" w:type="pct"/>
                  <w:noWrap w:val="0"/>
                  <w:vAlign w:val="center"/>
                </w:tcPr>
                <w:p w14:paraId="3289B251">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废版</w:t>
                  </w:r>
                </w:p>
              </w:tc>
              <w:tc>
                <w:tcPr>
                  <w:tcW w:w="247" w:type="pct"/>
                  <w:vMerge w:val="continue"/>
                  <w:noWrap w:val="0"/>
                  <w:vAlign w:val="center"/>
                </w:tcPr>
                <w:p w14:paraId="7607D70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152" w:type="pct"/>
                  <w:noWrap w:val="0"/>
                  <w:vAlign w:val="center"/>
                </w:tcPr>
                <w:p w14:paraId="4FB0E853">
                  <w:pPr>
                    <w:keepNext w:val="0"/>
                    <w:keepLines w:val="0"/>
                    <w:widowControl/>
                    <w:suppressLineNumbers w:val="0"/>
                    <w:spacing w:before="0" w:beforeAutospacing="0" w:after="0" w:afterAutospacing="0"/>
                    <w:ind w:left="0" w:right="0"/>
                    <w:jc w:val="left"/>
                    <w:rPr>
                      <w:rFonts w:hint="default" w:cs="Times New Roman"/>
                      <w:color w:val="auto"/>
                      <w:kern w:val="0"/>
                      <w:sz w:val="20"/>
                      <w:szCs w:val="20"/>
                      <w:lang w:val="en-US" w:eastAsia="zh-CN" w:bidi="ar"/>
                    </w:rPr>
                  </w:pPr>
                  <w:r>
                    <w:rPr>
                      <w:rFonts w:hint="eastAsia" w:cs="Times New Roman"/>
                      <w:color w:val="auto"/>
                      <w:kern w:val="0"/>
                      <w:sz w:val="20"/>
                      <w:szCs w:val="20"/>
                      <w:lang w:val="en-US" w:eastAsia="zh-CN" w:bidi="ar"/>
                    </w:rPr>
                    <w:t>HW12-900-253-12</w:t>
                  </w:r>
                </w:p>
              </w:tc>
              <w:tc>
                <w:tcPr>
                  <w:tcW w:w="396" w:type="pct"/>
                  <w:noWrap w:val="0"/>
                  <w:vAlign w:val="center"/>
                </w:tcPr>
                <w:p w14:paraId="714138A8">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固态</w:t>
                  </w:r>
                </w:p>
              </w:tc>
              <w:tc>
                <w:tcPr>
                  <w:tcW w:w="428" w:type="pct"/>
                  <w:noWrap w:val="0"/>
                  <w:vAlign w:val="center"/>
                </w:tcPr>
                <w:p w14:paraId="633E4114">
                  <w:pPr>
                    <w:keepNext w:val="0"/>
                    <w:keepLines w:val="0"/>
                    <w:suppressLineNumbers w:val="0"/>
                    <w:spacing w:before="0" w:beforeAutospacing="0" w:after="0" w:afterAutospacing="0"/>
                    <w:ind w:left="0" w:right="0"/>
                    <w:jc w:val="center"/>
                    <w:rPr>
                      <w:rFonts w:hint="eastAsia" w:cs="Times New Roman"/>
                      <w:color w:val="auto"/>
                      <w:szCs w:val="21"/>
                      <w:lang w:val="en-US" w:eastAsia="zh-CN"/>
                    </w:rPr>
                  </w:pPr>
                  <w:r>
                    <w:rPr>
                      <w:rFonts w:hint="default" w:ascii="Times New Roman" w:hAnsi="Times New Roman" w:cs="Times New Roman"/>
                      <w:bCs/>
                      <w:color w:val="auto"/>
                      <w:szCs w:val="21"/>
                    </w:rPr>
                    <w:t>T，I</w:t>
                  </w:r>
                </w:p>
              </w:tc>
              <w:tc>
                <w:tcPr>
                  <w:tcW w:w="444" w:type="pct"/>
                  <w:vMerge w:val="continue"/>
                  <w:noWrap w:val="0"/>
                  <w:vAlign w:val="center"/>
                </w:tcPr>
                <w:p w14:paraId="11E972B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762" w:type="pct"/>
                  <w:vMerge w:val="continue"/>
                  <w:noWrap w:val="0"/>
                  <w:vAlign w:val="center"/>
                </w:tcPr>
                <w:p w14:paraId="04695D7C">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509" w:type="pct"/>
                  <w:noWrap w:val="0"/>
                  <w:vAlign w:val="center"/>
                </w:tcPr>
                <w:p w14:paraId="7764B975">
                  <w:pPr>
                    <w:keepNext w:val="0"/>
                    <w:keepLines w:val="0"/>
                    <w:suppressLineNumbers w:val="0"/>
                    <w:spacing w:before="0" w:beforeAutospacing="0" w:after="0" w:afterAutospacing="0"/>
                    <w:ind w:left="0" w:right="0"/>
                    <w:jc w:val="center"/>
                    <w:rPr>
                      <w:rFonts w:hint="default" w:cs="Times New Roman"/>
                      <w:color w:val="auto"/>
                      <w:szCs w:val="21"/>
                      <w:lang w:val="en-US" w:eastAsia="zh-CN"/>
                    </w:rPr>
                  </w:pPr>
                  <w:r>
                    <w:rPr>
                      <w:rFonts w:hint="eastAsia" w:cs="Times New Roman"/>
                      <w:color w:val="auto"/>
                      <w:szCs w:val="21"/>
                      <w:lang w:val="en-US" w:eastAsia="zh-CN"/>
                    </w:rPr>
                    <w:t>2</w:t>
                  </w:r>
                </w:p>
              </w:tc>
            </w:tr>
          </w:tbl>
          <w:p w14:paraId="09DABDD5">
            <w:pPr>
              <w:keepNext w:val="0"/>
              <w:keepLines w:val="0"/>
              <w:widowControl/>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宋体"/>
                <w:color w:val="auto"/>
                <w:kern w:val="0"/>
                <w:sz w:val="24"/>
              </w:rPr>
            </w:pPr>
            <w:r>
              <w:rPr>
                <w:rFonts w:hint="eastAsia" w:ascii="Times New Roman" w:hAnsi="Times New Roman" w:cs="宋体"/>
                <w:color w:val="auto"/>
                <w:kern w:val="0"/>
                <w:sz w:val="24"/>
              </w:rPr>
              <w:t>（6）现有危废贮存库现状</w:t>
            </w:r>
          </w:p>
          <w:p w14:paraId="2BB5F706">
            <w:pPr>
              <w:keepNext w:val="0"/>
              <w:keepLines w:val="0"/>
              <w:widowControl/>
              <w:suppressLineNumbers w:val="0"/>
              <w:spacing w:before="0" w:beforeAutospacing="0" w:after="0" w:afterAutospacing="0" w:line="360" w:lineRule="auto"/>
              <w:ind w:left="0" w:right="0" w:firstLine="480" w:firstLineChars="200"/>
              <w:rPr>
                <w:rFonts w:hint="eastAsia" w:ascii="Times New Roman" w:hAnsi="Times New Roman" w:cs="宋体"/>
                <w:color w:val="auto"/>
                <w:kern w:val="0"/>
                <w:sz w:val="24"/>
              </w:rPr>
            </w:pPr>
            <w:r>
              <w:rPr>
                <w:rFonts w:hint="eastAsia" w:ascii="Times New Roman" w:hAnsi="Times New Roman" w:cs="宋体"/>
                <w:color w:val="auto"/>
                <w:kern w:val="0"/>
                <w:sz w:val="24"/>
              </w:rPr>
              <w:t>现有危废贮存库已建成，位于厂房</w:t>
            </w:r>
            <w:r>
              <w:rPr>
                <w:rFonts w:hint="eastAsia" w:cs="宋体"/>
                <w:color w:val="auto"/>
                <w:kern w:val="0"/>
                <w:sz w:val="24"/>
                <w:lang w:val="en-US" w:eastAsia="zh-CN"/>
              </w:rPr>
              <w:t>西侧</w:t>
            </w:r>
            <w:r>
              <w:rPr>
                <w:rFonts w:hint="eastAsia" w:ascii="Times New Roman" w:hAnsi="Times New Roman" w:cs="宋体"/>
                <w:color w:val="auto"/>
                <w:kern w:val="0"/>
                <w:sz w:val="24"/>
              </w:rPr>
              <w:t>，占地面积约</w:t>
            </w:r>
            <w:r>
              <w:rPr>
                <w:rFonts w:hint="eastAsia" w:cs="宋体"/>
                <w:color w:val="auto"/>
                <w:kern w:val="0"/>
                <w:sz w:val="24"/>
                <w:lang w:val="en-US" w:eastAsia="zh-CN"/>
              </w:rPr>
              <w:t>50</w:t>
            </w:r>
            <w:r>
              <w:rPr>
                <w:rFonts w:hint="eastAsia" w:ascii="Times New Roman" w:hAnsi="Times New Roman" w:cs="宋体"/>
                <w:color w:val="auto"/>
                <w:kern w:val="0"/>
                <w:sz w:val="24"/>
              </w:rPr>
              <w:t>m</w:t>
            </w:r>
            <w:r>
              <w:rPr>
                <w:rFonts w:hint="eastAsia" w:ascii="Times New Roman" w:hAnsi="Times New Roman" w:cs="宋体"/>
                <w:color w:val="auto"/>
                <w:kern w:val="0"/>
                <w:sz w:val="24"/>
                <w:vertAlign w:val="superscript"/>
              </w:rPr>
              <w:t>2</w:t>
            </w:r>
            <w:r>
              <w:rPr>
                <w:rFonts w:hint="eastAsia" w:ascii="Times New Roman" w:hAnsi="Times New Roman" w:cs="宋体"/>
                <w:color w:val="auto"/>
                <w:kern w:val="0"/>
                <w:sz w:val="24"/>
              </w:rPr>
              <w:t>，已经投入使用，已经通过环境保护验收。</w:t>
            </w:r>
          </w:p>
          <w:p w14:paraId="13E43443">
            <w:pPr>
              <w:keepNext w:val="0"/>
              <w:keepLines w:val="0"/>
              <w:widowControl/>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宋体"/>
                <w:color w:val="auto"/>
                <w:kern w:val="0"/>
                <w:sz w:val="24"/>
              </w:rPr>
            </w:pPr>
            <w:r>
              <w:rPr>
                <w:rFonts w:hint="eastAsia" w:ascii="Times New Roman" w:hAnsi="Times New Roman" w:cs="宋体"/>
                <w:color w:val="auto"/>
                <w:kern w:val="0"/>
                <w:sz w:val="24"/>
              </w:rPr>
              <w:t>危废贮存库已按照《危险废物贮存污染控制标准》（GB 18597-2023）要求，地面铺设钢板防渗，危险废物置于托盘上；危险废物配备了专用收集容器，分类储存；危险废物贮存库设立有明显的警示标志；日常管理专人专管，制定了危险废物贮存的台账制度。但现危废贮存库门口标识不清晰，危废收集桶上无二维码标识。环评要求危废间门口更换最新标识，完善标识标志，危废存放设施按种类不同设置。</w:t>
            </w:r>
          </w:p>
          <w:p w14:paraId="01DD4CA2">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kern w:val="0"/>
                <w:sz w:val="24"/>
              </w:rPr>
            </w:pPr>
            <w:r>
              <w:rPr>
                <w:rFonts w:hint="eastAsia" w:ascii="Times New Roman" w:hAnsi="Times New Roman" w:cs="宋体"/>
                <w:color w:val="auto"/>
                <w:kern w:val="0"/>
                <w:sz w:val="24"/>
              </w:rPr>
              <w:t>（7）</w:t>
            </w:r>
            <w:r>
              <w:rPr>
                <w:rFonts w:hint="eastAsia" w:ascii="Times New Roman" w:hAnsi="Times New Roman" w:cs="Times New Roman"/>
                <w:color w:val="auto"/>
                <w:kern w:val="0"/>
                <w:sz w:val="24"/>
              </w:rPr>
              <w:t>危废贮存库依托可行性分析</w:t>
            </w:r>
          </w:p>
          <w:p w14:paraId="09502615">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kern w:val="0"/>
                <w:sz w:val="24"/>
              </w:rPr>
            </w:pPr>
            <w:r>
              <w:rPr>
                <w:rFonts w:hint="eastAsia" w:ascii="Times New Roman" w:hAnsi="Times New Roman" w:cs="Times New Roman"/>
                <w:color w:val="auto"/>
                <w:kern w:val="0"/>
                <w:sz w:val="24"/>
              </w:rPr>
              <w:t>本项目产生的危险废物暂存于现有工程危废贮存库，该危废贮存库占地面积约</w:t>
            </w:r>
            <w:r>
              <w:rPr>
                <w:rFonts w:hint="eastAsia" w:cs="Times New Roman"/>
                <w:color w:val="auto"/>
                <w:sz w:val="24"/>
                <w:lang w:val="en-US" w:eastAsia="zh-CN"/>
              </w:rPr>
              <w:t>50</w:t>
            </w:r>
            <w:r>
              <w:rPr>
                <w:rFonts w:hint="eastAsia" w:ascii="Times New Roman" w:hAnsi="Times New Roman" w:cs="Times New Roman"/>
                <w:color w:val="auto"/>
                <w:kern w:val="0"/>
                <w:sz w:val="24"/>
              </w:rPr>
              <w:t>m</w:t>
            </w:r>
            <w:r>
              <w:rPr>
                <w:rFonts w:hint="eastAsia" w:ascii="Times New Roman" w:hAnsi="Times New Roman" w:cs="Times New Roman"/>
                <w:color w:val="auto"/>
                <w:kern w:val="0"/>
                <w:sz w:val="24"/>
                <w:vertAlign w:val="superscript"/>
              </w:rPr>
              <w:t>2</w:t>
            </w:r>
            <w:r>
              <w:rPr>
                <w:rFonts w:hint="eastAsia" w:ascii="Times New Roman" w:hAnsi="Times New Roman" w:cs="Times New Roman"/>
                <w:color w:val="auto"/>
                <w:kern w:val="0"/>
                <w:sz w:val="24"/>
              </w:rPr>
              <w:t>，空间充足。</w:t>
            </w:r>
          </w:p>
          <w:p w14:paraId="1A24F1DF">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kern w:val="0"/>
                <w:sz w:val="24"/>
              </w:rPr>
            </w:pPr>
            <w:r>
              <w:rPr>
                <w:rFonts w:hint="eastAsia" w:ascii="Times New Roman" w:hAnsi="Times New Roman" w:cs="Times New Roman"/>
                <w:color w:val="auto"/>
                <w:kern w:val="0"/>
                <w:sz w:val="24"/>
              </w:rPr>
              <w:t>本项目产生的危废主要为</w:t>
            </w:r>
            <w:r>
              <w:rPr>
                <w:rFonts w:hint="eastAsia" w:ascii="Times New Roman" w:hAnsi="Times New Roman" w:cs="Times New Roman"/>
                <w:color w:val="auto"/>
                <w:sz w:val="24"/>
                <w:lang w:val="en-US" w:eastAsia="zh-CN"/>
              </w:rPr>
              <w:t>空油墨桶、废含油抹布、废污泥、废空胶桶、废机油、废显影液、废定影液、废活性炭</w:t>
            </w:r>
            <w:r>
              <w:rPr>
                <w:rFonts w:hint="eastAsia" w:cs="Times New Roman"/>
                <w:color w:val="auto"/>
                <w:sz w:val="24"/>
                <w:lang w:val="en-US" w:eastAsia="zh-CN"/>
              </w:rPr>
              <w:t>、废擦机布、废清洗剂、废版</w:t>
            </w:r>
            <w:r>
              <w:rPr>
                <w:rFonts w:hint="eastAsia" w:ascii="Times New Roman" w:hAnsi="Times New Roman" w:cs="Times New Roman"/>
                <w:color w:val="auto"/>
                <w:kern w:val="0"/>
                <w:sz w:val="24"/>
              </w:rPr>
              <w:t>，本项目产生的危废量大约为</w:t>
            </w:r>
            <w:r>
              <w:rPr>
                <w:rFonts w:hint="eastAsia" w:cs="Times New Roman"/>
                <w:color w:val="auto"/>
                <w:kern w:val="0"/>
                <w:sz w:val="24"/>
                <w:lang w:val="en-US" w:eastAsia="zh-CN"/>
              </w:rPr>
              <w:t>14.5</w:t>
            </w:r>
            <w:r>
              <w:rPr>
                <w:rFonts w:hint="eastAsia" w:ascii="Times New Roman" w:hAnsi="Times New Roman" w:cs="Times New Roman"/>
                <w:color w:val="auto"/>
                <w:kern w:val="0"/>
                <w:sz w:val="24"/>
              </w:rPr>
              <w:t>t/a。根据建设单位提供的资料现有工程危废产生量大约</w:t>
            </w:r>
            <w:r>
              <w:rPr>
                <w:rFonts w:hint="eastAsia" w:cs="Times New Roman"/>
                <w:color w:val="auto"/>
                <w:kern w:val="0"/>
                <w:sz w:val="24"/>
                <w:lang w:val="en-US" w:eastAsia="zh-CN"/>
              </w:rPr>
              <w:t>0.85</w:t>
            </w:r>
            <w:r>
              <w:rPr>
                <w:rFonts w:hint="eastAsia" w:ascii="Times New Roman" w:hAnsi="Times New Roman" w:cs="Times New Roman"/>
                <w:color w:val="auto"/>
                <w:kern w:val="0"/>
                <w:sz w:val="24"/>
              </w:rPr>
              <w:t>t/a，危废贮存库最多可容纳</w:t>
            </w:r>
            <w:r>
              <w:rPr>
                <w:rFonts w:hint="eastAsia" w:cs="Times New Roman"/>
                <w:color w:val="auto"/>
                <w:kern w:val="0"/>
                <w:sz w:val="24"/>
                <w:lang w:val="en-US" w:eastAsia="zh-CN"/>
              </w:rPr>
              <w:t>20</w:t>
            </w:r>
            <w:r>
              <w:rPr>
                <w:rFonts w:hint="eastAsia" w:ascii="Times New Roman" w:hAnsi="Times New Roman" w:cs="Times New Roman"/>
                <w:color w:val="auto"/>
                <w:kern w:val="0"/>
                <w:sz w:val="24"/>
              </w:rPr>
              <w:t>t危废量，因此现有危废贮存库剩余库存足够接收本项目产生的危险废物。</w:t>
            </w:r>
          </w:p>
          <w:p w14:paraId="1DCE87AA">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Times New Roman"/>
                <w:color w:val="auto"/>
                <w:kern w:val="0"/>
                <w:sz w:val="24"/>
              </w:rPr>
            </w:pPr>
            <w:r>
              <w:rPr>
                <w:rFonts w:hint="eastAsia" w:ascii="Times New Roman" w:hAnsi="Times New Roman" w:cs="Times New Roman"/>
                <w:color w:val="auto"/>
                <w:kern w:val="0"/>
                <w:sz w:val="24"/>
              </w:rPr>
              <w:t>危废贮存库严格按照上述管理要求落实后，并及时定期交由</w:t>
            </w:r>
            <w:r>
              <w:rPr>
                <w:rFonts w:hint="eastAsia" w:cs="Times New Roman"/>
                <w:color w:val="auto"/>
                <w:kern w:val="0"/>
                <w:sz w:val="24"/>
                <w:lang w:eastAsia="zh-CN"/>
              </w:rPr>
              <w:t>陕西宏恩等离子技术有限责任公司</w:t>
            </w:r>
            <w:r>
              <w:rPr>
                <w:rFonts w:hint="eastAsia" w:ascii="Times New Roman" w:hAnsi="Times New Roman" w:cs="Times New Roman"/>
                <w:color w:val="auto"/>
                <w:kern w:val="0"/>
                <w:sz w:val="24"/>
              </w:rPr>
              <w:t>处理，可满贮存要求。因此，本项目危废贮存库依托可行。</w:t>
            </w:r>
          </w:p>
          <w:p w14:paraId="5B1877BE">
            <w:pPr>
              <w:keepNext w:val="0"/>
              <w:keepLines w:val="0"/>
              <w:widowControl/>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cs="宋体"/>
                <w:color w:val="auto"/>
                <w:kern w:val="0"/>
                <w:sz w:val="24"/>
              </w:rPr>
            </w:pPr>
            <w:r>
              <w:rPr>
                <w:rFonts w:hint="eastAsia" w:ascii="Times New Roman" w:hAnsi="Times New Roman" w:cs="宋体"/>
                <w:color w:val="auto"/>
                <w:kern w:val="0"/>
                <w:sz w:val="24"/>
              </w:rPr>
              <w:t>（8）小结</w:t>
            </w:r>
          </w:p>
          <w:p w14:paraId="3B530276">
            <w:pPr>
              <w:keepNext w:val="0"/>
              <w:keepLines w:val="0"/>
              <w:suppressLineNumbers w:val="0"/>
              <w:tabs>
                <w:tab w:val="left" w:pos="2851"/>
              </w:tabs>
              <w:adjustRightInd w:val="0"/>
              <w:snapToGrid w:val="0"/>
              <w:spacing w:before="0" w:beforeAutospacing="0" w:after="0" w:afterAutospacing="0" w:line="360" w:lineRule="auto"/>
              <w:ind w:left="0" w:right="0" w:firstLine="480" w:firstLineChars="200"/>
              <w:rPr>
                <w:rFonts w:hint="default" w:ascii="Times New Roman" w:hAnsi="Times New Roman" w:cs="Times New Roman"/>
                <w:b/>
                <w:color w:val="auto"/>
                <w:sz w:val="24"/>
              </w:rPr>
            </w:pPr>
            <w:r>
              <w:rPr>
                <w:rFonts w:hint="eastAsia" w:ascii="Times New Roman" w:hAnsi="Times New Roman" w:cs="宋体"/>
                <w:color w:val="auto"/>
                <w:kern w:val="0"/>
                <w:sz w:val="24"/>
              </w:rPr>
              <w:t>综上所述，本项目固体废物综合处置率达1</w:t>
            </w:r>
            <w:r>
              <w:rPr>
                <w:rFonts w:hint="default" w:ascii="Times New Roman" w:hAnsi="Times New Roman" w:cs="宋体"/>
                <w:color w:val="auto"/>
                <w:kern w:val="0"/>
                <w:sz w:val="24"/>
              </w:rPr>
              <w:t>00%</w:t>
            </w:r>
            <w:r>
              <w:rPr>
                <w:rFonts w:hint="eastAsia" w:ascii="Times New Roman" w:hAnsi="Times New Roman" w:cs="宋体"/>
                <w:color w:val="auto"/>
                <w:kern w:val="0"/>
                <w:sz w:val="24"/>
              </w:rPr>
              <w:t>，在落实好危险固废安全贮存的情况下，不会造成二次污染，不会对周围环境造成影响，固废防治措施可行。</w:t>
            </w:r>
          </w:p>
          <w:p w14:paraId="33EB1953">
            <w:pPr>
              <w:keepNext w:val="0"/>
              <w:keepLines w:val="0"/>
              <w:suppressLineNumbers w:val="0"/>
              <w:tabs>
                <w:tab w:val="left" w:pos="2851"/>
              </w:tabs>
              <w:adjustRightInd w:val="0"/>
              <w:snapToGrid w:val="0"/>
              <w:spacing w:before="0" w:beforeAutospacing="0" w:after="0" w:afterAutospacing="0" w:line="360" w:lineRule="auto"/>
              <w:ind w:left="0" w:right="0"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5、地下水</w:t>
            </w:r>
          </w:p>
          <w:p w14:paraId="65D8E94C">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szCs w:val="32"/>
              </w:rPr>
            </w:pPr>
            <w:r>
              <w:rPr>
                <w:rFonts w:hint="default" w:ascii="Times New Roman" w:hAnsi="Times New Roman" w:cs="Times New Roman"/>
                <w:bCs/>
                <w:color w:val="auto"/>
                <w:sz w:val="24"/>
                <w:szCs w:val="32"/>
              </w:rPr>
              <w:t>本项目正常情况下没有可能造成地下水污染的新建装置和设施，本项目依托工程—化粪池</w:t>
            </w:r>
            <w:r>
              <w:rPr>
                <w:rFonts w:hint="eastAsia" w:cs="Times New Roman"/>
                <w:bCs/>
                <w:color w:val="auto"/>
                <w:sz w:val="24"/>
                <w:szCs w:val="32"/>
                <w:lang w:val="en-US" w:eastAsia="zh-CN"/>
              </w:rPr>
              <w:t>和废水处理</w:t>
            </w:r>
            <w:r>
              <w:rPr>
                <w:rFonts w:hint="default" w:ascii="Times New Roman" w:hAnsi="Times New Roman" w:cs="Times New Roman"/>
                <w:bCs/>
                <w:color w:val="auto"/>
                <w:sz w:val="24"/>
                <w:szCs w:val="32"/>
              </w:rPr>
              <w:t>可能会对项目区域地下水产生污染，根据现场踏勘，化粪池底部及四周采用10cm混凝土防渗结构，</w:t>
            </w:r>
            <w:r>
              <w:rPr>
                <w:rFonts w:hint="eastAsia" w:cs="Times New Roman"/>
                <w:bCs/>
                <w:color w:val="auto"/>
                <w:sz w:val="24"/>
                <w:szCs w:val="32"/>
                <w:lang w:val="en-US" w:eastAsia="zh-CN"/>
              </w:rPr>
              <w:t>废水处理间地面</w:t>
            </w:r>
            <w:r>
              <w:rPr>
                <w:rFonts w:hint="default" w:ascii="Times New Roman" w:hAnsi="Times New Roman" w:cs="Times New Roman"/>
                <w:bCs/>
                <w:color w:val="auto"/>
                <w:sz w:val="24"/>
                <w:szCs w:val="32"/>
              </w:rPr>
              <w:t>采用10cm混凝土防渗结构</w:t>
            </w:r>
            <w:r>
              <w:rPr>
                <w:rFonts w:hint="eastAsia" w:ascii="Times New Roman" w:hAnsi="Times New Roman" w:cs="Times New Roman"/>
                <w:bCs/>
                <w:color w:val="auto"/>
                <w:sz w:val="24"/>
                <w:szCs w:val="32"/>
                <w:lang w:eastAsia="zh-CN"/>
              </w:rPr>
              <w:t>，</w:t>
            </w:r>
            <w:r>
              <w:rPr>
                <w:rFonts w:hint="eastAsia" w:ascii="Times New Roman" w:hAnsi="Times New Roman" w:cs="Times New Roman"/>
                <w:bCs/>
                <w:color w:val="auto"/>
                <w:sz w:val="24"/>
                <w:szCs w:val="32"/>
                <w:lang w:val="en-US" w:eastAsia="zh-CN"/>
              </w:rPr>
              <w:t>废水处理设施为钢化一体机，</w:t>
            </w:r>
            <w:r>
              <w:rPr>
                <w:rFonts w:hint="default" w:ascii="Times New Roman" w:hAnsi="Times New Roman" w:cs="Times New Roman"/>
                <w:bCs/>
                <w:color w:val="auto"/>
                <w:sz w:val="24"/>
                <w:szCs w:val="32"/>
              </w:rPr>
              <w:t>基本不会对地下水环境产生影响。</w:t>
            </w:r>
          </w:p>
          <w:p w14:paraId="6FC91313">
            <w:pPr>
              <w:keepNext w:val="0"/>
              <w:keepLines w:val="0"/>
              <w:suppressLineNumbers w:val="0"/>
              <w:tabs>
                <w:tab w:val="left" w:pos="2582"/>
              </w:tabs>
              <w:spacing w:before="0" w:beforeAutospacing="0" w:after="0" w:afterAutospacing="0" w:line="360" w:lineRule="auto"/>
              <w:ind w:left="0" w:right="0" w:firstLine="442" w:firstLineChars="200"/>
              <w:jc w:val="left"/>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6、土壤</w:t>
            </w:r>
          </w:p>
          <w:p w14:paraId="3B346BD0">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bCs/>
                <w:color w:val="auto"/>
                <w:sz w:val="24"/>
                <w:szCs w:val="32"/>
                <w:lang w:val="de-DE"/>
              </w:rPr>
            </w:pPr>
            <w:r>
              <w:rPr>
                <w:rFonts w:hint="default" w:ascii="Times New Roman" w:hAnsi="Times New Roman" w:cs="Times New Roman"/>
                <w:bCs/>
                <w:color w:val="auto"/>
                <w:sz w:val="24"/>
                <w:szCs w:val="32"/>
                <w:lang w:val="de-DE"/>
              </w:rPr>
              <w:t>本项目原料、成品全部存放于厂房内，无露天堆放，运营期对土壤环境的影响主要为</w:t>
            </w:r>
            <w:r>
              <w:rPr>
                <w:rFonts w:hint="eastAsia" w:ascii="Times New Roman" w:hAnsi="Times New Roman" w:cs="Times New Roman"/>
                <w:bCs/>
                <w:color w:val="auto"/>
                <w:sz w:val="24"/>
                <w:szCs w:val="32"/>
                <w:lang w:val="de-DE"/>
              </w:rPr>
              <w:t>危废贮存库废机油</w:t>
            </w:r>
            <w:r>
              <w:rPr>
                <w:rFonts w:hint="eastAsia" w:cs="Times New Roman"/>
                <w:bCs/>
                <w:color w:val="auto"/>
                <w:sz w:val="24"/>
                <w:szCs w:val="32"/>
                <w:lang w:val="en-US" w:eastAsia="zh-CN"/>
              </w:rPr>
              <w:t>和空油墨桶中少量废油墨</w:t>
            </w:r>
            <w:r>
              <w:rPr>
                <w:rFonts w:hint="default" w:ascii="Times New Roman" w:hAnsi="Times New Roman" w:cs="Times New Roman"/>
                <w:bCs/>
                <w:color w:val="auto"/>
                <w:sz w:val="24"/>
                <w:szCs w:val="32"/>
                <w:lang w:val="de-DE"/>
              </w:rPr>
              <w:t>渗漏通过垂直入渗对土壤环境的影响。根据现场踏勘，</w:t>
            </w:r>
            <w:r>
              <w:rPr>
                <w:rFonts w:hint="eastAsia" w:cs="Times New Roman"/>
                <w:color w:val="auto"/>
                <w:sz w:val="24"/>
                <w:lang w:val="en-US" w:eastAsia="zh-CN"/>
              </w:rPr>
              <w:t>废油墨存于油墨桶中</w:t>
            </w:r>
            <w:r>
              <w:rPr>
                <w:rFonts w:hint="eastAsia" w:cs="Times New Roman"/>
                <w:color w:val="auto"/>
                <w:sz w:val="24"/>
                <w:lang w:eastAsia="zh-CN"/>
              </w:rPr>
              <w:t>，</w:t>
            </w:r>
            <w:r>
              <w:rPr>
                <w:rFonts w:hint="default" w:ascii="Times New Roman" w:hAnsi="Times New Roman" w:cs="Times New Roman"/>
                <w:bCs/>
                <w:color w:val="auto"/>
                <w:sz w:val="24"/>
                <w:szCs w:val="32"/>
                <w:lang w:val="de-DE"/>
              </w:rPr>
              <w:t>厂房</w:t>
            </w:r>
            <w:r>
              <w:rPr>
                <w:rFonts w:hint="eastAsia" w:cs="Times New Roman"/>
                <w:bCs/>
                <w:color w:val="auto"/>
                <w:sz w:val="24"/>
                <w:szCs w:val="32"/>
                <w:lang w:val="en-US" w:eastAsia="zh-CN"/>
              </w:rPr>
              <w:t>地面</w:t>
            </w:r>
            <w:r>
              <w:rPr>
                <w:rFonts w:hint="default" w:ascii="Times New Roman" w:hAnsi="Times New Roman" w:cs="Times New Roman"/>
                <w:bCs/>
                <w:color w:val="auto"/>
                <w:sz w:val="24"/>
                <w:szCs w:val="32"/>
                <w:lang w:val="de-DE"/>
              </w:rPr>
              <w:t>已全部</w:t>
            </w:r>
            <w:r>
              <w:rPr>
                <w:rFonts w:hint="eastAsia" w:cs="Times New Roman"/>
                <w:bCs/>
                <w:color w:val="auto"/>
                <w:sz w:val="24"/>
                <w:szCs w:val="32"/>
                <w:lang w:val="en-US" w:eastAsia="zh-CN"/>
              </w:rPr>
              <w:t>硬化</w:t>
            </w:r>
            <w:r>
              <w:rPr>
                <w:rFonts w:hint="default" w:ascii="Times New Roman" w:hAnsi="Times New Roman" w:cs="Times New Roman"/>
                <w:bCs/>
                <w:color w:val="auto"/>
                <w:sz w:val="24"/>
                <w:szCs w:val="32"/>
                <w:lang w:val="de-DE"/>
              </w:rPr>
              <w:t>，按照</w:t>
            </w:r>
            <w:r>
              <w:rPr>
                <w:rFonts w:hint="default" w:ascii="Times New Roman" w:hAnsi="Times New Roman" w:cs="Times New Roman"/>
                <w:color w:val="auto"/>
                <w:sz w:val="24"/>
              </w:rPr>
              <w:t>《危险废物贮存污染控制标准》（GB18597-20</w:t>
            </w:r>
            <w:r>
              <w:rPr>
                <w:rFonts w:hint="eastAsia" w:ascii="Times New Roman" w:hAnsi="Times New Roman" w:cs="Times New Roman"/>
                <w:color w:val="auto"/>
                <w:sz w:val="24"/>
              </w:rPr>
              <w:t>23</w:t>
            </w:r>
            <w:r>
              <w:rPr>
                <w:rFonts w:hint="default" w:ascii="Times New Roman" w:hAnsi="Times New Roman" w:cs="Times New Roman"/>
                <w:color w:val="auto"/>
                <w:sz w:val="24"/>
              </w:rPr>
              <w:t>）要求进行防渗处理。</w:t>
            </w:r>
            <w:r>
              <w:rPr>
                <w:rFonts w:hint="default" w:ascii="Times New Roman" w:hAnsi="Times New Roman" w:cs="Times New Roman"/>
                <w:bCs/>
                <w:color w:val="auto"/>
                <w:sz w:val="24"/>
                <w:szCs w:val="32"/>
                <w:lang w:val="de-DE"/>
              </w:rPr>
              <w:t>正常情况下，污染物不会通过厂房地面进入土壤环境。项目在严格落实大气污染防治设施及分区防渗措施，采取必要的检修、管理措施条件下，对土壤环境的影响较小。</w:t>
            </w:r>
          </w:p>
          <w:p w14:paraId="3DBAECF2">
            <w:pPr>
              <w:keepNext w:val="0"/>
              <w:keepLines w:val="0"/>
              <w:suppressLineNumbers w:val="0"/>
              <w:tabs>
                <w:tab w:val="left" w:pos="2582"/>
              </w:tabs>
              <w:spacing w:before="0" w:beforeAutospacing="0" w:after="0" w:afterAutospacing="0" w:line="360" w:lineRule="auto"/>
              <w:ind w:left="0" w:right="0" w:firstLine="442" w:firstLineChars="200"/>
              <w:jc w:val="left"/>
              <w:rPr>
                <w:rFonts w:hint="default" w:ascii="Times New Roman" w:hAnsi="Times New Roman" w:cs="Times New Roman"/>
                <w:b/>
                <w:color w:val="auto"/>
                <w:spacing w:val="-10"/>
                <w:sz w:val="24"/>
              </w:rPr>
            </w:pPr>
            <w:r>
              <w:rPr>
                <w:rFonts w:hint="eastAsia" w:ascii="Times New Roman" w:hAnsi="Times New Roman" w:cs="Times New Roman"/>
                <w:b/>
                <w:color w:val="auto"/>
                <w:spacing w:val="-10"/>
                <w:sz w:val="24"/>
              </w:rPr>
              <w:t>7</w:t>
            </w:r>
            <w:r>
              <w:rPr>
                <w:rFonts w:hint="default" w:ascii="Times New Roman" w:hAnsi="Times New Roman" w:cs="Times New Roman"/>
                <w:b/>
                <w:color w:val="auto"/>
                <w:spacing w:val="-10"/>
                <w:sz w:val="24"/>
              </w:rPr>
              <w:t>、</w:t>
            </w:r>
            <w:r>
              <w:rPr>
                <w:rFonts w:hint="eastAsia" w:ascii="Times New Roman" w:hAnsi="Times New Roman" w:cs="Times New Roman"/>
                <w:b/>
                <w:color w:val="auto"/>
                <w:spacing w:val="-10"/>
                <w:sz w:val="24"/>
              </w:rPr>
              <w:t>环境风险</w:t>
            </w:r>
          </w:p>
          <w:p w14:paraId="552B8FD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（1）风险物质识别</w:t>
            </w:r>
          </w:p>
          <w:p w14:paraId="684C924B">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根据《建设项目环境风险评价技术导则》（HJ169-2018）附录B，对本项目使用的原辅料进行识别，属于风险物质的为</w:t>
            </w:r>
            <w:r>
              <w:rPr>
                <w:rFonts w:hint="eastAsia" w:cs="Times New Roman"/>
                <w:bCs/>
                <w:color w:val="auto"/>
                <w:sz w:val="24"/>
                <w:lang w:val="en-US" w:eastAsia="zh-CN"/>
              </w:rPr>
              <w:t>机油和</w:t>
            </w:r>
            <w:r>
              <w:rPr>
                <w:rFonts w:hint="eastAsia" w:ascii="Times New Roman" w:hAnsi="Times New Roman" w:cs="Times New Roman"/>
                <w:bCs/>
                <w:color w:val="auto"/>
                <w:sz w:val="24"/>
              </w:rPr>
              <w:t>废机油</w:t>
            </w:r>
            <w:r>
              <w:rPr>
                <w:rFonts w:hint="default" w:ascii="Times New Roman" w:hAnsi="Times New Roman" w:cs="Times New Roman"/>
                <w:bCs/>
                <w:color w:val="auto"/>
                <w:sz w:val="24"/>
              </w:rPr>
              <w:t>。存储位置为</w:t>
            </w:r>
            <w:r>
              <w:rPr>
                <w:rFonts w:hint="eastAsia" w:cs="Times New Roman"/>
                <w:bCs/>
                <w:color w:val="auto"/>
                <w:sz w:val="24"/>
                <w:lang w:val="en-US" w:eastAsia="zh-CN"/>
              </w:rPr>
              <w:t>库房和</w:t>
            </w:r>
            <w:r>
              <w:rPr>
                <w:rFonts w:hint="default" w:ascii="Times New Roman" w:hAnsi="Times New Roman" w:cs="Times New Roman"/>
                <w:bCs/>
                <w:color w:val="auto"/>
                <w:sz w:val="24"/>
              </w:rPr>
              <w:t>危废</w:t>
            </w:r>
            <w:r>
              <w:rPr>
                <w:rFonts w:hint="eastAsia" w:ascii="Times New Roman" w:hAnsi="Times New Roman" w:cs="Times New Roman"/>
                <w:bCs/>
                <w:color w:val="auto"/>
                <w:sz w:val="24"/>
              </w:rPr>
              <w:t>贮存库</w:t>
            </w:r>
            <w:r>
              <w:rPr>
                <w:rFonts w:hint="default" w:ascii="Times New Roman" w:hAnsi="Times New Roman" w:cs="Times New Roman"/>
                <w:bCs/>
                <w:color w:val="auto"/>
                <w:sz w:val="24"/>
              </w:rPr>
              <w:t>。</w:t>
            </w:r>
            <w:r>
              <w:rPr>
                <w:rFonts w:hint="eastAsia" w:ascii="Times New Roman" w:hAnsi="Times New Roman" w:cs="Times New Roman"/>
                <w:bCs/>
                <w:color w:val="auto"/>
                <w:sz w:val="24"/>
              </w:rPr>
              <w:t>风险物质存在量及临界量见下表：</w:t>
            </w:r>
          </w:p>
          <w:p w14:paraId="6AE75C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黑体" w:cs="Times New Roman"/>
                <w:color w:val="auto"/>
                <w:sz w:val="24"/>
                <w:szCs w:val="20"/>
              </w:rPr>
            </w:pPr>
            <w:r>
              <w:rPr>
                <w:rFonts w:hint="default" w:ascii="Times New Roman" w:hAnsi="Times New Roman" w:cs="Times New Roman"/>
                <w:b/>
                <w:color w:val="auto"/>
                <w:sz w:val="24"/>
              </w:rPr>
              <w:t>表4-</w:t>
            </w:r>
            <w:r>
              <w:rPr>
                <w:rFonts w:hint="eastAsia" w:ascii="Times New Roman" w:hAnsi="Times New Roman" w:cs="Times New Roman"/>
                <w:b/>
                <w:color w:val="auto"/>
                <w:sz w:val="24"/>
              </w:rPr>
              <w:t>1</w:t>
            </w:r>
            <w:r>
              <w:rPr>
                <w:rFonts w:hint="eastAsia" w:cs="Times New Roman"/>
                <w:b/>
                <w:color w:val="auto"/>
                <w:sz w:val="24"/>
                <w:lang w:val="en-US" w:eastAsia="zh-CN"/>
              </w:rPr>
              <w:t>3</w:t>
            </w:r>
            <w:r>
              <w:rPr>
                <w:rFonts w:hint="eastAsia" w:ascii="Times New Roman" w:hAnsi="Times New Roman" w:cs="Times New Roman"/>
                <w:b/>
                <w:color w:val="auto"/>
                <w:sz w:val="24"/>
              </w:rPr>
              <w:t xml:space="preserve"> </w:t>
            </w:r>
            <w:r>
              <w:rPr>
                <w:rFonts w:hint="default" w:ascii="Times New Roman" w:hAnsi="Times New Roman" w:cs="Times New Roman"/>
                <w:b/>
                <w:color w:val="auto"/>
                <w:sz w:val="24"/>
              </w:rPr>
              <w:t xml:space="preserve"> </w:t>
            </w:r>
            <w:r>
              <w:rPr>
                <w:rFonts w:hint="eastAsia" w:ascii="Times New Roman" w:hAnsi="Times New Roman" w:cs="Times New Roman"/>
                <w:b/>
                <w:color w:val="auto"/>
                <w:sz w:val="24"/>
              </w:rPr>
              <w:t>全厂</w:t>
            </w:r>
            <w:r>
              <w:rPr>
                <w:rFonts w:hint="default" w:ascii="Times New Roman" w:hAnsi="Times New Roman" w:cs="Times New Roman"/>
                <w:b/>
                <w:color w:val="auto"/>
                <w:sz w:val="24"/>
              </w:rPr>
              <w:t>风险物质存在量一览表</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55"/>
              <w:gridCol w:w="2058"/>
              <w:gridCol w:w="2058"/>
              <w:gridCol w:w="2059"/>
            </w:tblGrid>
            <w:tr w14:paraId="265AEF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noWrap w:val="0"/>
                  <w:vAlign w:val="center"/>
                </w:tcPr>
                <w:p w14:paraId="781F210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类别</w:t>
                  </w:r>
                </w:p>
              </w:tc>
              <w:tc>
                <w:tcPr>
                  <w:tcW w:w="1220" w:type="pct"/>
                  <w:noWrap w:val="0"/>
                  <w:vAlign w:val="center"/>
                </w:tcPr>
                <w:p w14:paraId="55D0DF5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rPr>
                  </w:pPr>
                  <w:r>
                    <w:rPr>
                      <w:rFonts w:hint="default" w:ascii="Times New Roman" w:hAnsi="Times New Roman" w:cs="Times New Roman"/>
                      <w:b/>
                      <w:color w:val="auto"/>
                      <w:kern w:val="21"/>
                      <w:szCs w:val="21"/>
                    </w:rPr>
                    <w:t>最大贮存量</w:t>
                  </w:r>
                </w:p>
              </w:tc>
              <w:tc>
                <w:tcPr>
                  <w:tcW w:w="1220" w:type="pct"/>
                  <w:noWrap w:val="0"/>
                  <w:vAlign w:val="center"/>
                </w:tcPr>
                <w:p w14:paraId="593D86C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21"/>
                      <w:szCs w:val="21"/>
                    </w:rPr>
                  </w:pPr>
                  <w:r>
                    <w:rPr>
                      <w:rFonts w:hint="default" w:ascii="Times New Roman" w:hAnsi="Times New Roman" w:cs="Times New Roman"/>
                      <w:b/>
                      <w:color w:val="auto"/>
                      <w:kern w:val="21"/>
                      <w:szCs w:val="21"/>
                    </w:rPr>
                    <w:t>临界量</w:t>
                  </w:r>
                </w:p>
              </w:tc>
              <w:tc>
                <w:tcPr>
                  <w:tcW w:w="1221" w:type="pct"/>
                  <w:noWrap w:val="0"/>
                  <w:vAlign w:val="center"/>
                </w:tcPr>
                <w:p w14:paraId="0E6BFEB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21"/>
                      <w:szCs w:val="21"/>
                    </w:rPr>
                  </w:pPr>
                  <w:r>
                    <w:rPr>
                      <w:rFonts w:hint="eastAsia" w:ascii="Times New Roman" w:hAnsi="Times New Roman" w:cs="Times New Roman"/>
                      <w:b/>
                      <w:color w:val="auto"/>
                      <w:kern w:val="21"/>
                      <w:szCs w:val="21"/>
                    </w:rPr>
                    <w:t>Q值</w:t>
                  </w:r>
                </w:p>
              </w:tc>
            </w:tr>
            <w:tr w14:paraId="6301B3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noWrap w:val="0"/>
                  <w:vAlign w:val="center"/>
                </w:tcPr>
                <w:p w14:paraId="4B41961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机油</w:t>
                  </w:r>
                </w:p>
              </w:tc>
              <w:tc>
                <w:tcPr>
                  <w:tcW w:w="1220" w:type="pct"/>
                  <w:noWrap w:val="0"/>
                  <w:vAlign w:val="center"/>
                </w:tcPr>
                <w:p w14:paraId="5F1A63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0.6t</w:t>
                  </w:r>
                </w:p>
              </w:tc>
              <w:tc>
                <w:tcPr>
                  <w:tcW w:w="1220" w:type="pct"/>
                  <w:noWrap w:val="0"/>
                  <w:vAlign w:val="center"/>
                </w:tcPr>
                <w:p w14:paraId="3896A1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2500t</w:t>
                  </w:r>
                </w:p>
              </w:tc>
              <w:tc>
                <w:tcPr>
                  <w:tcW w:w="1221" w:type="pct"/>
                  <w:noWrap w:val="0"/>
                  <w:vAlign w:val="center"/>
                </w:tcPr>
                <w:p w14:paraId="2F4B84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0.00024</w:t>
                  </w:r>
                </w:p>
              </w:tc>
            </w:tr>
            <w:tr w14:paraId="72C1E6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37" w:type="pct"/>
                  <w:noWrap w:val="0"/>
                  <w:vAlign w:val="center"/>
                </w:tcPr>
                <w:p w14:paraId="30B59B51">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rPr>
                    <w:t>废机油</w:t>
                  </w:r>
                </w:p>
              </w:tc>
              <w:tc>
                <w:tcPr>
                  <w:tcW w:w="1220" w:type="pct"/>
                  <w:noWrap w:val="0"/>
                  <w:vAlign w:val="center"/>
                </w:tcPr>
                <w:p w14:paraId="3D91C946">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0.2</w:t>
                  </w:r>
                  <w:r>
                    <w:rPr>
                      <w:rFonts w:hint="default" w:ascii="Times New Roman" w:hAnsi="Times New Roman" w:cs="Times New Roman"/>
                      <w:color w:val="auto"/>
                      <w:szCs w:val="21"/>
                    </w:rPr>
                    <w:t>t</w:t>
                  </w:r>
                </w:p>
              </w:tc>
              <w:tc>
                <w:tcPr>
                  <w:tcW w:w="1220" w:type="pct"/>
                  <w:noWrap w:val="0"/>
                  <w:vAlign w:val="center"/>
                </w:tcPr>
                <w:p w14:paraId="7C83D015">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rPr>
                    <w:t>50</w:t>
                  </w:r>
                  <w:r>
                    <w:rPr>
                      <w:rFonts w:hint="default" w:ascii="Times New Roman" w:hAnsi="Times New Roman" w:cs="Times New Roman"/>
                      <w:color w:val="auto"/>
                      <w:szCs w:val="21"/>
                    </w:rPr>
                    <w:t>t</w:t>
                  </w:r>
                </w:p>
              </w:tc>
              <w:tc>
                <w:tcPr>
                  <w:tcW w:w="1221" w:type="pct"/>
                  <w:noWrap w:val="0"/>
                  <w:vAlign w:val="center"/>
                </w:tcPr>
                <w:p w14:paraId="5E079F3E">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0.004</w:t>
                  </w:r>
                </w:p>
              </w:tc>
            </w:tr>
          </w:tbl>
          <w:p w14:paraId="34786B82">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rPr>
            </w:pPr>
            <w:r>
              <w:rPr>
                <w:rFonts w:hint="eastAsia" w:ascii="Times New Roman" w:hAnsi="Times New Roman" w:cs="Times New Roman"/>
                <w:bCs/>
                <w:color w:val="auto"/>
                <w:sz w:val="24"/>
              </w:rPr>
              <w:t>由上表可知，</w:t>
            </w:r>
            <w:r>
              <w:rPr>
                <w:rFonts w:hint="default" w:ascii="Times New Roman" w:hAnsi="Times New Roman" w:cs="Times New Roman"/>
                <w:bCs/>
                <w:color w:val="auto"/>
                <w:sz w:val="24"/>
              </w:rPr>
              <w:t>本项目有毒有害和易燃易爆危险物质存储量</w:t>
            </w:r>
            <w:r>
              <w:rPr>
                <w:rFonts w:hint="eastAsia" w:ascii="Times New Roman" w:hAnsi="Times New Roman" w:cs="Times New Roman"/>
                <w:bCs/>
                <w:color w:val="auto"/>
                <w:sz w:val="24"/>
              </w:rPr>
              <w:t>小</w:t>
            </w:r>
            <w:r>
              <w:rPr>
                <w:rFonts w:hint="default" w:ascii="Times New Roman" w:hAnsi="Times New Roman" w:cs="Times New Roman"/>
                <w:bCs/>
                <w:color w:val="auto"/>
                <w:sz w:val="24"/>
              </w:rPr>
              <w:t>于临界量</w:t>
            </w:r>
            <w:r>
              <w:rPr>
                <w:rFonts w:hint="default" w:ascii="Times New Roman" w:hAnsi="Times New Roman" w:cs="Times New Roman"/>
                <w:color w:val="auto"/>
                <w:sz w:val="24"/>
              </w:rPr>
              <w:t>，不构成重大危险源，因此项目环境风险评价工作为简单分析即可。项目运营期风险可能影响途径是废机油</w:t>
            </w:r>
            <w:r>
              <w:rPr>
                <w:rFonts w:hint="eastAsia" w:ascii="Times New Roman" w:hAnsi="Times New Roman" w:cs="Times New Roman"/>
                <w:color w:val="auto"/>
                <w:sz w:val="24"/>
              </w:rPr>
              <w:t>泄漏或</w:t>
            </w:r>
            <w:r>
              <w:rPr>
                <w:rFonts w:hint="default" w:ascii="Times New Roman" w:hAnsi="Times New Roman" w:cs="Times New Roman"/>
                <w:color w:val="auto"/>
                <w:sz w:val="24"/>
              </w:rPr>
              <w:t>遇明火</w:t>
            </w:r>
            <w:r>
              <w:rPr>
                <w:rFonts w:hint="eastAsia" w:ascii="Times New Roman" w:hAnsi="Times New Roman" w:cs="Times New Roman"/>
                <w:color w:val="auto"/>
                <w:sz w:val="24"/>
              </w:rPr>
              <w:t>、</w:t>
            </w:r>
            <w:r>
              <w:rPr>
                <w:rFonts w:hint="default" w:ascii="Times New Roman" w:hAnsi="Times New Roman" w:cs="Times New Roman"/>
                <w:color w:val="auto"/>
                <w:sz w:val="24"/>
              </w:rPr>
              <w:t>高温时易发生火灾事故，火灾会带来生产设施的重大破坏和人员伤亡。同时在火灾过程中，燃烧后产生有毒有害气体造成污染。</w:t>
            </w:r>
          </w:p>
          <w:p w14:paraId="1DF9871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w:t>
            </w:r>
            <w:r>
              <w:rPr>
                <w:rFonts w:hint="eastAsia" w:ascii="Times New Roman" w:hAnsi="Times New Roman" w:cs="Times New Roman"/>
                <w:bCs/>
                <w:color w:val="auto"/>
                <w:sz w:val="24"/>
              </w:rPr>
              <w:t>2</w:t>
            </w:r>
            <w:r>
              <w:rPr>
                <w:rFonts w:hint="default" w:ascii="Times New Roman" w:hAnsi="Times New Roman" w:cs="Times New Roman"/>
                <w:bCs/>
                <w:color w:val="auto"/>
                <w:sz w:val="24"/>
              </w:rPr>
              <w:t>）环境风险防范措施及应急要求</w:t>
            </w:r>
          </w:p>
          <w:p w14:paraId="11189617">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rPr>
              <w:t xml:space="preserve">为使环境风险减小到最低限度，必须加强安全管理，制定完备、有效的防范措施，尽可能降低项目环境风险事故发生的概率。 </w:t>
            </w:r>
          </w:p>
          <w:p w14:paraId="2B230DB9">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rPr>
              <w:t>①建设单位定期进行设备管理维护，严防火灾发生，定期对线路进行检查，及时处理破损线路；</w:t>
            </w:r>
          </w:p>
          <w:p w14:paraId="367135B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rPr>
              <w:t>②危废间地面已做防渗处理，并设专人管理，定期进行巡查，检查包装容器完整性，根据需求及时更换破损容器，设置消防器材。</w:t>
            </w:r>
          </w:p>
          <w:p w14:paraId="4A9A571A">
            <w:pPr>
              <w:keepNext w:val="0"/>
              <w:keepLines w:val="0"/>
              <w:widowControl/>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rPr>
              <w:t>③</w:t>
            </w:r>
            <w:r>
              <w:rPr>
                <w:rFonts w:hint="default" w:ascii="Times New Roman" w:hAnsi="Times New Roman" w:cs="Times New Roman"/>
                <w:color w:val="auto"/>
                <w:sz w:val="24"/>
              </w:rPr>
              <w:t>加强明火管理，严防火种进入，在醒目的位置应</w:t>
            </w:r>
            <w:r>
              <w:rPr>
                <w:rFonts w:hint="eastAsia" w:ascii="宋体" w:hAnsi="宋体" w:cs="宋体"/>
                <w:color w:val="auto"/>
                <w:sz w:val="24"/>
              </w:rPr>
              <w:t>该设置“严禁烟火”“禁火区”等标</w:t>
            </w:r>
            <w:r>
              <w:rPr>
                <w:rFonts w:hint="default" w:ascii="Times New Roman" w:hAnsi="Times New Roman" w:cs="Times New Roman"/>
                <w:color w:val="auto"/>
                <w:sz w:val="24"/>
              </w:rPr>
              <w:t>语和标牌；</w:t>
            </w:r>
          </w:p>
          <w:p w14:paraId="5AB6B4B8">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rPr>
              <w:t>④危废贮存库地面进行了防腐、防渗处理，做好了危废储存管理，定期检查危废包装桶、地面完好情况，液体危废的盛装桶放置在托盘内，防止危废泄漏；</w:t>
            </w:r>
          </w:p>
          <w:p w14:paraId="310AE78E">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⑤编制突发环境事件应急预案，并按要求定期进行演练。</w:t>
            </w:r>
          </w:p>
          <w:p w14:paraId="52129570">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w:t>
            </w:r>
            <w:r>
              <w:rPr>
                <w:rFonts w:hint="eastAsia" w:ascii="Times New Roman" w:hAnsi="Times New Roman" w:cs="Times New Roman"/>
                <w:bCs/>
                <w:color w:val="auto"/>
                <w:sz w:val="24"/>
              </w:rPr>
              <w:t>3</w:t>
            </w:r>
            <w:r>
              <w:rPr>
                <w:rFonts w:hint="default" w:ascii="Times New Roman" w:hAnsi="Times New Roman" w:cs="Times New Roman"/>
                <w:bCs/>
                <w:color w:val="auto"/>
                <w:sz w:val="24"/>
              </w:rPr>
              <w:t>）分析结论</w:t>
            </w:r>
          </w:p>
          <w:p w14:paraId="00478DD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rPr>
            </w:pPr>
            <w:r>
              <w:rPr>
                <w:rFonts w:hint="default" w:ascii="Times New Roman" w:hAnsi="Times New Roman" w:cs="Times New Roman"/>
                <w:bCs/>
                <w:color w:val="auto"/>
                <w:sz w:val="24"/>
              </w:rPr>
              <w:t>通过采取以上环境风险防范措施，本项目环境风险能够控制在可接受范围之内。</w:t>
            </w:r>
          </w:p>
          <w:p w14:paraId="318ECAB0">
            <w:pPr>
              <w:pStyle w:val="22"/>
              <w:keepNext w:val="0"/>
              <w:keepLines w:val="0"/>
              <w:suppressLineNumbers w:val="0"/>
              <w:spacing w:before="0" w:beforeAutospacing="0" w:after="0" w:afterAutospacing="0"/>
              <w:ind w:left="840" w:right="0" w:hanging="420"/>
              <w:rPr>
                <w:rFonts w:hint="default" w:ascii="Times New Roman" w:hAnsi="Times New Roman" w:cs="Times New Roman"/>
                <w:color w:val="auto"/>
              </w:rPr>
            </w:pPr>
          </w:p>
        </w:tc>
      </w:tr>
    </w:tbl>
    <w:p w14:paraId="7A3B1070">
      <w:pPr>
        <w:adjustRightInd w:val="0"/>
        <w:snapToGrid w:val="0"/>
        <w:spacing w:line="360" w:lineRule="auto"/>
        <w:rPr>
          <w:rFonts w:hint="eastAsia" w:ascii="宋体" w:cs="宋体"/>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21B3D18">
      <w:pPr>
        <w:pStyle w:val="23"/>
        <w:jc w:val="center"/>
        <w:outlineLvl w:val="0"/>
        <w:rPr>
          <w:rFonts w:ascii="黑体" w:hAnsi="黑体" w:eastAsia="黑体"/>
          <w:snapToGrid w:val="0"/>
          <w:color w:val="auto"/>
          <w:sz w:val="30"/>
          <w:szCs w:val="30"/>
        </w:rPr>
      </w:pPr>
      <w:r>
        <w:rPr>
          <w:rFonts w:hint="eastAsia" w:ascii="黑体" w:hAnsi="黑体" w:eastAsia="黑体"/>
          <w:snapToGrid w:val="0"/>
          <w:color w:val="auto"/>
          <w:sz w:val="30"/>
          <w:szCs w:val="30"/>
        </w:rPr>
        <w:t>五、</w:t>
      </w:r>
      <w:bookmarkStart w:id="10" w:name="_Hlk54167917"/>
      <w:r>
        <w:rPr>
          <w:rFonts w:hint="eastAsia" w:ascii="黑体" w:hAnsi="黑体" w:eastAsia="黑体"/>
          <w:snapToGrid w:val="0"/>
          <w:color w:val="auto"/>
          <w:sz w:val="30"/>
          <w:szCs w:val="30"/>
        </w:rPr>
        <w:t>环境保护措施监督检查清单</w:t>
      </w:r>
      <w:bookmarkEnd w:id="10"/>
    </w:p>
    <w:tbl>
      <w:tblPr>
        <w:tblStyle w:val="26"/>
        <w:tblW w:w="5002"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367"/>
        <w:gridCol w:w="1891"/>
        <w:gridCol w:w="1349"/>
        <w:gridCol w:w="1830"/>
        <w:gridCol w:w="2627"/>
      </w:tblGrid>
      <w:tr w14:paraId="05414A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754" w:type="pct"/>
            <w:tcBorders>
              <w:tl2br w:val="single" w:color="auto" w:sz="4" w:space="0"/>
            </w:tcBorders>
            <w:noWrap w:val="0"/>
            <w:vAlign w:val="center"/>
          </w:tcPr>
          <w:p w14:paraId="536FC02F">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eastAsia" w:cs="Times New Roman"/>
                <w:b/>
                <w:bCs/>
                <w:color w:val="auto"/>
                <w:szCs w:val="21"/>
                <w:lang w:val="en-US" w:eastAsia="zh-CN"/>
              </w:rPr>
              <w:t xml:space="preserve">      </w:t>
            </w:r>
            <w:r>
              <w:rPr>
                <w:rFonts w:hint="default" w:ascii="Times New Roman" w:hAnsi="Times New Roman" w:cs="Times New Roman"/>
                <w:b/>
                <w:bCs/>
                <w:color w:val="auto"/>
                <w:szCs w:val="21"/>
              </w:rPr>
              <w:t>内容</w:t>
            </w:r>
          </w:p>
          <w:p w14:paraId="68014450">
            <w:pPr>
              <w:keepNext w:val="0"/>
              <w:keepLines w:val="0"/>
              <w:widowControl/>
              <w:suppressLineNumbers w:val="0"/>
              <w:spacing w:before="0" w:beforeAutospacing="0" w:after="0" w:afterAutospacing="0"/>
              <w:ind w:left="0" w:right="0"/>
              <w:jc w:val="both"/>
              <w:rPr>
                <w:rFonts w:hint="default" w:ascii="Times New Roman" w:hAnsi="Times New Roman" w:cs="Times New Roman"/>
                <w:b/>
                <w:bCs/>
                <w:color w:val="auto"/>
                <w:szCs w:val="21"/>
              </w:rPr>
            </w:pPr>
            <w:r>
              <w:rPr>
                <w:rFonts w:hint="default" w:ascii="Times New Roman" w:hAnsi="Times New Roman" w:cs="Times New Roman"/>
                <w:b/>
                <w:bCs/>
                <w:color w:val="auto"/>
                <w:szCs w:val="21"/>
              </w:rPr>
              <w:t>要素</w:t>
            </w:r>
          </w:p>
        </w:tc>
        <w:tc>
          <w:tcPr>
            <w:tcW w:w="1043" w:type="pct"/>
            <w:noWrap w:val="0"/>
            <w:vAlign w:val="center"/>
          </w:tcPr>
          <w:p w14:paraId="17B7DC01">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排放口(编号、</w:t>
            </w:r>
          </w:p>
          <w:p w14:paraId="09D5083B">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名称)/污染源</w:t>
            </w:r>
          </w:p>
        </w:tc>
        <w:tc>
          <w:tcPr>
            <w:tcW w:w="744" w:type="pct"/>
            <w:noWrap w:val="0"/>
            <w:vAlign w:val="center"/>
          </w:tcPr>
          <w:p w14:paraId="40927B3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污染物项目</w:t>
            </w:r>
          </w:p>
        </w:tc>
        <w:tc>
          <w:tcPr>
            <w:tcW w:w="1009" w:type="pct"/>
            <w:noWrap w:val="0"/>
            <w:vAlign w:val="center"/>
          </w:tcPr>
          <w:p w14:paraId="50FA550E">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环境保护措施</w:t>
            </w:r>
          </w:p>
        </w:tc>
        <w:tc>
          <w:tcPr>
            <w:tcW w:w="1449" w:type="pct"/>
            <w:noWrap w:val="0"/>
            <w:vAlign w:val="center"/>
          </w:tcPr>
          <w:p w14:paraId="3AFD7F1F">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执行标准</w:t>
            </w:r>
          </w:p>
        </w:tc>
      </w:tr>
      <w:tr w14:paraId="7C0613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restart"/>
            <w:noWrap w:val="0"/>
            <w:vAlign w:val="center"/>
          </w:tcPr>
          <w:p w14:paraId="7E0C03A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大气环境</w:t>
            </w:r>
          </w:p>
        </w:tc>
        <w:tc>
          <w:tcPr>
            <w:tcW w:w="1043" w:type="pct"/>
            <w:noWrap w:val="0"/>
            <w:vAlign w:val="center"/>
          </w:tcPr>
          <w:p w14:paraId="425596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DA001</w:t>
            </w:r>
          </w:p>
        </w:tc>
        <w:tc>
          <w:tcPr>
            <w:tcW w:w="744" w:type="pct"/>
            <w:noWrap w:val="0"/>
            <w:vAlign w:val="center"/>
          </w:tcPr>
          <w:p w14:paraId="3549A15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eastAsia="宋体" w:cs="Times New Roman"/>
                <w:color w:val="auto"/>
                <w:highlight w:val="none"/>
                <w:lang w:val="en-US" w:eastAsia="zh-CN"/>
              </w:rPr>
              <w:t>非甲烷总烃</w:t>
            </w:r>
          </w:p>
        </w:tc>
        <w:tc>
          <w:tcPr>
            <w:tcW w:w="1009" w:type="pct"/>
            <w:noWrap w:val="0"/>
            <w:vAlign w:val="center"/>
          </w:tcPr>
          <w:p w14:paraId="782F619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eastAsia="宋体" w:cs="Times New Roman"/>
                <w:color w:val="auto"/>
                <w:highlight w:val="none"/>
                <w:lang w:val="en-US" w:eastAsia="zh-CN"/>
              </w:rPr>
              <w:t>集气罩+</w:t>
            </w:r>
            <w:r>
              <w:rPr>
                <w:rFonts w:hint="eastAsia" w:cs="Times New Roman"/>
                <w:color w:val="auto"/>
                <w:highlight w:val="none"/>
                <w:lang w:val="en-US" w:eastAsia="zh-CN"/>
              </w:rPr>
              <w:t>二级</w:t>
            </w:r>
            <w:r>
              <w:rPr>
                <w:rFonts w:hint="default" w:ascii="Times New Roman" w:hAnsi="Times New Roman" w:eastAsia="宋体" w:cs="Times New Roman"/>
                <w:color w:val="auto"/>
                <w:highlight w:val="none"/>
                <w:lang w:val="en-US" w:eastAsia="zh-CN"/>
              </w:rPr>
              <w:t>活性炭吸附</w:t>
            </w:r>
            <w:r>
              <w:rPr>
                <w:rFonts w:hint="default" w:ascii="Times New Roman" w:hAnsi="Times New Roman" w:cs="Times New Roman"/>
                <w:color w:val="auto"/>
                <w:sz w:val="21"/>
                <w:szCs w:val="21"/>
              </w:rPr>
              <w:t>+15m排气筒</w:t>
            </w:r>
            <w:r>
              <w:rPr>
                <w:rFonts w:hint="eastAsia" w:cs="Times New Roman"/>
                <w:color w:val="auto"/>
                <w:highlight w:val="none"/>
                <w:lang w:val="en-US" w:eastAsia="zh-CN"/>
              </w:rPr>
              <w:t>（DA001）</w:t>
            </w:r>
          </w:p>
        </w:tc>
        <w:tc>
          <w:tcPr>
            <w:tcW w:w="1449" w:type="pct"/>
            <w:vMerge w:val="restart"/>
            <w:noWrap w:val="0"/>
            <w:vAlign w:val="center"/>
          </w:tcPr>
          <w:p w14:paraId="5014651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eastAsia="宋体" w:cs="Times New Roman"/>
                <w:color w:val="auto"/>
                <w:szCs w:val="21"/>
                <w:lang w:val="en-US" w:eastAsia="zh-CN"/>
              </w:rPr>
              <w:t>《挥发性有机物排放控制标准》（DB61/T1061-2017）中表1</w:t>
            </w:r>
            <w:r>
              <w:rPr>
                <w:rFonts w:hint="eastAsia" w:cs="Times New Roman"/>
                <w:color w:val="auto"/>
                <w:szCs w:val="21"/>
                <w:lang w:val="en-US" w:eastAsia="zh-CN"/>
              </w:rPr>
              <w:t>印刷排放限值</w:t>
            </w:r>
          </w:p>
        </w:tc>
      </w:tr>
      <w:tr w14:paraId="6DB949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vMerge w:val="continue"/>
            <w:noWrap w:val="0"/>
            <w:vAlign w:val="center"/>
          </w:tcPr>
          <w:p w14:paraId="43D8DD6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043" w:type="pct"/>
            <w:noWrap w:val="0"/>
            <w:vAlign w:val="center"/>
          </w:tcPr>
          <w:p w14:paraId="52F0BC4F">
            <w:pPr>
              <w:keepNext w:val="0"/>
              <w:keepLines w:val="0"/>
              <w:suppressLineNumbers w:val="0"/>
              <w:adjustRightInd w:val="0"/>
              <w:snapToGrid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DA002</w:t>
            </w:r>
          </w:p>
        </w:tc>
        <w:tc>
          <w:tcPr>
            <w:tcW w:w="744" w:type="pct"/>
            <w:noWrap w:val="0"/>
            <w:vAlign w:val="center"/>
          </w:tcPr>
          <w:p w14:paraId="3494CF15">
            <w:pPr>
              <w:keepNext w:val="0"/>
              <w:keepLines w:val="0"/>
              <w:widowControl/>
              <w:suppressLineNumbers w:val="0"/>
              <w:spacing w:before="0" w:beforeAutospacing="0" w:after="0" w:afterAutospacing="0"/>
              <w:ind w:left="0" w:right="0"/>
              <w:jc w:val="center"/>
              <w:rPr>
                <w:rFonts w:hint="eastAsia" w:eastAsia="宋体" w:cs="Times New Roman"/>
                <w:color w:val="auto"/>
                <w:highlight w:val="none"/>
                <w:lang w:val="en-US" w:eastAsia="zh-CN"/>
              </w:rPr>
            </w:pPr>
            <w:r>
              <w:rPr>
                <w:rFonts w:hint="eastAsia" w:eastAsia="宋体" w:cs="Times New Roman"/>
                <w:color w:val="auto"/>
                <w:highlight w:val="none"/>
                <w:lang w:val="en-US" w:eastAsia="zh-CN"/>
              </w:rPr>
              <w:t>非甲烷总烃</w:t>
            </w:r>
          </w:p>
        </w:tc>
        <w:tc>
          <w:tcPr>
            <w:tcW w:w="1009" w:type="pct"/>
            <w:noWrap w:val="0"/>
            <w:vAlign w:val="center"/>
          </w:tcPr>
          <w:p w14:paraId="6DB0915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集气罩+</w:t>
            </w:r>
            <w:r>
              <w:rPr>
                <w:rFonts w:hint="eastAsia" w:cs="Times New Roman"/>
                <w:color w:val="auto"/>
                <w:highlight w:val="none"/>
                <w:lang w:val="en-US" w:eastAsia="zh-CN"/>
              </w:rPr>
              <w:t>二级</w:t>
            </w:r>
            <w:r>
              <w:rPr>
                <w:rFonts w:hint="default" w:ascii="Times New Roman" w:hAnsi="Times New Roman" w:eastAsia="宋体" w:cs="Times New Roman"/>
                <w:color w:val="auto"/>
                <w:highlight w:val="none"/>
                <w:lang w:val="en-US" w:eastAsia="zh-CN"/>
              </w:rPr>
              <w:t>活性炭吸附</w:t>
            </w:r>
            <w:r>
              <w:rPr>
                <w:rFonts w:hint="default" w:ascii="Times New Roman" w:hAnsi="Times New Roman" w:cs="Times New Roman"/>
                <w:color w:val="auto"/>
                <w:sz w:val="21"/>
                <w:szCs w:val="21"/>
              </w:rPr>
              <w:t>+15m排气筒</w:t>
            </w:r>
            <w:r>
              <w:rPr>
                <w:rFonts w:hint="eastAsia" w:cs="Times New Roman"/>
                <w:color w:val="auto"/>
                <w:highlight w:val="none"/>
                <w:lang w:val="en-US" w:eastAsia="zh-CN"/>
              </w:rPr>
              <w:t>（DA002）</w:t>
            </w:r>
          </w:p>
        </w:tc>
        <w:tc>
          <w:tcPr>
            <w:tcW w:w="1449" w:type="pct"/>
            <w:vMerge w:val="continue"/>
            <w:noWrap w:val="0"/>
            <w:vAlign w:val="center"/>
          </w:tcPr>
          <w:p w14:paraId="18B33F4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p>
        </w:tc>
      </w:tr>
      <w:tr w14:paraId="6FAC2B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754" w:type="pct"/>
            <w:vMerge w:val="continue"/>
            <w:noWrap w:val="0"/>
            <w:vAlign w:val="center"/>
          </w:tcPr>
          <w:p w14:paraId="63B8CA5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043" w:type="pct"/>
            <w:noWrap w:val="0"/>
            <w:vAlign w:val="center"/>
          </w:tcPr>
          <w:p w14:paraId="2063490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lang w:val="en-US"/>
              </w:rPr>
            </w:pPr>
            <w:r>
              <w:rPr>
                <w:rFonts w:hint="eastAsia" w:cs="Times New Roman"/>
                <w:color w:val="000000" w:themeColor="text1"/>
                <w:highlight w:val="none"/>
                <w:lang w:val="en-US" w:eastAsia="zh-CN"/>
                <w14:textFill>
                  <w14:solidFill>
                    <w14:schemeClr w14:val="tx1"/>
                  </w14:solidFill>
                </w14:textFill>
              </w:rPr>
              <w:t>DA003</w:t>
            </w:r>
          </w:p>
        </w:tc>
        <w:tc>
          <w:tcPr>
            <w:tcW w:w="744" w:type="pct"/>
            <w:noWrap w:val="0"/>
            <w:vAlign w:val="center"/>
          </w:tcPr>
          <w:p w14:paraId="4821358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eastAsia="宋体" w:cs="Times New Roman"/>
                <w:color w:val="auto"/>
                <w:highlight w:val="none"/>
                <w:lang w:val="en-US" w:eastAsia="zh-CN"/>
              </w:rPr>
              <w:t>非甲烷总烃</w:t>
            </w:r>
          </w:p>
        </w:tc>
        <w:tc>
          <w:tcPr>
            <w:tcW w:w="1009" w:type="pct"/>
            <w:noWrap w:val="0"/>
            <w:vAlign w:val="center"/>
          </w:tcPr>
          <w:p w14:paraId="6147A6D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eastAsia="宋体" w:cs="Times New Roman"/>
                <w:color w:val="auto"/>
                <w:highlight w:val="none"/>
                <w:lang w:val="en-US" w:eastAsia="zh-CN"/>
              </w:rPr>
              <w:t>集气罩+</w:t>
            </w:r>
            <w:r>
              <w:rPr>
                <w:rFonts w:hint="eastAsia" w:cs="Times New Roman"/>
                <w:color w:val="auto"/>
                <w:highlight w:val="none"/>
                <w:lang w:val="en-US" w:eastAsia="zh-CN"/>
              </w:rPr>
              <w:t>二级</w:t>
            </w:r>
            <w:r>
              <w:rPr>
                <w:rFonts w:hint="default" w:ascii="Times New Roman" w:hAnsi="Times New Roman" w:eastAsia="宋体" w:cs="Times New Roman"/>
                <w:color w:val="auto"/>
                <w:highlight w:val="none"/>
                <w:lang w:val="en-US" w:eastAsia="zh-CN"/>
              </w:rPr>
              <w:t>活性炭吸附</w:t>
            </w:r>
            <w:r>
              <w:rPr>
                <w:rFonts w:hint="default" w:ascii="Times New Roman" w:hAnsi="Times New Roman" w:cs="Times New Roman"/>
                <w:color w:val="auto"/>
                <w:sz w:val="21"/>
                <w:szCs w:val="21"/>
              </w:rPr>
              <w:t>+15m排气筒</w:t>
            </w:r>
            <w:r>
              <w:rPr>
                <w:rFonts w:hint="eastAsia" w:cs="Times New Roman"/>
                <w:color w:val="auto"/>
                <w:highlight w:val="none"/>
                <w:lang w:val="en-US" w:eastAsia="zh-CN"/>
              </w:rPr>
              <w:t>（DA003）</w:t>
            </w:r>
          </w:p>
        </w:tc>
        <w:tc>
          <w:tcPr>
            <w:tcW w:w="1449" w:type="pct"/>
            <w:vMerge w:val="continue"/>
            <w:noWrap w:val="0"/>
            <w:vAlign w:val="center"/>
          </w:tcPr>
          <w:p w14:paraId="6F7B459A">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290C9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754" w:type="pct"/>
            <w:vMerge w:val="continue"/>
            <w:noWrap w:val="0"/>
            <w:vAlign w:val="center"/>
          </w:tcPr>
          <w:p w14:paraId="55F64E1A">
            <w:pPr>
              <w:keepNext w:val="0"/>
              <w:keepLines w:val="0"/>
              <w:suppressLineNumbers w:val="0"/>
              <w:adjustRightInd w:val="0"/>
              <w:snapToGrid w:val="0"/>
              <w:spacing w:before="0" w:beforeAutospacing="0" w:after="0" w:afterAutospacing="0"/>
              <w:ind w:left="0" w:right="0"/>
              <w:jc w:val="center"/>
              <w:rPr>
                <w:rFonts w:hint="default"/>
              </w:rPr>
            </w:pPr>
          </w:p>
        </w:tc>
        <w:tc>
          <w:tcPr>
            <w:tcW w:w="1043" w:type="pct"/>
            <w:noWrap w:val="0"/>
            <w:vAlign w:val="center"/>
          </w:tcPr>
          <w:p w14:paraId="12CF45D0">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highlight w:val="none"/>
                <w:lang w:val="en-US" w:eastAsia="zh-CN"/>
              </w:rPr>
              <w:t>DA004</w:t>
            </w:r>
          </w:p>
        </w:tc>
        <w:tc>
          <w:tcPr>
            <w:tcW w:w="744" w:type="pct"/>
            <w:noWrap w:val="0"/>
            <w:vAlign w:val="center"/>
          </w:tcPr>
          <w:p w14:paraId="361DF690">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highlight w:val="none"/>
                <w:lang w:val="en-US" w:eastAsia="zh-CN"/>
              </w:rPr>
              <w:t>油烟</w:t>
            </w:r>
          </w:p>
        </w:tc>
        <w:tc>
          <w:tcPr>
            <w:tcW w:w="1009" w:type="pct"/>
            <w:noWrap w:val="0"/>
            <w:vAlign w:val="center"/>
          </w:tcPr>
          <w:p w14:paraId="7AABB66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kern w:val="2"/>
                <w:sz w:val="21"/>
                <w:szCs w:val="24"/>
                <w:lang w:val="en-US" w:eastAsia="zh-CN" w:bidi="ar-SA"/>
              </w:rPr>
            </w:pPr>
            <w:r>
              <w:rPr>
                <w:rFonts w:hint="eastAsia" w:eastAsia="宋体" w:cs="Times New Roman"/>
                <w:color w:val="auto"/>
                <w:highlight w:val="none"/>
                <w:lang w:val="en-US" w:eastAsia="zh-CN"/>
              </w:rPr>
              <w:t>油烟净化器</w:t>
            </w:r>
            <w:r>
              <w:rPr>
                <w:rFonts w:hint="eastAsia" w:cs="Times New Roman"/>
                <w:color w:val="auto"/>
                <w:highlight w:val="none"/>
                <w:lang w:val="en-US" w:eastAsia="zh-CN"/>
              </w:rPr>
              <w:t>+4m排气筒（DA004）</w:t>
            </w:r>
          </w:p>
        </w:tc>
        <w:tc>
          <w:tcPr>
            <w:tcW w:w="1449" w:type="pct"/>
            <w:noWrap w:val="0"/>
            <w:vAlign w:val="center"/>
          </w:tcPr>
          <w:p w14:paraId="3C88338C">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0"/>
                <w:highlight w:val="none"/>
              </w:rPr>
              <w:t>《饮食业油烟排放标准（试行）》</w:t>
            </w:r>
            <w:r>
              <w:rPr>
                <w:rFonts w:hint="eastAsia"/>
                <w:color w:val="auto"/>
                <w:szCs w:val="20"/>
                <w:highlight w:val="none"/>
                <w:lang w:val="en-US" w:eastAsia="zh-CN"/>
              </w:rPr>
              <w:t xml:space="preserve"> </w:t>
            </w:r>
            <w:r>
              <w:rPr>
                <w:rFonts w:hint="eastAsia"/>
                <w:color w:val="auto"/>
                <w:szCs w:val="20"/>
                <w:highlight w:val="none"/>
              </w:rPr>
              <w:t>（GB18483-2001）</w:t>
            </w:r>
          </w:p>
        </w:tc>
      </w:tr>
      <w:tr w14:paraId="22C590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54" w:type="pct"/>
            <w:vMerge w:val="continue"/>
            <w:noWrap w:val="0"/>
            <w:vAlign w:val="center"/>
          </w:tcPr>
          <w:p w14:paraId="6CCB07FD">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c>
          <w:tcPr>
            <w:tcW w:w="1043" w:type="pct"/>
            <w:noWrap w:val="0"/>
            <w:vAlign w:val="center"/>
          </w:tcPr>
          <w:p w14:paraId="502A4128">
            <w:pPr>
              <w:keepNext w:val="0"/>
              <w:keepLines w:val="0"/>
              <w:suppressLineNumbers w:val="0"/>
              <w:adjustRightInd w:val="0"/>
              <w:snapToGrid w:val="0"/>
              <w:spacing w:before="0" w:beforeAutospacing="0" w:after="0" w:afterAutospacing="0"/>
              <w:ind w:left="0" w:leftChars="0" w:right="0" w:rightChars="0"/>
              <w:jc w:val="center"/>
              <w:rPr>
                <w:rFonts w:hint="eastAsia" w:cs="Times New Roman"/>
                <w:color w:val="000000" w:themeColor="text1"/>
                <w:highlight w:val="none"/>
                <w:lang w:val="en-US" w:eastAsia="zh-CN"/>
                <w14:textFill>
                  <w14:solidFill>
                    <w14:schemeClr w14:val="tx1"/>
                  </w14:solidFill>
                </w14:textFill>
              </w:rPr>
            </w:pPr>
            <w:r>
              <w:rPr>
                <w:rFonts w:hint="eastAsia" w:cs="Times New Roman"/>
                <w:color w:val="auto"/>
                <w:highlight w:val="none"/>
                <w:lang w:val="en-US" w:eastAsia="zh-CN"/>
              </w:rPr>
              <w:t>水性印刷废气</w:t>
            </w:r>
          </w:p>
        </w:tc>
        <w:tc>
          <w:tcPr>
            <w:tcW w:w="744" w:type="pct"/>
            <w:vMerge w:val="restart"/>
            <w:noWrap w:val="0"/>
            <w:vAlign w:val="center"/>
          </w:tcPr>
          <w:p w14:paraId="7ECC468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eastAsia="宋体" w:cs="Times New Roman"/>
                <w:color w:val="auto"/>
                <w:highlight w:val="none"/>
                <w:lang w:val="en-US" w:eastAsia="zh-CN"/>
              </w:rPr>
              <w:t>非甲烷总烃</w:t>
            </w:r>
          </w:p>
        </w:tc>
        <w:tc>
          <w:tcPr>
            <w:tcW w:w="1009" w:type="pct"/>
            <w:vMerge w:val="restart"/>
            <w:noWrap w:val="0"/>
            <w:vAlign w:val="center"/>
          </w:tcPr>
          <w:p w14:paraId="2126EFDF">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r>
              <w:rPr>
                <w:rFonts w:hint="eastAsia" w:cs="Times New Roman"/>
                <w:color w:val="auto"/>
                <w:highlight w:val="none"/>
                <w:lang w:val="en-US" w:eastAsia="zh-CN"/>
              </w:rPr>
              <w:t>车间通风，无组织排出</w:t>
            </w:r>
          </w:p>
        </w:tc>
        <w:tc>
          <w:tcPr>
            <w:tcW w:w="1449" w:type="pct"/>
            <w:vMerge w:val="restart"/>
            <w:noWrap w:val="0"/>
            <w:vAlign w:val="center"/>
          </w:tcPr>
          <w:p w14:paraId="74F912B8">
            <w:pPr>
              <w:keepNext w:val="0"/>
              <w:keepLines w:val="0"/>
              <w:suppressLineNumbers w:val="0"/>
              <w:adjustRightInd w:val="0"/>
              <w:snapToGrid w:val="0"/>
              <w:spacing w:before="0" w:beforeAutospacing="0" w:after="0" w:afterAutospacing="0"/>
              <w:ind w:left="0" w:right="0"/>
              <w:jc w:val="center"/>
              <w:rPr>
                <w:rFonts w:hint="default"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color w:val="auto"/>
                <w:szCs w:val="21"/>
                <w:lang w:val="en-US" w:eastAsia="zh-CN"/>
              </w:rPr>
              <w:t>厂区内满足</w:t>
            </w:r>
            <w:r>
              <w:rPr>
                <w:rFonts w:hint="default" w:ascii="Times New Roman" w:hAnsi="Times New Roman" w:eastAsia="宋体" w:cs="Times New Roman"/>
                <w:color w:val="auto"/>
                <w:szCs w:val="21"/>
                <w:lang w:val="en-US" w:eastAsia="zh-CN"/>
              </w:rPr>
              <w:t>《挥发性有机物排放控制标准》（DB61/T1061-2017）</w:t>
            </w:r>
            <w:r>
              <w:rPr>
                <w:rFonts w:hint="eastAsia" w:ascii="Times New Roman" w:hAnsi="Times New Roman" w:eastAsia="宋体" w:cs="Times New Roman"/>
                <w:color w:val="auto"/>
                <w:szCs w:val="21"/>
                <w:lang w:val="en-US" w:eastAsia="zh-CN"/>
              </w:rPr>
              <w:t>表2排放限值；厂界满足</w:t>
            </w:r>
            <w:r>
              <w:rPr>
                <w:rFonts w:hint="default" w:ascii="Times New Roman" w:hAnsi="Times New Roman" w:eastAsia="宋体" w:cs="Times New Roman"/>
                <w:color w:val="auto"/>
                <w:szCs w:val="21"/>
                <w:lang w:val="en-US" w:eastAsia="zh-CN"/>
              </w:rPr>
              <w:t>《挥发性有机物排放控制标准》（DB61/T1061-2017）</w:t>
            </w:r>
            <w:r>
              <w:rPr>
                <w:rFonts w:hint="eastAsia" w:ascii="Times New Roman" w:hAnsi="Times New Roman" w:eastAsia="宋体" w:cs="Times New Roman"/>
                <w:color w:val="auto"/>
                <w:szCs w:val="21"/>
                <w:lang w:val="en-US" w:eastAsia="zh-CN"/>
              </w:rPr>
              <w:t>表3排放限值</w:t>
            </w:r>
          </w:p>
        </w:tc>
      </w:tr>
      <w:tr w14:paraId="01BD36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754" w:type="pct"/>
            <w:vMerge w:val="continue"/>
            <w:noWrap w:val="0"/>
            <w:vAlign w:val="center"/>
          </w:tcPr>
          <w:p w14:paraId="231FE1CD">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c>
          <w:tcPr>
            <w:tcW w:w="1043" w:type="pct"/>
            <w:noWrap w:val="0"/>
            <w:vAlign w:val="center"/>
          </w:tcPr>
          <w:p w14:paraId="5122E852">
            <w:pPr>
              <w:keepNext w:val="0"/>
              <w:keepLines w:val="0"/>
              <w:suppressLineNumbers w:val="0"/>
              <w:adjustRightInd w:val="0"/>
              <w:snapToGrid w:val="0"/>
              <w:spacing w:before="0" w:beforeAutospacing="0" w:after="0" w:afterAutospacing="0"/>
              <w:ind w:left="0" w:leftChars="0" w:right="0" w:rightChars="0"/>
              <w:jc w:val="center"/>
              <w:rPr>
                <w:rFonts w:hint="eastAsia" w:cs="Times New Roman"/>
                <w:color w:val="000000" w:themeColor="text1"/>
                <w:highlight w:val="none"/>
                <w:lang w:val="en-US" w:eastAsia="zh-CN"/>
                <w14:textFill>
                  <w14:solidFill>
                    <w14:schemeClr w14:val="tx1"/>
                  </w14:solidFill>
                </w14:textFill>
              </w:rPr>
            </w:pPr>
            <w:r>
              <w:rPr>
                <w:rFonts w:hint="eastAsia" w:cs="Times New Roman"/>
                <w:color w:val="auto"/>
                <w:highlight w:val="none"/>
                <w:lang w:val="en-US" w:eastAsia="zh-CN"/>
              </w:rPr>
              <w:t>胶印印刷废气</w:t>
            </w:r>
          </w:p>
        </w:tc>
        <w:tc>
          <w:tcPr>
            <w:tcW w:w="744" w:type="pct"/>
            <w:vMerge w:val="continue"/>
            <w:noWrap w:val="0"/>
            <w:vAlign w:val="center"/>
          </w:tcPr>
          <w:p w14:paraId="7F605EDB">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c>
          <w:tcPr>
            <w:tcW w:w="1009" w:type="pct"/>
            <w:vMerge w:val="continue"/>
            <w:noWrap w:val="0"/>
            <w:vAlign w:val="center"/>
          </w:tcPr>
          <w:p w14:paraId="1C2AEAAC">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c>
          <w:tcPr>
            <w:tcW w:w="1449" w:type="pct"/>
            <w:vMerge w:val="continue"/>
            <w:noWrap w:val="0"/>
            <w:vAlign w:val="center"/>
          </w:tcPr>
          <w:p w14:paraId="721DD166">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r>
      <w:tr w14:paraId="284F91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754" w:type="pct"/>
            <w:vMerge w:val="continue"/>
            <w:noWrap w:val="0"/>
            <w:vAlign w:val="center"/>
          </w:tcPr>
          <w:p w14:paraId="6D3FBAA9">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c>
          <w:tcPr>
            <w:tcW w:w="1043" w:type="pct"/>
            <w:noWrap w:val="0"/>
            <w:vAlign w:val="center"/>
          </w:tcPr>
          <w:p w14:paraId="36393739">
            <w:pPr>
              <w:keepNext w:val="0"/>
              <w:keepLines w:val="0"/>
              <w:suppressLineNumbers w:val="0"/>
              <w:adjustRightInd w:val="0"/>
              <w:snapToGrid w:val="0"/>
              <w:spacing w:before="0" w:beforeAutospacing="0" w:after="0" w:afterAutospacing="0"/>
              <w:ind w:left="0" w:leftChars="0" w:right="0" w:rightChars="0"/>
              <w:jc w:val="center"/>
              <w:rPr>
                <w:rFonts w:hint="eastAsia" w:cs="Times New Roman"/>
                <w:color w:val="000000" w:themeColor="text1"/>
                <w:highlight w:val="none"/>
                <w:lang w:val="en-US" w:eastAsia="zh-CN"/>
                <w14:textFill>
                  <w14:solidFill>
                    <w14:schemeClr w14:val="tx1"/>
                  </w14:solidFill>
                </w14:textFill>
              </w:rPr>
            </w:pPr>
            <w:r>
              <w:rPr>
                <w:rFonts w:hint="eastAsia" w:cs="Times New Roman"/>
                <w:color w:val="auto"/>
                <w:highlight w:val="none"/>
                <w:lang w:val="en-US" w:eastAsia="zh-CN"/>
              </w:rPr>
              <w:t>覆膜/亮油废气</w:t>
            </w:r>
          </w:p>
        </w:tc>
        <w:tc>
          <w:tcPr>
            <w:tcW w:w="744" w:type="pct"/>
            <w:vMerge w:val="continue"/>
            <w:noWrap w:val="0"/>
            <w:vAlign w:val="center"/>
          </w:tcPr>
          <w:p w14:paraId="4755A64A">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c>
          <w:tcPr>
            <w:tcW w:w="1009" w:type="pct"/>
            <w:vMerge w:val="continue"/>
            <w:noWrap w:val="0"/>
            <w:vAlign w:val="center"/>
          </w:tcPr>
          <w:p w14:paraId="4AB5F0BC">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c>
          <w:tcPr>
            <w:tcW w:w="1449" w:type="pct"/>
            <w:vMerge w:val="continue"/>
            <w:noWrap w:val="0"/>
            <w:vAlign w:val="center"/>
          </w:tcPr>
          <w:p w14:paraId="0D07D4A6">
            <w:pPr>
              <w:keepNext w:val="0"/>
              <w:keepLines w:val="0"/>
              <w:suppressLineNumbers w:val="0"/>
              <w:adjustRightInd w:val="0"/>
              <w:snapToGrid w:val="0"/>
              <w:spacing w:before="0" w:beforeAutospacing="0" w:after="0" w:afterAutospacing="0"/>
              <w:ind w:left="0" w:right="0"/>
              <w:jc w:val="center"/>
              <w:rPr>
                <w:rFonts w:hint="eastAsia" w:cs="Times New Roman"/>
                <w:color w:val="000000" w:themeColor="text1"/>
                <w:highlight w:val="none"/>
                <w:lang w:val="en-US" w:eastAsia="zh-CN"/>
                <w14:textFill>
                  <w14:solidFill>
                    <w14:schemeClr w14:val="tx1"/>
                  </w14:solidFill>
                </w14:textFill>
              </w:rPr>
            </w:pPr>
          </w:p>
        </w:tc>
      </w:tr>
      <w:tr w14:paraId="68F7EA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54" w:type="pct"/>
            <w:vMerge w:val="continue"/>
            <w:noWrap w:val="0"/>
            <w:vAlign w:val="center"/>
          </w:tcPr>
          <w:p w14:paraId="0D0988A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043" w:type="pct"/>
            <w:noWrap w:val="0"/>
            <w:vAlign w:val="center"/>
          </w:tcPr>
          <w:p w14:paraId="1DDF263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Cs w:val="21"/>
              </w:rPr>
            </w:pPr>
            <w:r>
              <w:rPr>
                <w:rFonts w:hint="eastAsia" w:cs="Times New Roman"/>
                <w:color w:val="auto"/>
                <w:highlight w:val="none"/>
                <w:lang w:val="en-US" w:eastAsia="zh-CN"/>
              </w:rPr>
              <w:t>胶装废气</w:t>
            </w:r>
          </w:p>
        </w:tc>
        <w:tc>
          <w:tcPr>
            <w:tcW w:w="744" w:type="pct"/>
            <w:vMerge w:val="continue"/>
            <w:noWrap w:val="0"/>
            <w:vAlign w:val="center"/>
          </w:tcPr>
          <w:p w14:paraId="45355BD3">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009" w:type="pct"/>
            <w:vMerge w:val="continue"/>
            <w:noWrap w:val="0"/>
            <w:vAlign w:val="center"/>
          </w:tcPr>
          <w:p w14:paraId="31078D8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449" w:type="pct"/>
            <w:vMerge w:val="continue"/>
            <w:noWrap w:val="0"/>
            <w:vAlign w:val="center"/>
          </w:tcPr>
          <w:p w14:paraId="3A08282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r>
      <w:tr w14:paraId="3F05DC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noWrap w:val="0"/>
            <w:vAlign w:val="center"/>
          </w:tcPr>
          <w:p w14:paraId="53E46F6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w:t>
            </w:r>
          </w:p>
        </w:tc>
        <w:tc>
          <w:tcPr>
            <w:tcW w:w="1043" w:type="pct"/>
            <w:noWrap w:val="0"/>
            <w:vAlign w:val="center"/>
          </w:tcPr>
          <w:p w14:paraId="0F5CBFA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生产设备及辅助设备</w:t>
            </w:r>
          </w:p>
        </w:tc>
        <w:tc>
          <w:tcPr>
            <w:tcW w:w="744" w:type="pct"/>
            <w:noWrap w:val="0"/>
            <w:vAlign w:val="center"/>
          </w:tcPr>
          <w:p w14:paraId="025C635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噪声</w:t>
            </w:r>
          </w:p>
        </w:tc>
        <w:tc>
          <w:tcPr>
            <w:tcW w:w="1009" w:type="pct"/>
            <w:noWrap w:val="0"/>
            <w:vAlign w:val="center"/>
          </w:tcPr>
          <w:p w14:paraId="3EDF67D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设备基础减振、厂房隔声等</w:t>
            </w:r>
          </w:p>
        </w:tc>
        <w:tc>
          <w:tcPr>
            <w:tcW w:w="1449" w:type="pct"/>
            <w:noWrap w:val="0"/>
            <w:vAlign w:val="center"/>
          </w:tcPr>
          <w:p w14:paraId="1248A0B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《工业企业厂界环境噪声排放标准》（GB12348-2008）2类</w:t>
            </w:r>
            <w:r>
              <w:rPr>
                <w:rFonts w:hint="eastAsia" w:cs="Times New Roman"/>
                <w:color w:val="auto"/>
                <w:szCs w:val="21"/>
                <w:lang w:eastAsia="zh-CN"/>
              </w:rPr>
              <w:t>、</w:t>
            </w:r>
            <w:r>
              <w:rPr>
                <w:rFonts w:hint="eastAsia" w:cs="Times New Roman"/>
                <w:color w:val="auto"/>
                <w:szCs w:val="21"/>
                <w:lang w:val="en-US" w:eastAsia="zh-CN"/>
              </w:rPr>
              <w:t>4类</w:t>
            </w:r>
            <w:r>
              <w:rPr>
                <w:rFonts w:hint="default" w:ascii="Times New Roman" w:hAnsi="Times New Roman" w:cs="Times New Roman"/>
                <w:color w:val="auto"/>
                <w:szCs w:val="21"/>
              </w:rPr>
              <w:t>标准</w:t>
            </w:r>
          </w:p>
        </w:tc>
      </w:tr>
      <w:tr w14:paraId="2924C5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Merge w:val="restart"/>
            <w:noWrap w:val="0"/>
            <w:vAlign w:val="center"/>
          </w:tcPr>
          <w:p w14:paraId="05D57F8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地表水环境</w:t>
            </w:r>
          </w:p>
        </w:tc>
        <w:tc>
          <w:tcPr>
            <w:tcW w:w="1043" w:type="pct"/>
            <w:noWrap w:val="0"/>
            <w:vAlign w:val="center"/>
          </w:tcPr>
          <w:p w14:paraId="2B3A489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生产废水</w:t>
            </w:r>
          </w:p>
        </w:tc>
        <w:tc>
          <w:tcPr>
            <w:tcW w:w="744" w:type="pct"/>
            <w:noWrap w:val="0"/>
            <w:vAlign w:val="center"/>
          </w:tcPr>
          <w:p w14:paraId="4B93E49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eastAsia" w:cs="Times New Roman"/>
                <w:color w:val="auto"/>
                <w:szCs w:val="21"/>
                <w:lang w:val="en-US" w:eastAsia="zh-CN"/>
              </w:rPr>
              <w:t>设备</w:t>
            </w:r>
            <w:r>
              <w:rPr>
                <w:rFonts w:hint="eastAsia" w:ascii="Times New Roman" w:hAnsi="Times New Roman" w:cs="Times New Roman"/>
                <w:color w:val="auto"/>
                <w:szCs w:val="21"/>
              </w:rPr>
              <w:t>清洗废水</w:t>
            </w:r>
          </w:p>
        </w:tc>
        <w:tc>
          <w:tcPr>
            <w:tcW w:w="2458" w:type="pct"/>
            <w:gridSpan w:val="2"/>
            <w:noWrap w:val="0"/>
            <w:vAlign w:val="center"/>
          </w:tcPr>
          <w:p w14:paraId="2FCF0DE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rPr>
              <w:t>经</w:t>
            </w:r>
            <w:r>
              <w:rPr>
                <w:rFonts w:hint="eastAsia" w:cs="Times New Roman"/>
                <w:color w:val="auto"/>
                <w:szCs w:val="21"/>
                <w:lang w:val="en-US" w:eastAsia="zh-CN"/>
              </w:rPr>
              <w:t>污水处理设施</w:t>
            </w:r>
            <w:r>
              <w:rPr>
                <w:rFonts w:hint="eastAsia" w:ascii="Times New Roman" w:hAnsi="Times New Roman" w:cs="Times New Roman"/>
                <w:color w:val="auto"/>
                <w:szCs w:val="21"/>
              </w:rPr>
              <w:t>处理后</w:t>
            </w:r>
            <w:r>
              <w:rPr>
                <w:rFonts w:hint="eastAsia" w:cs="Times New Roman"/>
                <w:color w:val="auto"/>
                <w:szCs w:val="21"/>
                <w:lang w:eastAsia="zh-CN"/>
              </w:rPr>
              <w:t>，</w:t>
            </w:r>
            <w:r>
              <w:rPr>
                <w:rFonts w:hint="eastAsia" w:cs="Times New Roman"/>
                <w:color w:val="auto"/>
                <w:szCs w:val="21"/>
                <w:lang w:val="en-US" w:eastAsia="zh-CN"/>
              </w:rPr>
              <w:t>循环使用不外排</w:t>
            </w:r>
          </w:p>
        </w:tc>
      </w:tr>
      <w:tr w14:paraId="02BB7A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54" w:type="pct"/>
            <w:vMerge w:val="continue"/>
            <w:noWrap w:val="0"/>
            <w:vAlign w:val="center"/>
          </w:tcPr>
          <w:p w14:paraId="1F8DC2D8">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043" w:type="pct"/>
            <w:noWrap w:val="0"/>
            <w:vAlign w:val="center"/>
          </w:tcPr>
          <w:p w14:paraId="402AC050">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cs="Times New Roman"/>
                <w:color w:val="auto"/>
                <w:szCs w:val="21"/>
                <w:lang w:val="en-US" w:eastAsia="zh-CN"/>
              </w:rPr>
              <w:t>生活污水</w:t>
            </w:r>
          </w:p>
        </w:tc>
        <w:tc>
          <w:tcPr>
            <w:tcW w:w="744" w:type="pct"/>
            <w:noWrap w:val="0"/>
            <w:vAlign w:val="center"/>
          </w:tcPr>
          <w:p w14:paraId="5B96EF6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生活污水和餐饮废水</w:t>
            </w:r>
          </w:p>
        </w:tc>
        <w:tc>
          <w:tcPr>
            <w:tcW w:w="2458" w:type="pct"/>
            <w:gridSpan w:val="2"/>
            <w:noWrap w:val="0"/>
            <w:vAlign w:val="center"/>
          </w:tcPr>
          <w:p w14:paraId="2BEC27F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经厂区内化粪池处理后排入市政污水管网</w:t>
            </w:r>
          </w:p>
        </w:tc>
      </w:tr>
      <w:tr w14:paraId="03777C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754" w:type="pct"/>
            <w:vMerge w:val="restart"/>
            <w:noWrap w:val="0"/>
            <w:vAlign w:val="center"/>
          </w:tcPr>
          <w:p w14:paraId="4A217E6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固体废物</w:t>
            </w:r>
          </w:p>
        </w:tc>
        <w:tc>
          <w:tcPr>
            <w:tcW w:w="1787" w:type="pct"/>
            <w:gridSpan w:val="2"/>
            <w:noWrap w:val="0"/>
            <w:vAlign w:val="center"/>
          </w:tcPr>
          <w:p w14:paraId="08A100B0">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Cs w:val="21"/>
              </w:rPr>
            </w:pPr>
            <w:r>
              <w:rPr>
                <w:rFonts w:hint="eastAsia" w:cs="Times New Roman"/>
                <w:color w:val="auto"/>
                <w:szCs w:val="21"/>
                <w:lang w:val="en-US" w:eastAsia="zh-CN"/>
              </w:rPr>
              <w:t>生活垃圾</w:t>
            </w:r>
          </w:p>
        </w:tc>
        <w:tc>
          <w:tcPr>
            <w:tcW w:w="1009" w:type="pct"/>
            <w:noWrap w:val="0"/>
            <w:vAlign w:val="center"/>
          </w:tcPr>
          <w:p w14:paraId="06F73897">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cs="Times New Roman"/>
                <w:color w:val="auto"/>
                <w:szCs w:val="21"/>
              </w:rPr>
            </w:pPr>
            <w:r>
              <w:rPr>
                <w:rFonts w:hint="eastAsia" w:cs="Times New Roman"/>
                <w:color w:val="auto"/>
                <w:sz w:val="21"/>
                <w:szCs w:val="21"/>
                <w:lang w:val="en-US" w:eastAsia="zh-CN"/>
              </w:rPr>
              <w:t>厂区配有垃圾桶，收集后</w:t>
            </w:r>
            <w:r>
              <w:rPr>
                <w:rFonts w:hint="default" w:ascii="Times New Roman" w:hAnsi="Times New Roman" w:cs="Times New Roman"/>
                <w:color w:val="auto"/>
                <w:sz w:val="21"/>
                <w:szCs w:val="21"/>
              </w:rPr>
              <w:t>交由环卫部门处置</w:t>
            </w:r>
          </w:p>
        </w:tc>
        <w:tc>
          <w:tcPr>
            <w:tcW w:w="1449" w:type="pct"/>
            <w:noWrap w:val="0"/>
            <w:vAlign w:val="center"/>
          </w:tcPr>
          <w:p w14:paraId="0457C4E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 w:val="21"/>
                <w:szCs w:val="21"/>
              </w:rPr>
              <w:t>处置率100%</w:t>
            </w:r>
          </w:p>
        </w:tc>
      </w:tr>
      <w:tr w14:paraId="782A7A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54" w:type="pct"/>
            <w:vMerge w:val="continue"/>
            <w:noWrap w:val="0"/>
            <w:vAlign w:val="center"/>
          </w:tcPr>
          <w:p w14:paraId="3B89463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787" w:type="pct"/>
            <w:gridSpan w:val="2"/>
            <w:noWrap w:val="0"/>
            <w:vAlign w:val="center"/>
          </w:tcPr>
          <w:p w14:paraId="1740120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废包装材料、纸张边角料、印刷不合格产品</w:t>
            </w:r>
          </w:p>
        </w:tc>
        <w:tc>
          <w:tcPr>
            <w:tcW w:w="1009" w:type="pct"/>
            <w:noWrap w:val="0"/>
            <w:vAlign w:val="center"/>
          </w:tcPr>
          <w:p w14:paraId="5605432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定期交由收购站收购处置</w:t>
            </w:r>
          </w:p>
        </w:tc>
        <w:tc>
          <w:tcPr>
            <w:tcW w:w="1449" w:type="pct"/>
            <w:noWrap w:val="0"/>
            <w:vAlign w:val="center"/>
          </w:tcPr>
          <w:p w14:paraId="4F7DC1C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《一般工业固体废物贮存和填埋污染控制标准》（GB18599-2020）</w:t>
            </w:r>
          </w:p>
        </w:tc>
      </w:tr>
      <w:tr w14:paraId="39FBD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54" w:type="pct"/>
            <w:vMerge w:val="continue"/>
            <w:noWrap w:val="0"/>
            <w:vAlign w:val="center"/>
          </w:tcPr>
          <w:p w14:paraId="1F39703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787" w:type="pct"/>
            <w:gridSpan w:val="2"/>
            <w:noWrap w:val="0"/>
            <w:vAlign w:val="center"/>
          </w:tcPr>
          <w:p w14:paraId="4DDC8052">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lang w:val="en-US"/>
              </w:rPr>
            </w:pPr>
            <w:r>
              <w:rPr>
                <w:rFonts w:hint="default" w:ascii="Times New Roman" w:hAnsi="Times New Roman" w:cs="Times New Roman"/>
                <w:color w:val="auto"/>
                <w:szCs w:val="21"/>
                <w:lang w:val="en-US" w:eastAsia="zh-CN"/>
              </w:rPr>
              <w:t>空油墨桶、废含油抹布、废污泥、废空胶桶、</w:t>
            </w:r>
            <w:r>
              <w:rPr>
                <w:rFonts w:hint="eastAsia" w:cs="Times New Roman"/>
                <w:color w:val="auto"/>
                <w:szCs w:val="21"/>
                <w:lang w:val="en-US" w:eastAsia="zh-CN"/>
              </w:rPr>
              <w:t>废机油、废显影液、废定影液、废活性炭、废擦机布、废清洗剂、废版</w:t>
            </w:r>
          </w:p>
        </w:tc>
        <w:tc>
          <w:tcPr>
            <w:tcW w:w="1009" w:type="pct"/>
            <w:noWrap w:val="0"/>
            <w:vAlign w:val="center"/>
          </w:tcPr>
          <w:p w14:paraId="6DB9E17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定期交由是</w:t>
            </w:r>
            <w:r>
              <w:rPr>
                <w:rFonts w:hint="eastAsia" w:cs="Times New Roman"/>
                <w:color w:val="auto"/>
                <w:szCs w:val="21"/>
                <w:lang w:eastAsia="zh-CN"/>
              </w:rPr>
              <w:t>陕西宏恩等离子技术有限责任公司</w:t>
            </w:r>
            <w:r>
              <w:rPr>
                <w:rFonts w:hint="default" w:ascii="Times New Roman" w:hAnsi="Times New Roman" w:cs="Times New Roman"/>
                <w:color w:val="auto"/>
                <w:szCs w:val="21"/>
              </w:rPr>
              <w:t>处置</w:t>
            </w:r>
          </w:p>
        </w:tc>
        <w:tc>
          <w:tcPr>
            <w:tcW w:w="1449" w:type="pct"/>
            <w:noWrap w:val="0"/>
            <w:vAlign w:val="center"/>
          </w:tcPr>
          <w:p w14:paraId="2267F38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《危险废物贮存污染控制标准》（GB 18597-2023）、《危险废物收集贮存运输技术规范》（HJ 2025-2012）中相关规定</w:t>
            </w:r>
          </w:p>
        </w:tc>
      </w:tr>
      <w:tr w14:paraId="357C63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754" w:type="pct"/>
            <w:noWrap w:val="0"/>
            <w:vAlign w:val="center"/>
          </w:tcPr>
          <w:p w14:paraId="5AE1656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土壤及地下水污染防治措施</w:t>
            </w:r>
          </w:p>
        </w:tc>
        <w:tc>
          <w:tcPr>
            <w:tcW w:w="4245" w:type="pct"/>
            <w:gridSpan w:val="4"/>
            <w:noWrap w:val="0"/>
            <w:vAlign w:val="center"/>
          </w:tcPr>
          <w:p w14:paraId="71A6958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de-DE"/>
              </w:rPr>
              <w:t>危废贮存库</w:t>
            </w:r>
            <w:r>
              <w:rPr>
                <w:rFonts w:hint="default" w:ascii="Times New Roman" w:hAnsi="Times New Roman" w:cs="Times New Roman"/>
                <w:color w:val="auto"/>
                <w:szCs w:val="21"/>
              </w:rPr>
              <w:t>地面进行防渗</w:t>
            </w:r>
            <w:r>
              <w:rPr>
                <w:rFonts w:hint="eastAsia" w:cs="Times New Roman"/>
                <w:color w:val="auto"/>
                <w:szCs w:val="21"/>
                <w:lang w:val="en-US" w:eastAsia="zh-CN"/>
              </w:rPr>
              <w:t>处理</w:t>
            </w:r>
            <w:r>
              <w:rPr>
                <w:rFonts w:hint="eastAsia" w:ascii="Times New Roman" w:hAnsi="Times New Roman" w:cs="Times New Roman"/>
                <w:color w:val="auto"/>
                <w:szCs w:val="21"/>
              </w:rPr>
              <w:t>，并设置托盘</w:t>
            </w:r>
          </w:p>
        </w:tc>
      </w:tr>
      <w:tr w14:paraId="288F1D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 w:hRule="atLeast"/>
        </w:trPr>
        <w:tc>
          <w:tcPr>
            <w:tcW w:w="754" w:type="pct"/>
            <w:noWrap w:val="0"/>
            <w:vAlign w:val="center"/>
          </w:tcPr>
          <w:p w14:paraId="2DCBFA7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生态保</w:t>
            </w:r>
          </w:p>
          <w:p w14:paraId="140A23D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护措施</w:t>
            </w:r>
          </w:p>
        </w:tc>
        <w:tc>
          <w:tcPr>
            <w:tcW w:w="4245" w:type="pct"/>
            <w:gridSpan w:val="4"/>
            <w:noWrap w:val="0"/>
            <w:vAlign w:val="center"/>
          </w:tcPr>
          <w:p w14:paraId="0252864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14:paraId="47BF8A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54" w:type="pct"/>
            <w:noWrap w:val="0"/>
            <w:vAlign w:val="center"/>
          </w:tcPr>
          <w:p w14:paraId="78DA1D3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环境风险</w:t>
            </w:r>
          </w:p>
          <w:p w14:paraId="7E26438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防范措施</w:t>
            </w:r>
          </w:p>
        </w:tc>
        <w:tc>
          <w:tcPr>
            <w:tcW w:w="4245" w:type="pct"/>
            <w:gridSpan w:val="4"/>
            <w:noWrap w:val="0"/>
            <w:vAlign w:val="center"/>
          </w:tcPr>
          <w:p w14:paraId="1AB8130B">
            <w:pPr>
              <w:pStyle w:val="65"/>
              <w:keepNext w:val="0"/>
              <w:keepLines w:val="0"/>
              <w:pageBreakBefore w:val="0"/>
              <w:widowControl/>
              <w:suppressLineNumbers w:val="0"/>
              <w:kinsoku/>
              <w:wordWrap/>
              <w:overflowPunct/>
              <w:topLinePunct w:val="0"/>
              <w:autoSpaceDE w:val="0"/>
              <w:autoSpaceDN w:val="0"/>
              <w:bidi w:val="0"/>
              <w:adjustRightInd w:val="0"/>
              <w:snapToGrid/>
              <w:spacing w:before="32" w:beforeLines="10" w:beforeAutospacing="0" w:after="0" w:afterAutospacing="0" w:line="288" w:lineRule="auto"/>
              <w:ind w:left="0" w:right="0"/>
              <w:jc w:val="left"/>
              <w:textAlignment w:val="bottom"/>
              <w:rPr>
                <w:rFonts w:hint="default" w:ascii="宋体" w:hAnsi="宋体" w:cs="宋体"/>
                <w:color w:val="auto"/>
                <w:szCs w:val="20"/>
                <w:highlight w:val="none"/>
              </w:rPr>
            </w:pPr>
            <w:r>
              <w:rPr>
                <w:rFonts w:hint="default" w:ascii="宋体" w:hAnsi="宋体" w:cs="宋体"/>
                <w:color w:val="auto"/>
                <w:szCs w:val="20"/>
                <w:highlight w:val="none"/>
              </w:rPr>
              <w:t>①</w:t>
            </w:r>
            <w:r>
              <w:rPr>
                <w:rFonts w:hint="eastAsia" w:ascii="宋体" w:hAnsi="宋体" w:cs="宋体"/>
                <w:color w:val="auto"/>
                <w:szCs w:val="20"/>
                <w:highlight w:val="none"/>
              </w:rPr>
              <w:t>工作</w:t>
            </w:r>
            <w:r>
              <w:rPr>
                <w:rFonts w:hint="default" w:ascii="宋体" w:hAnsi="宋体" w:cs="宋体"/>
                <w:color w:val="auto"/>
                <w:szCs w:val="20"/>
                <w:highlight w:val="none"/>
              </w:rPr>
              <w:t>人员定时巡视，一旦发现泄漏情况立即启动应急报警系统。</w:t>
            </w:r>
          </w:p>
          <w:p w14:paraId="17CAB6EC">
            <w:pPr>
              <w:pStyle w:val="65"/>
              <w:keepNext w:val="0"/>
              <w:keepLines w:val="0"/>
              <w:pageBreakBefore w:val="0"/>
              <w:widowControl/>
              <w:suppressLineNumbers w:val="0"/>
              <w:kinsoku/>
              <w:wordWrap/>
              <w:overflowPunct/>
              <w:topLinePunct w:val="0"/>
              <w:autoSpaceDE w:val="0"/>
              <w:autoSpaceDN w:val="0"/>
              <w:bidi w:val="0"/>
              <w:adjustRightInd w:val="0"/>
              <w:snapToGrid/>
              <w:spacing w:before="32" w:beforeLines="10" w:beforeAutospacing="0" w:after="0" w:afterAutospacing="0" w:line="288" w:lineRule="auto"/>
              <w:ind w:left="0" w:right="0"/>
              <w:jc w:val="left"/>
              <w:textAlignment w:val="bottom"/>
              <w:rPr>
                <w:rFonts w:hint="default" w:ascii="宋体" w:hAnsi="宋体" w:cs="宋体"/>
                <w:color w:val="auto"/>
                <w:szCs w:val="20"/>
                <w:highlight w:val="none"/>
              </w:rPr>
            </w:pPr>
            <w:r>
              <w:rPr>
                <w:rFonts w:hint="default" w:ascii="宋体" w:hAnsi="宋体" w:cs="宋体"/>
                <w:color w:val="auto"/>
                <w:szCs w:val="20"/>
                <w:highlight w:val="none"/>
              </w:rPr>
              <w:t>②加强安全管理，制定相应的定期检查制度，定期检查装置各</w:t>
            </w:r>
            <w:r>
              <w:rPr>
                <w:rFonts w:hint="eastAsia" w:ascii="宋体" w:hAnsi="宋体" w:cs="宋体"/>
                <w:color w:val="auto"/>
                <w:szCs w:val="20"/>
                <w:highlight w:val="none"/>
              </w:rPr>
              <w:t>设备</w:t>
            </w:r>
            <w:r>
              <w:rPr>
                <w:rFonts w:hint="default" w:ascii="宋体" w:hAnsi="宋体" w:cs="宋体"/>
                <w:color w:val="auto"/>
                <w:szCs w:val="20"/>
                <w:highlight w:val="none"/>
              </w:rPr>
              <w:t>有无渗漏。</w:t>
            </w:r>
          </w:p>
          <w:p w14:paraId="7D77923C">
            <w:pPr>
              <w:pStyle w:val="65"/>
              <w:keepNext w:val="0"/>
              <w:keepLines w:val="0"/>
              <w:pageBreakBefore w:val="0"/>
              <w:widowControl/>
              <w:suppressLineNumbers w:val="0"/>
              <w:kinsoku/>
              <w:wordWrap/>
              <w:overflowPunct/>
              <w:topLinePunct w:val="0"/>
              <w:autoSpaceDE w:val="0"/>
              <w:autoSpaceDN w:val="0"/>
              <w:bidi w:val="0"/>
              <w:adjustRightInd w:val="0"/>
              <w:snapToGrid/>
              <w:spacing w:before="32" w:beforeLines="10" w:beforeAutospacing="0" w:after="0" w:afterAutospacing="0" w:line="288" w:lineRule="auto"/>
              <w:ind w:left="0" w:right="0"/>
              <w:jc w:val="left"/>
              <w:textAlignment w:val="bottom"/>
              <w:rPr>
                <w:rFonts w:hint="default" w:ascii="宋体" w:hAnsi="宋体" w:cs="宋体"/>
                <w:color w:val="auto"/>
                <w:szCs w:val="20"/>
                <w:highlight w:val="none"/>
              </w:rPr>
            </w:pPr>
            <w:r>
              <w:rPr>
                <w:rFonts w:hint="default" w:ascii="宋体" w:hAnsi="宋体" w:cs="宋体"/>
                <w:color w:val="auto"/>
                <w:szCs w:val="20"/>
                <w:highlight w:val="none"/>
              </w:rPr>
              <w:t>③建立完善的安全生产制度和安全操作规范，并做到制度上墙。</w:t>
            </w:r>
          </w:p>
          <w:p w14:paraId="02A5FB9C">
            <w:pPr>
              <w:pStyle w:val="65"/>
              <w:keepNext w:val="0"/>
              <w:keepLines w:val="0"/>
              <w:pageBreakBefore w:val="0"/>
              <w:widowControl/>
              <w:suppressLineNumbers w:val="0"/>
              <w:kinsoku/>
              <w:wordWrap/>
              <w:overflowPunct/>
              <w:topLinePunct w:val="0"/>
              <w:autoSpaceDE w:val="0"/>
              <w:autoSpaceDN w:val="0"/>
              <w:bidi w:val="0"/>
              <w:adjustRightInd w:val="0"/>
              <w:snapToGrid/>
              <w:spacing w:before="32" w:beforeLines="10" w:beforeAutospacing="0" w:after="0" w:afterAutospacing="0" w:line="288" w:lineRule="auto"/>
              <w:ind w:left="0" w:right="0"/>
              <w:jc w:val="left"/>
              <w:textAlignment w:val="bottom"/>
              <w:rPr>
                <w:rFonts w:hint="default" w:ascii="宋体" w:hAnsi="宋体" w:cs="宋体"/>
                <w:color w:val="auto"/>
                <w:szCs w:val="20"/>
                <w:highlight w:val="none"/>
              </w:rPr>
            </w:pPr>
            <w:r>
              <w:rPr>
                <w:rFonts w:hint="default" w:ascii="宋体" w:hAnsi="宋体" w:cs="宋体"/>
                <w:color w:val="auto"/>
                <w:szCs w:val="20"/>
                <w:highlight w:val="none"/>
              </w:rPr>
              <w:t>④</w:t>
            </w:r>
            <w:r>
              <w:rPr>
                <w:rFonts w:hint="eastAsia" w:ascii="宋体" w:hAnsi="宋体" w:cs="宋体"/>
                <w:color w:val="auto"/>
                <w:szCs w:val="20"/>
                <w:highlight w:val="none"/>
              </w:rPr>
              <w:t>生产车间及</w:t>
            </w:r>
            <w:r>
              <w:rPr>
                <w:rFonts w:hint="default" w:ascii="宋体" w:hAnsi="宋体" w:cs="宋体"/>
                <w:color w:val="auto"/>
                <w:szCs w:val="20"/>
                <w:highlight w:val="none"/>
              </w:rPr>
              <w:t>周围应设置禁止火源等标识。</w:t>
            </w:r>
          </w:p>
          <w:p w14:paraId="25310CC4">
            <w:pPr>
              <w:keepNext w:val="0"/>
              <w:keepLines w:val="0"/>
              <w:widowControl/>
              <w:suppressLineNumbers w:val="0"/>
              <w:spacing w:before="0" w:beforeAutospacing="0" w:after="0" w:afterAutospacing="0"/>
              <w:ind w:left="0" w:right="0"/>
              <w:rPr>
                <w:rFonts w:hint="eastAsia" w:ascii="Times New Roman" w:hAnsi="Times New Roman" w:cs="Times New Roman"/>
                <w:color w:val="auto"/>
                <w:szCs w:val="21"/>
              </w:rPr>
            </w:pPr>
            <w:r>
              <w:rPr>
                <w:rFonts w:hint="default" w:ascii="宋体" w:hAnsi="宋体" w:cs="宋体"/>
                <w:color w:val="auto"/>
                <w:szCs w:val="20"/>
                <w:highlight w:val="none"/>
              </w:rPr>
              <w:t>⑤按照规定配备灭火器。</w:t>
            </w:r>
          </w:p>
        </w:tc>
      </w:tr>
      <w:tr w14:paraId="695F84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754" w:type="pct"/>
            <w:noWrap w:val="0"/>
            <w:vAlign w:val="center"/>
          </w:tcPr>
          <w:p w14:paraId="64127C7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其他环境</w:t>
            </w:r>
          </w:p>
          <w:p w14:paraId="1F6EA42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lang w:bidi="ar"/>
              </w:rPr>
            </w:pPr>
            <w:r>
              <w:rPr>
                <w:rFonts w:hint="default" w:ascii="Times New Roman" w:hAnsi="Times New Roman" w:cs="Times New Roman"/>
                <w:color w:val="auto"/>
                <w:szCs w:val="21"/>
                <w:lang w:bidi="ar"/>
              </w:rPr>
              <w:t>管理要求</w:t>
            </w:r>
          </w:p>
        </w:tc>
        <w:tc>
          <w:tcPr>
            <w:tcW w:w="4245" w:type="pct"/>
            <w:gridSpan w:val="4"/>
            <w:noWrap w:val="0"/>
            <w:vAlign w:val="center"/>
          </w:tcPr>
          <w:p w14:paraId="2016FE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sz w:val="21"/>
                <w:szCs w:val="21"/>
                <w:highlight w:val="none"/>
              </w:rPr>
            </w:pPr>
            <w:r>
              <w:rPr>
                <w:rFonts w:hint="eastAsia"/>
                <w:color w:val="auto"/>
                <w:sz w:val="21"/>
                <w:szCs w:val="21"/>
                <w:highlight w:val="none"/>
              </w:rPr>
              <w:t>1.环境管理</w:t>
            </w:r>
          </w:p>
          <w:p w14:paraId="0A3126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sz w:val="21"/>
                <w:szCs w:val="21"/>
                <w:highlight w:val="none"/>
              </w:rPr>
            </w:pPr>
            <w:r>
              <w:rPr>
                <w:rFonts w:hint="eastAsia"/>
                <w:color w:val="auto"/>
                <w:sz w:val="21"/>
                <w:szCs w:val="21"/>
                <w:highlight w:val="none"/>
              </w:rPr>
              <w:t>①严格执行国家环境保护有关政策和法规，取得环评手续后尽快完成竣工环境保护验收工作及排污许可申报。</w:t>
            </w:r>
          </w:p>
          <w:p w14:paraId="191605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sz w:val="21"/>
                <w:szCs w:val="21"/>
                <w:highlight w:val="none"/>
              </w:rPr>
            </w:pPr>
            <w:r>
              <w:rPr>
                <w:rFonts w:hint="eastAsia"/>
                <w:color w:val="auto"/>
                <w:sz w:val="21"/>
                <w:szCs w:val="21"/>
                <w:highlight w:val="none"/>
              </w:rPr>
              <w:t>②严格执行建设项目“三同时”制度，监督项目环保“三同时”落实情况；</w:t>
            </w:r>
          </w:p>
          <w:p w14:paraId="656B4A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sz w:val="21"/>
                <w:szCs w:val="21"/>
                <w:highlight w:val="none"/>
              </w:rPr>
            </w:pPr>
            <w:r>
              <w:rPr>
                <w:rFonts w:hint="eastAsia"/>
                <w:color w:val="auto"/>
                <w:sz w:val="21"/>
                <w:szCs w:val="21"/>
                <w:highlight w:val="none"/>
              </w:rPr>
              <w:t>③建立环境管理制度，设置专职环保人员，负责日常环保安全，定期检查环保管理和环境监测工作。</w:t>
            </w:r>
          </w:p>
          <w:p w14:paraId="7C0090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sz w:val="21"/>
                <w:szCs w:val="21"/>
                <w:highlight w:val="none"/>
              </w:rPr>
            </w:pPr>
            <w:r>
              <w:rPr>
                <w:rFonts w:hint="eastAsia"/>
                <w:color w:val="auto"/>
                <w:sz w:val="21"/>
                <w:szCs w:val="21"/>
                <w:highlight w:val="none"/>
              </w:rPr>
              <w:t>④制定监测计划，并定期进行环境监测。</w:t>
            </w:r>
          </w:p>
          <w:p w14:paraId="1ADB09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2.环保投资</w:t>
            </w:r>
          </w:p>
          <w:p w14:paraId="56D885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color w:val="000000" w:themeColor="text1"/>
                <w:sz w:val="21"/>
                <w:szCs w:val="21"/>
                <w:highlight w:val="none"/>
                <w14:textFill>
                  <w14:solidFill>
                    <w14:schemeClr w14:val="tx1"/>
                  </w14:solidFill>
                </w14:textFill>
              </w:rPr>
            </w:pPr>
            <w:r>
              <w:rPr>
                <w:rFonts w:hint="default"/>
                <w:color w:val="000000" w:themeColor="text1"/>
                <w:sz w:val="21"/>
                <w:szCs w:val="21"/>
                <w:highlight w:val="none"/>
                <w14:textFill>
                  <w14:solidFill>
                    <w14:schemeClr w14:val="tx1"/>
                  </w14:solidFill>
                </w14:textFill>
              </w:rPr>
              <w:t>项目总投资</w:t>
            </w:r>
            <w:r>
              <w:rPr>
                <w:rFonts w:hint="eastAsia"/>
                <w:color w:val="000000" w:themeColor="text1"/>
                <w:sz w:val="21"/>
                <w:szCs w:val="21"/>
                <w:highlight w:val="none"/>
                <w:lang w:val="en-US" w:eastAsia="zh-CN"/>
                <w14:textFill>
                  <w14:solidFill>
                    <w14:schemeClr w14:val="tx1"/>
                  </w14:solidFill>
                </w14:textFill>
              </w:rPr>
              <w:t>40</w:t>
            </w:r>
            <w:r>
              <w:rPr>
                <w:rFonts w:hint="eastAsia"/>
                <w:color w:val="000000" w:themeColor="text1"/>
                <w:sz w:val="21"/>
                <w:szCs w:val="21"/>
                <w:highlight w:val="none"/>
                <w14:textFill>
                  <w14:solidFill>
                    <w14:schemeClr w14:val="tx1"/>
                  </w14:solidFill>
                </w14:textFill>
              </w:rPr>
              <w:t>00</w:t>
            </w:r>
            <w:r>
              <w:rPr>
                <w:rFonts w:hint="default"/>
                <w:color w:val="000000" w:themeColor="text1"/>
                <w:sz w:val="21"/>
                <w:szCs w:val="21"/>
                <w:highlight w:val="none"/>
                <w14:textFill>
                  <w14:solidFill>
                    <w14:schemeClr w14:val="tx1"/>
                  </w14:solidFill>
                </w14:textFill>
              </w:rPr>
              <w:t>万元，经初步核算，环保投资为</w:t>
            </w:r>
            <w:r>
              <w:rPr>
                <w:rFonts w:hint="eastAsia"/>
                <w:color w:val="000000" w:themeColor="text1"/>
                <w:sz w:val="21"/>
                <w:szCs w:val="21"/>
                <w:highlight w:val="none"/>
                <w:lang w:val="en-US" w:eastAsia="zh-CN"/>
                <w14:textFill>
                  <w14:solidFill>
                    <w14:schemeClr w14:val="tx1"/>
                  </w14:solidFill>
                </w14:textFill>
              </w:rPr>
              <w:t>26</w:t>
            </w:r>
            <w:r>
              <w:rPr>
                <w:rFonts w:hint="default"/>
                <w:color w:val="000000" w:themeColor="text1"/>
                <w:sz w:val="21"/>
                <w:szCs w:val="21"/>
                <w:highlight w:val="none"/>
                <w14:textFill>
                  <w14:solidFill>
                    <w14:schemeClr w14:val="tx1"/>
                  </w14:solidFill>
                </w14:textFill>
              </w:rPr>
              <w:t>万元，占总投资的</w:t>
            </w:r>
            <w:r>
              <w:rPr>
                <w:rFonts w:hint="eastAsia"/>
                <w:color w:val="000000" w:themeColor="text1"/>
                <w:sz w:val="21"/>
                <w:szCs w:val="21"/>
                <w:highlight w:val="none"/>
                <w:lang w:val="en-US" w:eastAsia="zh-CN"/>
                <w14:textFill>
                  <w14:solidFill>
                    <w14:schemeClr w14:val="tx1"/>
                  </w14:solidFill>
                </w14:textFill>
              </w:rPr>
              <w:t>0.65</w:t>
            </w:r>
            <w:r>
              <w:rPr>
                <w:rFonts w:hint="default"/>
                <w:color w:val="000000" w:themeColor="text1"/>
                <w:sz w:val="21"/>
                <w:szCs w:val="21"/>
                <w:highlight w:val="none"/>
                <w14:textFill>
                  <w14:solidFill>
                    <w14:schemeClr w14:val="tx1"/>
                  </w14:solidFill>
                </w14:textFill>
              </w:rPr>
              <w:t>%。</w:t>
            </w:r>
            <w:r>
              <w:rPr>
                <w:rFonts w:hint="eastAsia"/>
                <w:color w:val="000000" w:themeColor="text1"/>
                <w:sz w:val="21"/>
                <w:szCs w:val="21"/>
                <w:highlight w:val="none"/>
                <w14:textFill>
                  <w14:solidFill>
                    <w14:schemeClr w14:val="tx1"/>
                  </w14:solidFill>
                </w14:textFill>
              </w:rPr>
              <w:t>环保投资一览表见下</w:t>
            </w:r>
            <w:r>
              <w:rPr>
                <w:rFonts w:hint="default"/>
                <w:color w:val="000000" w:themeColor="text1"/>
                <w:sz w:val="21"/>
                <w:szCs w:val="21"/>
                <w:highlight w:val="none"/>
                <w14:textFill>
                  <w14:solidFill>
                    <w14:schemeClr w14:val="tx1"/>
                  </w14:solidFill>
                </w14:textFill>
              </w:rPr>
              <w:t>表。</w:t>
            </w:r>
          </w:p>
          <w:p w14:paraId="2E58E46B">
            <w:pPr>
              <w:pStyle w:val="67"/>
              <w:keepNext w:val="0"/>
              <w:keepLines w:val="0"/>
              <w:widowControl/>
              <w:suppressLineNumbers w:val="0"/>
              <w:spacing w:before="0" w:beforeLines="0" w:beforeAutospacing="0" w:after="0" w:afterAutospacing="0" w:line="240" w:lineRule="auto"/>
              <w:ind w:left="0" w:right="0"/>
              <w:rPr>
                <w:rFonts w:hint="default" w:eastAsia="宋体"/>
                <w:b/>
                <w:bCs/>
                <w:color w:val="000000" w:themeColor="text1"/>
                <w:highlight w:val="none"/>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 xml:space="preserve">                 </w:t>
            </w:r>
            <w:r>
              <w:rPr>
                <w:rFonts w:hint="eastAsia" w:eastAsia="宋体"/>
                <w:b/>
                <w:bCs/>
                <w:color w:val="000000" w:themeColor="text1"/>
                <w:highlight w:val="none"/>
                <w14:textFill>
                  <w14:solidFill>
                    <w14:schemeClr w14:val="tx1"/>
                  </w14:solidFill>
                </w14:textFill>
              </w:rPr>
              <w:t>表5-1</w:t>
            </w:r>
            <w:r>
              <w:rPr>
                <w:rFonts w:hint="eastAsia" w:eastAsia="宋体"/>
                <w:b/>
                <w:bCs/>
                <w:color w:val="000000" w:themeColor="text1"/>
                <w:highlight w:val="none"/>
                <w:lang w:val="en-US" w:eastAsia="zh-CN"/>
                <w14:textFill>
                  <w14:solidFill>
                    <w14:schemeClr w14:val="tx1"/>
                  </w14:solidFill>
                </w14:textFill>
              </w:rPr>
              <w:t xml:space="preserve">  </w:t>
            </w:r>
            <w:r>
              <w:rPr>
                <w:rFonts w:hint="eastAsia" w:eastAsia="宋体"/>
                <w:b/>
                <w:bCs/>
                <w:color w:val="000000" w:themeColor="text1"/>
                <w:highlight w:val="none"/>
                <w14:textFill>
                  <w14:solidFill>
                    <w14:schemeClr w14:val="tx1"/>
                  </w14:solidFill>
                </w14:textFill>
              </w:rPr>
              <w:t xml:space="preserve">环保投资一览表      </w:t>
            </w:r>
            <w:r>
              <w:rPr>
                <w:rFonts w:hint="eastAsia" w:eastAsia="宋体"/>
                <w:b/>
                <w:bCs/>
                <w:color w:val="000000" w:themeColor="text1"/>
                <w:highlight w:val="none"/>
                <w:lang w:val="en-US" w:eastAsia="zh-CN"/>
                <w14:textFill>
                  <w14:solidFill>
                    <w14:schemeClr w14:val="tx1"/>
                  </w14:solidFill>
                </w14:textFill>
              </w:rPr>
              <w:t xml:space="preserve">  </w:t>
            </w:r>
            <w:r>
              <w:rPr>
                <w:rFonts w:hint="eastAsia" w:eastAsia="宋体"/>
                <w:b/>
                <w:bCs/>
                <w:color w:val="000000" w:themeColor="text1"/>
                <w:highlight w:val="none"/>
                <w14:textFill>
                  <w14:solidFill>
                    <w14:schemeClr w14:val="tx1"/>
                  </w14:solidFill>
                </w14:textFill>
              </w:rPr>
              <w:t>单位：万元</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1771"/>
              <w:gridCol w:w="3356"/>
              <w:gridCol w:w="899"/>
              <w:gridCol w:w="720"/>
            </w:tblGrid>
            <w:tr w14:paraId="59AF8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pct"/>
                  <w:tcBorders>
                    <w:tl2br w:val="nil"/>
                    <w:tr2bl w:val="nil"/>
                  </w:tcBorders>
                  <w:vAlign w:val="center"/>
                </w:tcPr>
                <w:p w14:paraId="2CA46875">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default"/>
                      <w:color w:val="000000" w:themeColor="text1"/>
                      <w:szCs w:val="20"/>
                      <w:highlight w:val="none"/>
                      <w14:textFill>
                        <w14:solidFill>
                          <w14:schemeClr w14:val="tx1"/>
                        </w14:solidFill>
                      </w14:textFill>
                    </w:rPr>
                    <w:t>项目</w:t>
                  </w:r>
                </w:p>
              </w:tc>
              <w:tc>
                <w:tcPr>
                  <w:tcW w:w="1184" w:type="pct"/>
                  <w:tcBorders>
                    <w:tl2br w:val="nil"/>
                    <w:tr2bl w:val="nil"/>
                  </w:tcBorders>
                  <w:vAlign w:val="center"/>
                </w:tcPr>
                <w:p w14:paraId="22F0E689">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default"/>
                      <w:color w:val="000000" w:themeColor="text1"/>
                      <w:szCs w:val="20"/>
                      <w:highlight w:val="none"/>
                      <w14:textFill>
                        <w14:solidFill>
                          <w14:schemeClr w14:val="tx1"/>
                        </w14:solidFill>
                      </w14:textFill>
                    </w:rPr>
                    <w:t>污染源</w:t>
                  </w:r>
                </w:p>
              </w:tc>
              <w:tc>
                <w:tcPr>
                  <w:tcW w:w="2244" w:type="pct"/>
                  <w:tcBorders>
                    <w:tl2br w:val="nil"/>
                    <w:tr2bl w:val="nil"/>
                  </w:tcBorders>
                  <w:vAlign w:val="center"/>
                </w:tcPr>
                <w:p w14:paraId="335C8F4E">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采取的环保措施</w:t>
                  </w:r>
                </w:p>
              </w:tc>
              <w:tc>
                <w:tcPr>
                  <w:tcW w:w="600" w:type="pct"/>
                  <w:tcBorders>
                    <w:tl2br w:val="nil"/>
                    <w:tr2bl w:val="nil"/>
                  </w:tcBorders>
                  <w:vAlign w:val="center"/>
                </w:tcPr>
                <w:p w14:paraId="643C7A1C">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default"/>
                      <w:color w:val="000000" w:themeColor="text1"/>
                      <w:szCs w:val="20"/>
                      <w:highlight w:val="none"/>
                      <w14:textFill>
                        <w14:solidFill>
                          <w14:schemeClr w14:val="tx1"/>
                        </w14:solidFill>
                      </w14:textFill>
                    </w:rPr>
                    <w:t>数量</w:t>
                  </w:r>
                </w:p>
              </w:tc>
              <w:tc>
                <w:tcPr>
                  <w:tcW w:w="481" w:type="pct"/>
                  <w:tcBorders>
                    <w:tl2br w:val="nil"/>
                    <w:tr2bl w:val="nil"/>
                  </w:tcBorders>
                  <w:vAlign w:val="center"/>
                </w:tcPr>
                <w:p w14:paraId="0973536E">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default"/>
                      <w:color w:val="000000" w:themeColor="text1"/>
                      <w:szCs w:val="20"/>
                      <w:highlight w:val="none"/>
                      <w14:textFill>
                        <w14:solidFill>
                          <w14:schemeClr w14:val="tx1"/>
                        </w14:solidFill>
                      </w14:textFill>
                    </w:rPr>
                    <w:t>投资</w:t>
                  </w:r>
                </w:p>
              </w:tc>
            </w:tr>
            <w:tr w14:paraId="61FEA9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489" w:type="pct"/>
                  <w:vMerge w:val="restart"/>
                  <w:tcBorders>
                    <w:tl2br w:val="nil"/>
                    <w:tr2bl w:val="nil"/>
                  </w:tcBorders>
                  <w:vAlign w:val="center"/>
                </w:tcPr>
                <w:p w14:paraId="1EDD2F52">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废气</w:t>
                  </w:r>
                </w:p>
              </w:tc>
              <w:tc>
                <w:tcPr>
                  <w:tcW w:w="1184" w:type="pct"/>
                  <w:tcBorders>
                    <w:tl2br w:val="nil"/>
                    <w:tr2bl w:val="nil"/>
                  </w:tcBorders>
                  <w:vAlign w:val="center"/>
                </w:tcPr>
                <w:p w14:paraId="2C4AFB68">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s="Times New Roman"/>
                      <w:color w:val="auto"/>
                      <w:szCs w:val="20"/>
                      <w:highlight w:val="none"/>
                      <w:lang w:val="en-US" w:eastAsia="zh-CN"/>
                    </w:rPr>
                    <w:t>生产废气</w:t>
                  </w:r>
                </w:p>
              </w:tc>
              <w:tc>
                <w:tcPr>
                  <w:tcW w:w="2244" w:type="pct"/>
                  <w:tcBorders>
                    <w:tl2br w:val="nil"/>
                    <w:tr2bl w:val="nil"/>
                  </w:tcBorders>
                  <w:vAlign w:val="center"/>
                </w:tcPr>
                <w:p w14:paraId="353D6B93">
                  <w:pPr>
                    <w:pStyle w:val="65"/>
                    <w:keepNext w:val="0"/>
                    <w:keepLines w:val="0"/>
                    <w:widowControl/>
                    <w:suppressLineNumbers w:val="0"/>
                    <w:spacing w:before="0" w:beforeAutospacing="0" w:after="0" w:afterAutospacing="0"/>
                    <w:ind w:left="0" w:right="0"/>
                    <w:rPr>
                      <w:rFonts w:hint="default"/>
                      <w:color w:val="000000" w:themeColor="text1"/>
                      <w:szCs w:val="20"/>
                      <w:highlight w:val="none"/>
                      <w:lang w:val="en-US"/>
                      <w14:textFill>
                        <w14:solidFill>
                          <w14:schemeClr w14:val="tx1"/>
                        </w14:solidFill>
                      </w14:textFill>
                    </w:rPr>
                  </w:pPr>
                  <w:r>
                    <w:rPr>
                      <w:rFonts w:hint="default" w:ascii="Times New Roman" w:hAnsi="Times New Roman" w:eastAsia="宋体" w:cs="Times New Roman"/>
                      <w:color w:val="auto"/>
                      <w:szCs w:val="20"/>
                      <w:highlight w:val="none"/>
                      <w:lang w:val="en-US" w:eastAsia="zh-CN"/>
                    </w:rPr>
                    <w:t>集气罩+</w:t>
                  </w:r>
                  <w:r>
                    <w:rPr>
                      <w:rFonts w:hint="eastAsia" w:cs="Times New Roman"/>
                      <w:color w:val="auto"/>
                      <w:szCs w:val="20"/>
                      <w:highlight w:val="none"/>
                      <w:lang w:val="en-US" w:eastAsia="zh-CN"/>
                    </w:rPr>
                    <w:t>二级</w:t>
                  </w:r>
                  <w:r>
                    <w:rPr>
                      <w:rFonts w:hint="default" w:ascii="Times New Roman" w:hAnsi="Times New Roman" w:eastAsia="宋体" w:cs="Times New Roman"/>
                      <w:color w:val="auto"/>
                      <w:szCs w:val="20"/>
                      <w:highlight w:val="none"/>
                      <w:lang w:val="en-US" w:eastAsia="zh-CN"/>
                    </w:rPr>
                    <w:t>活性炭吸附</w:t>
                  </w:r>
                  <w:r>
                    <w:rPr>
                      <w:rFonts w:hint="eastAsia" w:ascii="Times New Roman" w:hAnsi="Times New Roman" w:eastAsia="宋体" w:cs="Times New Roman"/>
                      <w:color w:val="auto"/>
                      <w:szCs w:val="20"/>
                      <w:highlight w:val="none"/>
                      <w:lang w:val="en-US" w:eastAsia="zh-CN"/>
                    </w:rPr>
                    <w:t>+15m排气筒</w:t>
                  </w:r>
                </w:p>
              </w:tc>
              <w:tc>
                <w:tcPr>
                  <w:tcW w:w="600" w:type="pct"/>
                  <w:tcBorders>
                    <w:tl2br w:val="nil"/>
                    <w:tr2bl w:val="nil"/>
                  </w:tcBorders>
                  <w:vAlign w:val="center"/>
                </w:tcPr>
                <w:p w14:paraId="27C7D5BE">
                  <w:pPr>
                    <w:pStyle w:val="65"/>
                    <w:keepNext w:val="0"/>
                    <w:keepLines w:val="0"/>
                    <w:widowControl/>
                    <w:suppressLineNumbers w:val="0"/>
                    <w:spacing w:before="0" w:beforeAutospacing="0" w:after="0" w:afterAutospacing="0"/>
                    <w:ind w:left="0" w:right="0"/>
                    <w:rPr>
                      <w:rFonts w:hint="default"/>
                      <w:color w:val="000000" w:themeColor="text1"/>
                      <w:szCs w:val="20"/>
                      <w:highlight w:val="green"/>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3套</w:t>
                  </w:r>
                </w:p>
              </w:tc>
              <w:tc>
                <w:tcPr>
                  <w:tcW w:w="481" w:type="pct"/>
                  <w:tcBorders>
                    <w:tl2br w:val="nil"/>
                    <w:tr2bl w:val="nil"/>
                  </w:tcBorders>
                  <w:vAlign w:val="center"/>
                </w:tcPr>
                <w:p w14:paraId="37C46091">
                  <w:pPr>
                    <w:pStyle w:val="65"/>
                    <w:keepNext w:val="0"/>
                    <w:keepLines w:val="0"/>
                    <w:widowControl/>
                    <w:suppressLineNumbers w:val="0"/>
                    <w:spacing w:before="0" w:beforeAutospacing="0" w:after="0" w:afterAutospacing="0"/>
                    <w:ind w:left="0" w:right="0"/>
                    <w:rPr>
                      <w:rFonts w:hint="default"/>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15</w:t>
                  </w:r>
                </w:p>
              </w:tc>
            </w:tr>
            <w:tr w14:paraId="53D53E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pct"/>
                  <w:vMerge w:val="continue"/>
                  <w:tcBorders>
                    <w:tl2br w:val="nil"/>
                    <w:tr2bl w:val="nil"/>
                  </w:tcBorders>
                  <w:vAlign w:val="center"/>
                </w:tcPr>
                <w:p w14:paraId="18FBE1A4">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p>
              </w:tc>
              <w:tc>
                <w:tcPr>
                  <w:tcW w:w="1184" w:type="pct"/>
                  <w:tcBorders>
                    <w:tl2br w:val="nil"/>
                    <w:tr2bl w:val="nil"/>
                  </w:tcBorders>
                  <w:vAlign w:val="center"/>
                </w:tcPr>
                <w:p w14:paraId="3D22EA13">
                  <w:pPr>
                    <w:pStyle w:val="65"/>
                    <w:keepNext w:val="0"/>
                    <w:keepLines w:val="0"/>
                    <w:widowControl/>
                    <w:suppressLineNumbers w:val="0"/>
                    <w:spacing w:before="0" w:beforeAutospacing="0" w:after="0" w:afterAutospacing="0"/>
                    <w:ind w:left="0" w:right="0"/>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食堂油烟</w:t>
                  </w:r>
                </w:p>
              </w:tc>
              <w:tc>
                <w:tcPr>
                  <w:tcW w:w="2244" w:type="pct"/>
                  <w:tcBorders>
                    <w:tl2br w:val="nil"/>
                    <w:tr2bl w:val="nil"/>
                  </w:tcBorders>
                  <w:vAlign w:val="center"/>
                </w:tcPr>
                <w:p w14:paraId="0BF2EB9B">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油烟净化器</w:t>
                  </w:r>
                </w:p>
              </w:tc>
              <w:tc>
                <w:tcPr>
                  <w:tcW w:w="600" w:type="pct"/>
                  <w:tcBorders>
                    <w:tl2br w:val="nil"/>
                    <w:tr2bl w:val="nil"/>
                  </w:tcBorders>
                  <w:vAlign w:val="center"/>
                </w:tcPr>
                <w:p w14:paraId="28175025">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green"/>
                      <w:lang w:val="en-US" w:eastAsia="zh-CN"/>
                      <w14:textFill>
                        <w14:solidFill>
                          <w14:schemeClr w14:val="tx1"/>
                        </w14:solidFill>
                      </w14:textFill>
                    </w:rPr>
                  </w:pPr>
                  <w:r>
                    <w:rPr>
                      <w:rFonts w:hint="eastAsia"/>
                      <w:color w:val="000000" w:themeColor="text1"/>
                      <w:szCs w:val="20"/>
                      <w:highlight w:val="none"/>
                      <w14:textFill>
                        <w14:solidFill>
                          <w14:schemeClr w14:val="tx1"/>
                        </w14:solidFill>
                      </w14:textFill>
                    </w:rPr>
                    <w:t>1</w:t>
                  </w:r>
                  <w:r>
                    <w:rPr>
                      <w:rFonts w:hint="eastAsia"/>
                      <w:color w:val="000000" w:themeColor="text1"/>
                      <w:szCs w:val="20"/>
                      <w:highlight w:val="none"/>
                      <w:lang w:val="en-US" w:eastAsia="zh-CN"/>
                      <w14:textFill>
                        <w14:solidFill>
                          <w14:schemeClr w14:val="tx1"/>
                        </w14:solidFill>
                      </w14:textFill>
                    </w:rPr>
                    <w:t>套</w:t>
                  </w:r>
                </w:p>
              </w:tc>
              <w:tc>
                <w:tcPr>
                  <w:tcW w:w="481" w:type="pct"/>
                  <w:tcBorders>
                    <w:tl2br w:val="nil"/>
                    <w:tr2bl w:val="nil"/>
                  </w:tcBorders>
                  <w:vAlign w:val="center"/>
                </w:tcPr>
                <w:p w14:paraId="7031F15F">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依托原有</w:t>
                  </w:r>
                </w:p>
              </w:tc>
            </w:tr>
            <w:tr w14:paraId="34214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pct"/>
                  <w:vMerge w:val="restart"/>
                  <w:tcBorders>
                    <w:tl2br w:val="nil"/>
                    <w:tr2bl w:val="nil"/>
                  </w:tcBorders>
                  <w:vAlign w:val="center"/>
                </w:tcPr>
                <w:p w14:paraId="3A5C0668">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废水</w:t>
                  </w:r>
                </w:p>
              </w:tc>
              <w:tc>
                <w:tcPr>
                  <w:tcW w:w="1184" w:type="pct"/>
                  <w:vMerge w:val="restart"/>
                  <w:tcBorders>
                    <w:tl2br w:val="nil"/>
                    <w:tr2bl w:val="nil"/>
                  </w:tcBorders>
                  <w:vAlign w:val="center"/>
                </w:tcPr>
                <w:p w14:paraId="45FEEB52">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办公生活</w:t>
                  </w:r>
                </w:p>
              </w:tc>
              <w:tc>
                <w:tcPr>
                  <w:tcW w:w="2244" w:type="pct"/>
                  <w:tcBorders>
                    <w:tl2br w:val="nil"/>
                    <w:tr2bl w:val="nil"/>
                  </w:tcBorders>
                  <w:vAlign w:val="center"/>
                </w:tcPr>
                <w:p w14:paraId="0AAC7B32">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化粪池</w:t>
                  </w:r>
                </w:p>
              </w:tc>
              <w:tc>
                <w:tcPr>
                  <w:tcW w:w="600" w:type="pct"/>
                  <w:tcBorders>
                    <w:tl2br w:val="nil"/>
                    <w:tr2bl w:val="nil"/>
                  </w:tcBorders>
                  <w:vAlign w:val="center"/>
                </w:tcPr>
                <w:p w14:paraId="6BC7414D">
                  <w:pPr>
                    <w:pStyle w:val="65"/>
                    <w:keepNext w:val="0"/>
                    <w:keepLines w:val="0"/>
                    <w:widowControl/>
                    <w:suppressLineNumbers w:val="0"/>
                    <w:spacing w:before="0" w:beforeAutospacing="0" w:after="0" w:afterAutospacing="0"/>
                    <w:ind w:left="0" w:right="0"/>
                    <w:rPr>
                      <w:rFonts w:hint="default"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2个</w:t>
                  </w:r>
                </w:p>
              </w:tc>
              <w:tc>
                <w:tcPr>
                  <w:tcW w:w="481" w:type="pct"/>
                  <w:tcBorders>
                    <w:tl2br w:val="nil"/>
                    <w:tr2bl w:val="nil"/>
                  </w:tcBorders>
                  <w:vAlign w:val="center"/>
                </w:tcPr>
                <w:p w14:paraId="45339887">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依托原有</w:t>
                  </w:r>
                </w:p>
              </w:tc>
            </w:tr>
            <w:tr w14:paraId="55A9D7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pct"/>
                  <w:vMerge w:val="continue"/>
                  <w:tcBorders>
                    <w:tl2br w:val="nil"/>
                    <w:tr2bl w:val="nil"/>
                  </w:tcBorders>
                  <w:vAlign w:val="center"/>
                </w:tcPr>
                <w:p w14:paraId="1F11E2A6">
                  <w:pPr>
                    <w:pStyle w:val="65"/>
                    <w:keepNext w:val="0"/>
                    <w:keepLines w:val="0"/>
                    <w:widowControl/>
                    <w:suppressLineNumbers w:val="0"/>
                    <w:spacing w:before="0" w:beforeAutospacing="0" w:after="0" w:afterAutospacing="0"/>
                    <w:ind w:left="0" w:right="0"/>
                    <w:rPr>
                      <w:rFonts w:hint="eastAsia"/>
                      <w:color w:val="000000" w:themeColor="text1"/>
                      <w:szCs w:val="20"/>
                      <w:highlight w:val="none"/>
                      <w:lang w:val="en-US" w:eastAsia="zh-CN"/>
                      <w14:textFill>
                        <w14:solidFill>
                          <w14:schemeClr w14:val="tx1"/>
                        </w14:solidFill>
                      </w14:textFill>
                    </w:rPr>
                  </w:pPr>
                </w:p>
              </w:tc>
              <w:tc>
                <w:tcPr>
                  <w:tcW w:w="1184" w:type="pct"/>
                  <w:vMerge w:val="continue"/>
                  <w:tcBorders>
                    <w:tl2br w:val="nil"/>
                    <w:tr2bl w:val="nil"/>
                  </w:tcBorders>
                  <w:vAlign w:val="center"/>
                </w:tcPr>
                <w:p w14:paraId="6D3FE7FE">
                  <w:pPr>
                    <w:pStyle w:val="65"/>
                    <w:keepNext w:val="0"/>
                    <w:keepLines w:val="0"/>
                    <w:widowControl/>
                    <w:suppressLineNumbers w:val="0"/>
                    <w:spacing w:before="0" w:beforeAutospacing="0" w:after="0" w:afterAutospacing="0"/>
                    <w:ind w:left="0" w:right="0"/>
                    <w:rPr>
                      <w:rFonts w:hint="eastAsia"/>
                      <w:color w:val="000000" w:themeColor="text1"/>
                      <w:szCs w:val="20"/>
                      <w:highlight w:val="none"/>
                      <w:lang w:val="en-US" w:eastAsia="zh-CN"/>
                      <w14:textFill>
                        <w14:solidFill>
                          <w14:schemeClr w14:val="tx1"/>
                        </w14:solidFill>
                      </w14:textFill>
                    </w:rPr>
                  </w:pPr>
                </w:p>
              </w:tc>
              <w:tc>
                <w:tcPr>
                  <w:tcW w:w="2244" w:type="pct"/>
                  <w:tcBorders>
                    <w:tl2br w:val="nil"/>
                    <w:tr2bl w:val="nil"/>
                  </w:tcBorders>
                  <w:vAlign w:val="center"/>
                </w:tcPr>
                <w:p w14:paraId="4DAA8EF3">
                  <w:pPr>
                    <w:pStyle w:val="65"/>
                    <w:keepNext w:val="0"/>
                    <w:keepLines w:val="0"/>
                    <w:widowControl/>
                    <w:suppressLineNumbers w:val="0"/>
                    <w:spacing w:before="0" w:beforeAutospacing="0" w:after="0" w:afterAutospacing="0"/>
                    <w:ind w:left="0" w:right="0"/>
                    <w:rPr>
                      <w:rFonts w:hint="default"/>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油水分离器</w:t>
                  </w:r>
                </w:p>
              </w:tc>
              <w:tc>
                <w:tcPr>
                  <w:tcW w:w="600" w:type="pct"/>
                  <w:tcBorders>
                    <w:tl2br w:val="nil"/>
                    <w:tr2bl w:val="nil"/>
                  </w:tcBorders>
                  <w:vAlign w:val="center"/>
                </w:tcPr>
                <w:p w14:paraId="7482F71D">
                  <w:pPr>
                    <w:pStyle w:val="65"/>
                    <w:keepNext w:val="0"/>
                    <w:keepLines w:val="0"/>
                    <w:widowControl/>
                    <w:suppressLineNumbers w:val="0"/>
                    <w:spacing w:before="0" w:beforeAutospacing="0" w:after="0" w:afterAutospacing="0"/>
                    <w:ind w:left="0" w:right="0"/>
                    <w:rPr>
                      <w:rFonts w:hint="default"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1个</w:t>
                  </w:r>
                </w:p>
              </w:tc>
              <w:tc>
                <w:tcPr>
                  <w:tcW w:w="481" w:type="pct"/>
                  <w:tcBorders>
                    <w:tl2br w:val="nil"/>
                    <w:tr2bl w:val="nil"/>
                  </w:tcBorders>
                  <w:vAlign w:val="center"/>
                </w:tcPr>
                <w:p w14:paraId="5E746AED">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依托原有</w:t>
                  </w:r>
                </w:p>
              </w:tc>
            </w:tr>
            <w:tr w14:paraId="4415B3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pct"/>
                  <w:vMerge w:val="continue"/>
                  <w:tcBorders>
                    <w:tl2br w:val="nil"/>
                    <w:tr2bl w:val="nil"/>
                  </w:tcBorders>
                  <w:vAlign w:val="center"/>
                </w:tcPr>
                <w:p w14:paraId="5CEDE30B">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p>
              </w:tc>
              <w:tc>
                <w:tcPr>
                  <w:tcW w:w="1184" w:type="pct"/>
                  <w:tcBorders>
                    <w:tl2br w:val="nil"/>
                    <w:tr2bl w:val="nil"/>
                  </w:tcBorders>
                  <w:vAlign w:val="center"/>
                </w:tcPr>
                <w:p w14:paraId="314B6EFC">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生产废水</w:t>
                  </w:r>
                </w:p>
              </w:tc>
              <w:tc>
                <w:tcPr>
                  <w:tcW w:w="2244" w:type="pct"/>
                  <w:tcBorders>
                    <w:tl2br w:val="nil"/>
                    <w:tr2bl w:val="nil"/>
                  </w:tcBorders>
                  <w:vAlign w:val="center"/>
                </w:tcPr>
                <w:p w14:paraId="4AC4AFC5">
                  <w:pPr>
                    <w:pStyle w:val="65"/>
                    <w:keepNext w:val="0"/>
                    <w:keepLines w:val="0"/>
                    <w:widowControl/>
                    <w:suppressLineNumbers w:val="0"/>
                    <w:spacing w:before="0" w:beforeAutospacing="0" w:after="0" w:afterAutospacing="0"/>
                    <w:ind w:left="0" w:right="0"/>
                    <w:rPr>
                      <w:rFonts w:hint="default"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污水处理一体机</w:t>
                  </w:r>
                </w:p>
              </w:tc>
              <w:tc>
                <w:tcPr>
                  <w:tcW w:w="600" w:type="pct"/>
                  <w:tcBorders>
                    <w:tl2br w:val="nil"/>
                    <w:tr2bl w:val="nil"/>
                  </w:tcBorders>
                  <w:vAlign w:val="center"/>
                </w:tcPr>
                <w:p w14:paraId="5E2FB13E">
                  <w:pPr>
                    <w:pStyle w:val="65"/>
                    <w:keepNext w:val="0"/>
                    <w:keepLines w:val="0"/>
                    <w:widowControl/>
                    <w:suppressLineNumbers w:val="0"/>
                    <w:spacing w:before="0" w:beforeAutospacing="0" w:after="0" w:afterAutospacing="0"/>
                    <w:ind w:left="0" w:right="0"/>
                    <w:rPr>
                      <w:rFonts w:hint="default"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1套</w:t>
                  </w:r>
                </w:p>
              </w:tc>
              <w:tc>
                <w:tcPr>
                  <w:tcW w:w="481" w:type="pct"/>
                  <w:tcBorders>
                    <w:tl2br w:val="nil"/>
                    <w:tr2bl w:val="nil"/>
                  </w:tcBorders>
                  <w:vAlign w:val="center"/>
                </w:tcPr>
                <w:p w14:paraId="1247FBB8">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依托原有</w:t>
                  </w:r>
                </w:p>
              </w:tc>
            </w:tr>
            <w:tr w14:paraId="4D09F6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pct"/>
                  <w:tcBorders>
                    <w:tl2br w:val="nil"/>
                    <w:tr2bl w:val="nil"/>
                  </w:tcBorders>
                  <w:vAlign w:val="center"/>
                </w:tcPr>
                <w:p w14:paraId="734A0268">
                  <w:pPr>
                    <w:pStyle w:val="65"/>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bidi="ar-SA"/>
                      <w14:textFill>
                        <w14:solidFill>
                          <w14:schemeClr w14:val="tx1"/>
                        </w14:solidFill>
                      </w14:textFill>
                    </w:rPr>
                  </w:pPr>
                  <w:r>
                    <w:rPr>
                      <w:rFonts w:hint="eastAsia"/>
                      <w:color w:val="000000" w:themeColor="text1"/>
                      <w:szCs w:val="20"/>
                      <w:highlight w:val="none"/>
                      <w14:textFill>
                        <w14:solidFill>
                          <w14:schemeClr w14:val="tx1"/>
                        </w14:solidFill>
                      </w14:textFill>
                    </w:rPr>
                    <w:t>噪声</w:t>
                  </w:r>
                </w:p>
              </w:tc>
              <w:tc>
                <w:tcPr>
                  <w:tcW w:w="1184" w:type="pct"/>
                  <w:tcBorders>
                    <w:tl2br w:val="nil"/>
                    <w:tr2bl w:val="nil"/>
                  </w:tcBorders>
                  <w:vAlign w:val="center"/>
                </w:tcPr>
                <w:p w14:paraId="17719A02">
                  <w:pPr>
                    <w:pStyle w:val="65"/>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bidi="ar-SA"/>
                      <w14:textFill>
                        <w14:solidFill>
                          <w14:schemeClr w14:val="tx1"/>
                        </w14:solidFill>
                      </w14:textFill>
                    </w:rPr>
                  </w:pPr>
                  <w:r>
                    <w:rPr>
                      <w:rFonts w:hint="eastAsia"/>
                      <w:color w:val="000000" w:themeColor="text1"/>
                      <w:szCs w:val="20"/>
                      <w:highlight w:val="none"/>
                      <w14:textFill>
                        <w14:solidFill>
                          <w14:schemeClr w14:val="tx1"/>
                        </w14:solidFill>
                      </w14:textFill>
                    </w:rPr>
                    <w:t>生产设备</w:t>
                  </w:r>
                </w:p>
              </w:tc>
              <w:tc>
                <w:tcPr>
                  <w:tcW w:w="2244" w:type="pct"/>
                  <w:tcBorders>
                    <w:tl2br w:val="nil"/>
                    <w:tr2bl w:val="nil"/>
                  </w:tcBorders>
                  <w:vAlign w:val="center"/>
                </w:tcPr>
                <w:p w14:paraId="6B399BFA">
                  <w:pPr>
                    <w:pStyle w:val="65"/>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bidi="ar-SA"/>
                      <w14:textFill>
                        <w14:solidFill>
                          <w14:schemeClr w14:val="tx1"/>
                        </w14:solidFill>
                      </w14:textFill>
                    </w:rPr>
                  </w:pPr>
                  <w:r>
                    <w:rPr>
                      <w:rFonts w:hint="eastAsia"/>
                      <w:color w:val="000000" w:themeColor="text1"/>
                      <w:szCs w:val="20"/>
                      <w:highlight w:val="none"/>
                      <w14:textFill>
                        <w14:solidFill>
                          <w14:schemeClr w14:val="tx1"/>
                        </w14:solidFill>
                      </w14:textFill>
                    </w:rPr>
                    <w:t>厂房隔声、基础减振、隔声屏障</w:t>
                  </w:r>
                </w:p>
              </w:tc>
              <w:tc>
                <w:tcPr>
                  <w:tcW w:w="600" w:type="pct"/>
                  <w:tcBorders>
                    <w:tl2br w:val="nil"/>
                    <w:tr2bl w:val="nil"/>
                  </w:tcBorders>
                  <w:vAlign w:val="center"/>
                </w:tcPr>
                <w:p w14:paraId="46D32253">
                  <w:pPr>
                    <w:pStyle w:val="65"/>
                    <w:keepNext w:val="0"/>
                    <w:keepLines w:val="0"/>
                    <w:widowControl/>
                    <w:suppressLineNumbers w:val="0"/>
                    <w:spacing w:before="0" w:beforeAutospacing="0" w:after="0" w:afterAutospacing="0"/>
                    <w:ind w:left="0" w:leftChars="0" w:right="0" w:rightChars="0"/>
                    <w:rPr>
                      <w:rFonts w:hint="default" w:ascii="Times New Roman" w:hAnsi="Times New Roman" w:eastAsia="宋体" w:cs="Times New Roman"/>
                      <w:color w:val="000000" w:themeColor="text1"/>
                      <w:sz w:val="21"/>
                      <w:szCs w:val="20"/>
                      <w:highlight w:val="none"/>
                      <w:lang w:val="en-US" w:eastAsia="zh-CN" w:bidi="ar-SA"/>
                      <w14:textFill>
                        <w14:solidFill>
                          <w14:schemeClr w14:val="tx1"/>
                        </w14:solidFill>
                      </w14:textFill>
                    </w:rPr>
                  </w:pPr>
                  <w:r>
                    <w:rPr>
                      <w:rFonts w:hint="default"/>
                      <w:color w:val="000000" w:themeColor="text1"/>
                      <w:szCs w:val="20"/>
                      <w:highlight w:val="none"/>
                      <w14:textFill>
                        <w14:solidFill>
                          <w14:schemeClr w14:val="tx1"/>
                        </w14:solidFill>
                      </w14:textFill>
                    </w:rPr>
                    <w:t>配套</w:t>
                  </w:r>
                </w:p>
              </w:tc>
              <w:tc>
                <w:tcPr>
                  <w:tcW w:w="481" w:type="pct"/>
                  <w:tcBorders>
                    <w:tl2br w:val="nil"/>
                    <w:tr2bl w:val="nil"/>
                  </w:tcBorders>
                  <w:vAlign w:val="center"/>
                </w:tcPr>
                <w:p w14:paraId="461FE59C">
                  <w:pPr>
                    <w:pStyle w:val="65"/>
                    <w:keepNext w:val="0"/>
                    <w:keepLines w:val="0"/>
                    <w:widowControl/>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sz w:val="21"/>
                      <w:szCs w:val="20"/>
                      <w:highlight w:val="none"/>
                      <w:lang w:val="en-US" w:eastAsia="zh-CN" w:bidi="ar-SA"/>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2</w:t>
                  </w:r>
                </w:p>
              </w:tc>
            </w:tr>
            <w:tr w14:paraId="69D49C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pct"/>
                  <w:vMerge w:val="restart"/>
                  <w:tcBorders>
                    <w:tl2br w:val="nil"/>
                    <w:tr2bl w:val="nil"/>
                  </w:tcBorders>
                  <w:vAlign w:val="center"/>
                </w:tcPr>
                <w:p w14:paraId="1AE3B20A">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固废</w:t>
                  </w:r>
                </w:p>
              </w:tc>
              <w:tc>
                <w:tcPr>
                  <w:tcW w:w="1184" w:type="pct"/>
                  <w:vMerge w:val="restart"/>
                  <w:tcBorders>
                    <w:tl2br w:val="nil"/>
                    <w:tr2bl w:val="nil"/>
                  </w:tcBorders>
                  <w:vAlign w:val="center"/>
                </w:tcPr>
                <w:p w14:paraId="53E76F37">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危险废物</w:t>
                  </w:r>
                </w:p>
              </w:tc>
              <w:tc>
                <w:tcPr>
                  <w:tcW w:w="2244" w:type="pct"/>
                  <w:tcBorders>
                    <w:tl2br w:val="nil"/>
                    <w:tr2bl w:val="nil"/>
                  </w:tcBorders>
                  <w:vAlign w:val="center"/>
                </w:tcPr>
                <w:p w14:paraId="1F3C77A5">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lang w:eastAsia="zh-CN"/>
                      <w14:textFill>
                        <w14:solidFill>
                          <w14:schemeClr w14:val="tx1"/>
                        </w14:solidFill>
                      </w14:textFill>
                    </w:rPr>
                    <w:t>危废贮存库</w:t>
                  </w:r>
                </w:p>
              </w:tc>
              <w:tc>
                <w:tcPr>
                  <w:tcW w:w="600" w:type="pct"/>
                  <w:tcBorders>
                    <w:tl2br w:val="nil"/>
                    <w:tr2bl w:val="nil"/>
                  </w:tcBorders>
                  <w:vAlign w:val="center"/>
                </w:tcPr>
                <w:p w14:paraId="333DB26A">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w:t>
                  </w:r>
                </w:p>
              </w:tc>
              <w:tc>
                <w:tcPr>
                  <w:tcW w:w="481" w:type="pct"/>
                  <w:vMerge w:val="restart"/>
                  <w:tcBorders>
                    <w:tl2br w:val="nil"/>
                    <w:tr2bl w:val="nil"/>
                  </w:tcBorders>
                  <w:vAlign w:val="center"/>
                </w:tcPr>
                <w:p w14:paraId="236DC384">
                  <w:pPr>
                    <w:pStyle w:val="65"/>
                    <w:keepNext w:val="0"/>
                    <w:keepLines w:val="0"/>
                    <w:widowControl/>
                    <w:suppressLineNumbers w:val="0"/>
                    <w:spacing w:before="0" w:beforeAutospacing="0" w:after="0" w:afterAutospacing="0"/>
                    <w:ind w:left="0" w:right="0"/>
                    <w:rPr>
                      <w:rFonts w:hint="default" w:eastAsia="宋体"/>
                      <w:color w:val="000000" w:themeColor="text1"/>
                      <w:szCs w:val="20"/>
                      <w:highlight w:val="none"/>
                      <w:lang w:val="en-US" w:eastAsia="zh-CN"/>
                      <w14:textFill>
                        <w14:solidFill>
                          <w14:schemeClr w14:val="tx1"/>
                        </w14:solidFill>
                      </w14:textFill>
                    </w:rPr>
                  </w:pPr>
                  <w:r>
                    <w:rPr>
                      <w:rFonts w:hint="eastAsia" w:eastAsia="宋体"/>
                      <w:color w:val="000000" w:themeColor="text1"/>
                      <w:szCs w:val="20"/>
                      <w:highlight w:val="none"/>
                      <w:lang w:val="en-US" w:eastAsia="zh-CN"/>
                      <w14:textFill>
                        <w14:solidFill>
                          <w14:schemeClr w14:val="tx1"/>
                        </w14:solidFill>
                      </w14:textFill>
                    </w:rPr>
                    <w:t>依托原有</w:t>
                  </w:r>
                </w:p>
              </w:tc>
            </w:tr>
            <w:tr w14:paraId="68B173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9" w:type="pct"/>
                  <w:vMerge w:val="continue"/>
                  <w:tcBorders>
                    <w:tl2br w:val="nil"/>
                    <w:tr2bl w:val="nil"/>
                  </w:tcBorders>
                  <w:vAlign w:val="center"/>
                </w:tcPr>
                <w:p w14:paraId="457C1730">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p>
              </w:tc>
              <w:tc>
                <w:tcPr>
                  <w:tcW w:w="1184" w:type="pct"/>
                  <w:vMerge w:val="continue"/>
                  <w:tcBorders>
                    <w:tl2br w:val="nil"/>
                    <w:tr2bl w:val="nil"/>
                  </w:tcBorders>
                  <w:vAlign w:val="center"/>
                </w:tcPr>
                <w:p w14:paraId="6484F1E1">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p>
              </w:tc>
              <w:tc>
                <w:tcPr>
                  <w:tcW w:w="2244" w:type="pct"/>
                  <w:tcBorders>
                    <w:tl2br w:val="nil"/>
                    <w:tr2bl w:val="nil"/>
                  </w:tcBorders>
                  <w:vAlign w:val="center"/>
                </w:tcPr>
                <w:p w14:paraId="2EF80B92">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危废收集桶</w:t>
                  </w:r>
                </w:p>
              </w:tc>
              <w:tc>
                <w:tcPr>
                  <w:tcW w:w="600" w:type="pct"/>
                  <w:tcBorders>
                    <w:tl2br w:val="nil"/>
                    <w:tr2bl w:val="nil"/>
                  </w:tcBorders>
                  <w:vAlign w:val="center"/>
                </w:tcPr>
                <w:p w14:paraId="509D1A95">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w:t>
                  </w:r>
                </w:p>
              </w:tc>
              <w:tc>
                <w:tcPr>
                  <w:tcW w:w="481" w:type="pct"/>
                  <w:vMerge w:val="continue"/>
                  <w:tcBorders>
                    <w:tl2br w:val="nil"/>
                    <w:tr2bl w:val="nil"/>
                  </w:tcBorders>
                  <w:vAlign w:val="center"/>
                </w:tcPr>
                <w:p w14:paraId="7A27B3C0">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p>
              </w:tc>
            </w:tr>
            <w:tr w14:paraId="078440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3" w:type="pct"/>
                  <w:gridSpan w:val="2"/>
                  <w:tcBorders>
                    <w:tl2br w:val="nil"/>
                    <w:tr2bl w:val="nil"/>
                  </w:tcBorders>
                  <w:vAlign w:val="center"/>
                </w:tcPr>
                <w:p w14:paraId="7D0A8C51">
                  <w:pPr>
                    <w:keepNext/>
                    <w:keepLines w:val="0"/>
                    <w:suppressLineNumbers w:val="0"/>
                    <w:overflowPunct w:val="0"/>
                    <w:spacing w:before="0" w:beforeAutospacing="0" w:after="0" w:afterAutospacing="0" w:line="240" w:lineRule="auto"/>
                    <w:ind w:left="0" w:right="0" w:firstLine="0" w:firstLineChars="0"/>
                    <w:jc w:val="center"/>
                    <w:rPr>
                      <w:rFonts w:hint="default"/>
                      <w:color w:val="000000" w:themeColor="text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运行维护费用</w:t>
                  </w:r>
                </w:p>
              </w:tc>
              <w:tc>
                <w:tcPr>
                  <w:tcW w:w="2244" w:type="pct"/>
                  <w:tcBorders>
                    <w:tl2br w:val="nil"/>
                    <w:tr2bl w:val="nil"/>
                  </w:tcBorders>
                  <w:vAlign w:val="center"/>
                </w:tcPr>
                <w:p w14:paraId="0BC49A8F">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w:t>
                  </w:r>
                </w:p>
              </w:tc>
              <w:tc>
                <w:tcPr>
                  <w:tcW w:w="600" w:type="pct"/>
                  <w:tcBorders>
                    <w:tl2br w:val="nil"/>
                    <w:tr2bl w:val="nil"/>
                  </w:tcBorders>
                  <w:vAlign w:val="center"/>
                </w:tcPr>
                <w:p w14:paraId="103920D2">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w:t>
                  </w:r>
                </w:p>
              </w:tc>
              <w:tc>
                <w:tcPr>
                  <w:tcW w:w="481" w:type="pct"/>
                  <w:tcBorders>
                    <w:tl2br w:val="nil"/>
                    <w:tr2bl w:val="nil"/>
                  </w:tcBorders>
                  <w:vAlign w:val="center"/>
                </w:tcPr>
                <w:p w14:paraId="16DF9D08">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3</w:t>
                  </w:r>
                </w:p>
              </w:tc>
            </w:tr>
            <w:tr w14:paraId="1D73B3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73" w:type="pct"/>
                  <w:gridSpan w:val="2"/>
                  <w:tcBorders>
                    <w:tl2br w:val="nil"/>
                    <w:tr2bl w:val="nil"/>
                  </w:tcBorders>
                  <w:vAlign w:val="center"/>
                </w:tcPr>
                <w:p w14:paraId="25633437">
                  <w:pPr>
                    <w:keepNext/>
                    <w:keepLines w:val="0"/>
                    <w:suppressLineNumbers w:val="0"/>
                    <w:overflowPunct w:val="0"/>
                    <w:spacing w:before="0" w:beforeAutospacing="0" w:after="0" w:afterAutospacing="0" w:line="240" w:lineRule="auto"/>
                    <w:ind w:left="0" w:right="0" w:firstLine="0" w:firstLineChars="0"/>
                    <w:jc w:val="center"/>
                    <w:rPr>
                      <w:rFonts w:hint="default"/>
                      <w:color w:val="000000" w:themeColor="text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环境管理与监测费用</w:t>
                  </w:r>
                </w:p>
              </w:tc>
              <w:tc>
                <w:tcPr>
                  <w:tcW w:w="2244" w:type="pct"/>
                  <w:tcBorders>
                    <w:tl2br w:val="nil"/>
                    <w:tr2bl w:val="nil"/>
                  </w:tcBorders>
                  <w:vAlign w:val="center"/>
                </w:tcPr>
                <w:p w14:paraId="6CDA6BB3">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w:t>
                  </w:r>
                </w:p>
              </w:tc>
              <w:tc>
                <w:tcPr>
                  <w:tcW w:w="600" w:type="pct"/>
                  <w:tcBorders>
                    <w:tl2br w:val="nil"/>
                    <w:tr2bl w:val="nil"/>
                  </w:tcBorders>
                  <w:vAlign w:val="center"/>
                </w:tcPr>
                <w:p w14:paraId="434C9A34">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w:t>
                  </w:r>
                </w:p>
              </w:tc>
              <w:tc>
                <w:tcPr>
                  <w:tcW w:w="481" w:type="pct"/>
                  <w:tcBorders>
                    <w:tl2br w:val="nil"/>
                    <w:tr2bl w:val="nil"/>
                  </w:tcBorders>
                  <w:vAlign w:val="center"/>
                </w:tcPr>
                <w:p w14:paraId="21AEA2B5">
                  <w:pPr>
                    <w:pStyle w:val="65"/>
                    <w:keepNext w:val="0"/>
                    <w:keepLines w:val="0"/>
                    <w:widowControl/>
                    <w:suppressLineNumbers w:val="0"/>
                    <w:spacing w:before="0" w:beforeAutospacing="0" w:after="0" w:afterAutospacing="0"/>
                    <w:ind w:left="0" w:right="0"/>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6</w:t>
                  </w:r>
                </w:p>
              </w:tc>
            </w:tr>
            <w:tr w14:paraId="064E7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18" w:type="pct"/>
                  <w:gridSpan w:val="4"/>
                  <w:tcBorders>
                    <w:tl2br w:val="nil"/>
                    <w:tr2bl w:val="nil"/>
                  </w:tcBorders>
                  <w:vAlign w:val="center"/>
                </w:tcPr>
                <w:p w14:paraId="5A5A4DB7">
                  <w:pPr>
                    <w:pStyle w:val="65"/>
                    <w:keepNext w:val="0"/>
                    <w:keepLines w:val="0"/>
                    <w:widowControl/>
                    <w:suppressLineNumbers w:val="0"/>
                    <w:spacing w:before="0" w:beforeAutospacing="0" w:after="0" w:afterAutospacing="0"/>
                    <w:ind w:left="0" w:right="0"/>
                    <w:rPr>
                      <w:rFonts w:hint="default"/>
                      <w:color w:val="000000" w:themeColor="text1"/>
                      <w:szCs w:val="20"/>
                      <w:highlight w:val="none"/>
                      <w14:textFill>
                        <w14:solidFill>
                          <w14:schemeClr w14:val="tx1"/>
                        </w14:solidFill>
                      </w14:textFill>
                    </w:rPr>
                  </w:pPr>
                  <w:r>
                    <w:rPr>
                      <w:rFonts w:hint="default"/>
                      <w:color w:val="000000" w:themeColor="text1"/>
                      <w:szCs w:val="20"/>
                      <w:highlight w:val="none"/>
                      <w14:textFill>
                        <w14:solidFill>
                          <w14:schemeClr w14:val="tx1"/>
                        </w14:solidFill>
                      </w14:textFill>
                    </w:rPr>
                    <w:t>合计</w:t>
                  </w:r>
                </w:p>
              </w:tc>
              <w:tc>
                <w:tcPr>
                  <w:tcW w:w="481" w:type="pct"/>
                  <w:tcBorders>
                    <w:tl2br w:val="nil"/>
                    <w:tr2bl w:val="nil"/>
                  </w:tcBorders>
                  <w:vAlign w:val="center"/>
                </w:tcPr>
                <w:p w14:paraId="7D0DEDEC">
                  <w:pPr>
                    <w:pStyle w:val="65"/>
                    <w:keepNext w:val="0"/>
                    <w:keepLines w:val="0"/>
                    <w:widowControl/>
                    <w:suppressLineNumbers w:val="0"/>
                    <w:spacing w:before="0" w:beforeAutospacing="0" w:after="0" w:afterAutospacing="0"/>
                    <w:ind w:left="0" w:right="0"/>
                    <w:rPr>
                      <w:rFonts w:hint="default" w:eastAsia="宋体"/>
                      <w:color w:val="000000" w:themeColor="text1"/>
                      <w:szCs w:val="20"/>
                      <w:highlight w:val="none"/>
                      <w:lang w:val="en-US" w:eastAsia="zh-CN"/>
                      <w14:textFill>
                        <w14:solidFill>
                          <w14:schemeClr w14:val="tx1"/>
                        </w14:solidFill>
                      </w14:textFill>
                    </w:rPr>
                  </w:pPr>
                  <w:r>
                    <w:rPr>
                      <w:rFonts w:hint="eastAsia"/>
                      <w:color w:val="000000" w:themeColor="text1"/>
                      <w:szCs w:val="20"/>
                      <w:highlight w:val="none"/>
                      <w:lang w:val="en-US" w:eastAsia="zh-CN"/>
                      <w14:textFill>
                        <w14:solidFill>
                          <w14:schemeClr w14:val="tx1"/>
                        </w14:solidFill>
                      </w14:textFill>
                    </w:rPr>
                    <w:t>26</w:t>
                  </w:r>
                </w:p>
              </w:tc>
            </w:tr>
          </w:tbl>
          <w:p w14:paraId="08BB8958">
            <w:pPr>
              <w:keepNext w:val="0"/>
              <w:keepLines w:val="0"/>
              <w:widowControl/>
              <w:suppressLineNumbers w:val="0"/>
              <w:spacing w:before="0" w:beforeAutospacing="0" w:after="0" w:afterAutospacing="0"/>
              <w:ind w:left="0" w:right="0" w:firstLine="420" w:firstLineChars="200"/>
              <w:jc w:val="left"/>
              <w:rPr>
                <w:rFonts w:hint="default" w:ascii="Times New Roman" w:hAnsi="Times New Roman" w:cs="Times New Roman"/>
                <w:color w:val="auto"/>
                <w:szCs w:val="21"/>
                <w:lang w:bidi="ar"/>
              </w:rPr>
            </w:pPr>
          </w:p>
        </w:tc>
      </w:tr>
    </w:tbl>
    <w:p w14:paraId="2F8B2AB5">
      <w:pPr>
        <w:pStyle w:val="23"/>
        <w:jc w:val="center"/>
        <w:outlineLvl w:val="0"/>
        <w:rPr>
          <w:rFonts w:ascii="黑体" w:hAnsi="黑体" w:eastAsia="黑体"/>
          <w:snapToGrid w:val="0"/>
          <w:color w:val="auto"/>
          <w:sz w:val="30"/>
          <w:szCs w:val="30"/>
        </w:rPr>
      </w:pPr>
      <w:r>
        <w:rPr>
          <w:snapToGrid w:val="0"/>
          <w:color w:val="auto"/>
        </w:rPr>
        <w:br w:type="page"/>
      </w:r>
      <w:r>
        <w:rPr>
          <w:rFonts w:hint="eastAsia" w:ascii="黑体" w:hAnsi="黑体" w:eastAsia="黑体"/>
          <w:snapToGrid w:val="0"/>
          <w:color w:val="auto"/>
          <w:sz w:val="30"/>
          <w:szCs w:val="30"/>
        </w:rPr>
        <w:t>六、结论</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D4D4C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top"/>
          </w:tcPr>
          <w:p w14:paraId="20BCC2E9">
            <w:pPr>
              <w:keepNext w:val="0"/>
              <w:keepLines w:val="0"/>
              <w:suppressLineNumbers w:val="0"/>
              <w:spacing w:before="0" w:beforeAutospacing="0" w:after="0" w:afterAutospacing="0" w:line="360" w:lineRule="auto"/>
              <w:ind w:left="0" w:right="0" w:firstLine="480" w:firstLineChars="200"/>
              <w:rPr>
                <w:rFonts w:hint="default" w:ascii="宋体" w:hAnsi="Times New Roman" w:cs="宋体"/>
                <w:color w:val="auto"/>
                <w:sz w:val="24"/>
              </w:rPr>
            </w:pPr>
            <w:r>
              <w:rPr>
                <w:rFonts w:hint="eastAsia" w:ascii="Times New Roman" w:hAnsi="Times New Roman" w:cs="Times New Roman"/>
                <w:color w:val="auto"/>
                <w:kern w:val="0"/>
                <w:sz w:val="24"/>
                <w:lang w:bidi="ar"/>
              </w:rPr>
              <w:t>本项目符合国家产业政策，选址合理。在全面落实环评提出的各项环保措施的情况下，各项污染物均能达标排放，固体废物均能够合理处置，对周围环境影响较小。从环境保护角度分析，该项目建设环境影响可行。</w:t>
            </w:r>
          </w:p>
        </w:tc>
      </w:tr>
    </w:tbl>
    <w:p w14:paraId="798650C7">
      <w:pPr>
        <w:rPr>
          <w:rFonts w:ascii="宋体"/>
          <w:color w:va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4FAD833">
      <w:pPr>
        <w:pStyle w:val="23"/>
        <w:adjustRightInd w:val="0"/>
        <w:snapToGrid w:val="0"/>
        <w:spacing w:before="0" w:beforeAutospacing="0" w:after="0" w:afterAutospacing="0"/>
        <w:outlineLvl w:val="0"/>
        <w:rPr>
          <w:rFonts w:ascii="黑体" w:hAnsi="黑体" w:eastAsia="黑体"/>
          <w:snapToGrid w:val="0"/>
          <w:color w:val="auto"/>
          <w:sz w:val="32"/>
          <w:szCs w:val="32"/>
        </w:rPr>
      </w:pPr>
      <w:r>
        <w:rPr>
          <w:rFonts w:hint="eastAsia" w:ascii="黑体" w:hAnsi="黑体" w:eastAsia="黑体"/>
          <w:snapToGrid w:val="0"/>
          <w:color w:val="auto"/>
          <w:sz w:val="32"/>
          <w:szCs w:val="32"/>
        </w:rPr>
        <w:t>附表</w:t>
      </w:r>
    </w:p>
    <w:p w14:paraId="72F16F7A">
      <w:pPr>
        <w:pStyle w:val="23"/>
        <w:adjustRightInd w:val="0"/>
        <w:snapToGrid w:val="0"/>
        <w:spacing w:before="0" w:beforeAutospacing="0" w:after="0" w:afterAutospacing="0"/>
        <w:jc w:val="center"/>
        <w:outlineLvl w:val="0"/>
        <w:rPr>
          <w:rFonts w:hint="eastAsia" w:ascii="方正小标宋_GBK" w:hAnsi="黑体" w:eastAsia="方正小标宋_GBK"/>
          <w:snapToGrid w:val="0"/>
          <w:color w:val="auto"/>
          <w:sz w:val="38"/>
          <w:szCs w:val="38"/>
        </w:rPr>
      </w:pPr>
      <w:r>
        <w:rPr>
          <w:rFonts w:hint="eastAsia" w:ascii="方正小标宋_GBK" w:hAnsi="黑体" w:eastAsia="方正小标宋_GBK"/>
          <w:snapToGrid w:val="0"/>
          <w:color w:val="auto"/>
          <w:sz w:val="38"/>
          <w:szCs w:val="38"/>
        </w:rPr>
        <w:t>建设项目污染物排放量汇总表</w:t>
      </w:r>
    </w:p>
    <w:tbl>
      <w:tblPr>
        <w:tblStyle w:val="26"/>
        <w:tblW w:w="503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09"/>
        <w:gridCol w:w="2236"/>
        <w:gridCol w:w="1359"/>
        <w:gridCol w:w="1272"/>
        <w:gridCol w:w="1701"/>
        <w:gridCol w:w="1557"/>
        <w:gridCol w:w="1527"/>
        <w:gridCol w:w="1470"/>
        <w:gridCol w:w="1342"/>
      </w:tblGrid>
      <w:tr w14:paraId="5561D1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408" w:type="pct"/>
            <w:tcBorders>
              <w:tl2br w:val="single" w:color="auto" w:sz="4" w:space="0"/>
            </w:tcBorders>
            <w:noWrap w:val="0"/>
            <w:tcMar>
              <w:left w:w="28" w:type="dxa"/>
              <w:right w:w="28" w:type="dxa"/>
            </w:tcMar>
            <w:vAlign w:val="center"/>
          </w:tcPr>
          <w:p w14:paraId="2B6F266B">
            <w:pPr>
              <w:pStyle w:val="53"/>
              <w:keepNext w:val="0"/>
              <w:keepLines w:val="0"/>
              <w:suppressLineNumbers w:val="0"/>
              <w:spacing w:before="0" w:beforeLines="0" w:beforeAutospacing="0" w:after="0" w:afterLines="0" w:afterAutospacing="0" w:line="240" w:lineRule="auto"/>
              <w:ind w:left="0" w:right="0"/>
              <w:jc w:val="right"/>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项目</w:t>
            </w:r>
          </w:p>
          <w:p w14:paraId="5048868A">
            <w:pPr>
              <w:pStyle w:val="53"/>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分类</w:t>
            </w:r>
          </w:p>
        </w:tc>
        <w:tc>
          <w:tcPr>
            <w:tcW w:w="823" w:type="pct"/>
            <w:noWrap w:val="0"/>
            <w:tcMar>
              <w:left w:w="28" w:type="dxa"/>
              <w:right w:w="28" w:type="dxa"/>
            </w:tcMar>
            <w:vAlign w:val="center"/>
          </w:tcPr>
          <w:p w14:paraId="6AB528E5">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污染物名称</w:t>
            </w:r>
          </w:p>
        </w:tc>
        <w:tc>
          <w:tcPr>
            <w:tcW w:w="500" w:type="pct"/>
            <w:noWrap w:val="0"/>
            <w:tcMar>
              <w:left w:w="28" w:type="dxa"/>
              <w:right w:w="28" w:type="dxa"/>
            </w:tcMar>
            <w:vAlign w:val="center"/>
          </w:tcPr>
          <w:p w14:paraId="081E9C01">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现有工程</w:t>
            </w:r>
          </w:p>
          <w:p w14:paraId="6D208550">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排放量（固体废物产生量）</w:t>
            </w:r>
            <w:r>
              <w:rPr>
                <w:rFonts w:hint="default" w:ascii="Times New Roman" w:hAnsi="Times New Roman" w:eastAsia="黑体" w:cs="Times New Roman"/>
                <w:b/>
                <w:bCs/>
                <w:snapToGrid w:val="0"/>
                <w:color w:val="auto"/>
                <w:spacing w:val="-6"/>
                <w:kern w:val="21"/>
                <w:szCs w:val="21"/>
              </w:rPr>
              <w:fldChar w:fldCharType="begin"/>
            </w:r>
            <w:r>
              <w:rPr>
                <w:rFonts w:hint="default" w:ascii="Times New Roman" w:hAnsi="Times New Roman" w:eastAsia="黑体" w:cs="Times New Roman"/>
                <w:b/>
                <w:bCs/>
                <w:snapToGrid w:val="0"/>
                <w:color w:val="auto"/>
                <w:spacing w:val="-6"/>
                <w:kern w:val="21"/>
                <w:szCs w:val="21"/>
              </w:rPr>
              <w:instrText xml:space="preserve"> = 1 \* GB3 \* MERGEFORMAT </w:instrText>
            </w:r>
            <w:r>
              <w:rPr>
                <w:rFonts w:hint="default" w:ascii="Times New Roman" w:hAnsi="Times New Roman" w:eastAsia="黑体" w:cs="Times New Roman"/>
                <w:b/>
                <w:bCs/>
                <w:snapToGrid w:val="0"/>
                <w:color w:val="auto"/>
                <w:spacing w:val="-6"/>
                <w:kern w:val="21"/>
                <w:szCs w:val="21"/>
              </w:rPr>
              <w:fldChar w:fldCharType="separate"/>
            </w:r>
            <w:r>
              <w:rPr>
                <w:rFonts w:hint="default" w:ascii="Times New Roman" w:hAnsi="Times New Roman" w:eastAsia="黑体" w:cs="Times New Roman"/>
                <w:b/>
                <w:bCs/>
                <w:color w:val="auto"/>
                <w:kern w:val="2"/>
                <w:szCs w:val="21"/>
              </w:rPr>
              <w:t>①</w:t>
            </w:r>
            <w:r>
              <w:rPr>
                <w:rFonts w:hint="default" w:ascii="Times New Roman" w:hAnsi="Times New Roman" w:eastAsia="黑体" w:cs="Times New Roman"/>
                <w:b/>
                <w:bCs/>
                <w:snapToGrid w:val="0"/>
                <w:color w:val="auto"/>
                <w:spacing w:val="-6"/>
                <w:kern w:val="21"/>
                <w:szCs w:val="21"/>
              </w:rPr>
              <w:fldChar w:fldCharType="end"/>
            </w:r>
          </w:p>
        </w:tc>
        <w:tc>
          <w:tcPr>
            <w:tcW w:w="468" w:type="pct"/>
            <w:noWrap w:val="0"/>
            <w:tcMar>
              <w:left w:w="28" w:type="dxa"/>
              <w:right w:w="28" w:type="dxa"/>
            </w:tcMar>
            <w:vAlign w:val="center"/>
          </w:tcPr>
          <w:p w14:paraId="6A839327">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现有工程</w:t>
            </w:r>
          </w:p>
          <w:p w14:paraId="25638940">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许可排放量</w:t>
            </w:r>
          </w:p>
          <w:p w14:paraId="5468447B">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fldChar w:fldCharType="begin"/>
            </w:r>
            <w:r>
              <w:rPr>
                <w:rFonts w:hint="default" w:ascii="Times New Roman" w:hAnsi="Times New Roman" w:eastAsia="黑体" w:cs="Times New Roman"/>
                <w:b/>
                <w:bCs/>
                <w:snapToGrid w:val="0"/>
                <w:color w:val="auto"/>
                <w:spacing w:val="-6"/>
                <w:kern w:val="21"/>
                <w:szCs w:val="21"/>
              </w:rPr>
              <w:instrText xml:space="preserve"> = 2 \* GB3 \* MERGEFORMAT </w:instrText>
            </w:r>
            <w:r>
              <w:rPr>
                <w:rFonts w:hint="default" w:ascii="Times New Roman" w:hAnsi="Times New Roman" w:eastAsia="黑体" w:cs="Times New Roman"/>
                <w:b/>
                <w:bCs/>
                <w:snapToGrid w:val="0"/>
                <w:color w:val="auto"/>
                <w:spacing w:val="-6"/>
                <w:kern w:val="21"/>
                <w:szCs w:val="21"/>
              </w:rPr>
              <w:fldChar w:fldCharType="separate"/>
            </w:r>
            <w:r>
              <w:rPr>
                <w:rFonts w:hint="default" w:ascii="Times New Roman" w:hAnsi="Times New Roman" w:eastAsia="黑体" w:cs="Times New Roman"/>
                <w:b/>
                <w:bCs/>
                <w:snapToGrid w:val="0"/>
                <w:color w:val="auto"/>
                <w:spacing w:val="-6"/>
                <w:kern w:val="21"/>
                <w:szCs w:val="21"/>
              </w:rPr>
              <w:t>②</w:t>
            </w:r>
            <w:r>
              <w:rPr>
                <w:rFonts w:hint="default" w:ascii="Times New Roman" w:hAnsi="Times New Roman" w:eastAsia="黑体" w:cs="Times New Roman"/>
                <w:b/>
                <w:bCs/>
                <w:snapToGrid w:val="0"/>
                <w:color w:val="auto"/>
                <w:spacing w:val="-6"/>
                <w:kern w:val="21"/>
                <w:szCs w:val="21"/>
              </w:rPr>
              <w:fldChar w:fldCharType="end"/>
            </w:r>
          </w:p>
        </w:tc>
        <w:tc>
          <w:tcPr>
            <w:tcW w:w="626" w:type="pct"/>
            <w:noWrap w:val="0"/>
            <w:tcMar>
              <w:left w:w="28" w:type="dxa"/>
              <w:right w:w="28" w:type="dxa"/>
            </w:tcMar>
            <w:vAlign w:val="center"/>
          </w:tcPr>
          <w:p w14:paraId="6B6B7BCC">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在建工程</w:t>
            </w:r>
          </w:p>
          <w:p w14:paraId="18C280A8">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排放量（固体废物产生量）</w:t>
            </w:r>
            <w:r>
              <w:rPr>
                <w:rFonts w:hint="default" w:ascii="Times New Roman" w:hAnsi="Times New Roman" w:eastAsia="黑体" w:cs="Times New Roman"/>
                <w:b/>
                <w:bCs/>
                <w:snapToGrid w:val="0"/>
                <w:color w:val="auto"/>
                <w:spacing w:val="-6"/>
                <w:kern w:val="21"/>
                <w:szCs w:val="21"/>
              </w:rPr>
              <w:fldChar w:fldCharType="begin"/>
            </w:r>
            <w:r>
              <w:rPr>
                <w:rFonts w:hint="default" w:ascii="Times New Roman" w:hAnsi="Times New Roman" w:eastAsia="黑体" w:cs="Times New Roman"/>
                <w:b/>
                <w:bCs/>
                <w:snapToGrid w:val="0"/>
                <w:color w:val="auto"/>
                <w:spacing w:val="-6"/>
                <w:kern w:val="21"/>
                <w:szCs w:val="21"/>
              </w:rPr>
              <w:instrText xml:space="preserve"> = 3 \* GB3 \* MERGEFORMAT </w:instrText>
            </w:r>
            <w:r>
              <w:rPr>
                <w:rFonts w:hint="default" w:ascii="Times New Roman" w:hAnsi="Times New Roman" w:eastAsia="黑体" w:cs="Times New Roman"/>
                <w:b/>
                <w:bCs/>
                <w:snapToGrid w:val="0"/>
                <w:color w:val="auto"/>
                <w:spacing w:val="-6"/>
                <w:kern w:val="21"/>
                <w:szCs w:val="21"/>
              </w:rPr>
              <w:fldChar w:fldCharType="separate"/>
            </w:r>
            <w:r>
              <w:rPr>
                <w:rFonts w:hint="default" w:ascii="Times New Roman" w:hAnsi="Times New Roman" w:eastAsia="黑体" w:cs="Times New Roman"/>
                <w:b/>
                <w:bCs/>
                <w:color w:val="auto"/>
                <w:kern w:val="2"/>
                <w:szCs w:val="21"/>
              </w:rPr>
              <w:t>③</w:t>
            </w:r>
            <w:r>
              <w:rPr>
                <w:rFonts w:hint="default" w:ascii="Times New Roman" w:hAnsi="Times New Roman" w:eastAsia="黑体" w:cs="Times New Roman"/>
                <w:b/>
                <w:bCs/>
                <w:snapToGrid w:val="0"/>
                <w:color w:val="auto"/>
                <w:spacing w:val="-6"/>
                <w:kern w:val="21"/>
                <w:szCs w:val="21"/>
              </w:rPr>
              <w:fldChar w:fldCharType="end"/>
            </w:r>
          </w:p>
        </w:tc>
        <w:tc>
          <w:tcPr>
            <w:tcW w:w="573" w:type="pct"/>
            <w:noWrap w:val="0"/>
            <w:tcMar>
              <w:left w:w="28" w:type="dxa"/>
              <w:right w:w="28" w:type="dxa"/>
            </w:tcMar>
            <w:vAlign w:val="center"/>
          </w:tcPr>
          <w:p w14:paraId="21FD41EB">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本项目</w:t>
            </w:r>
          </w:p>
          <w:p w14:paraId="667894AE">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排放量（固体废物产生量）</w:t>
            </w:r>
            <w:r>
              <w:rPr>
                <w:rFonts w:hint="default" w:ascii="Times New Roman" w:hAnsi="Times New Roman" w:eastAsia="黑体" w:cs="Times New Roman"/>
                <w:b/>
                <w:bCs/>
                <w:snapToGrid w:val="0"/>
                <w:color w:val="auto"/>
                <w:spacing w:val="-6"/>
                <w:kern w:val="21"/>
                <w:szCs w:val="21"/>
              </w:rPr>
              <w:fldChar w:fldCharType="begin"/>
            </w:r>
            <w:r>
              <w:rPr>
                <w:rFonts w:hint="default" w:ascii="Times New Roman" w:hAnsi="Times New Roman" w:eastAsia="黑体" w:cs="Times New Roman"/>
                <w:b/>
                <w:bCs/>
                <w:snapToGrid w:val="0"/>
                <w:color w:val="auto"/>
                <w:spacing w:val="-6"/>
                <w:kern w:val="21"/>
                <w:szCs w:val="21"/>
              </w:rPr>
              <w:instrText xml:space="preserve"> = 4 \* GB3 \* MERGEFORMAT </w:instrText>
            </w:r>
            <w:r>
              <w:rPr>
                <w:rFonts w:hint="default" w:ascii="Times New Roman" w:hAnsi="Times New Roman" w:eastAsia="黑体" w:cs="Times New Roman"/>
                <w:b/>
                <w:bCs/>
                <w:snapToGrid w:val="0"/>
                <w:color w:val="auto"/>
                <w:spacing w:val="-6"/>
                <w:kern w:val="21"/>
                <w:szCs w:val="21"/>
              </w:rPr>
              <w:fldChar w:fldCharType="separate"/>
            </w:r>
            <w:r>
              <w:rPr>
                <w:rFonts w:hint="default" w:ascii="Times New Roman" w:hAnsi="Times New Roman" w:eastAsia="黑体" w:cs="Times New Roman"/>
                <w:b/>
                <w:bCs/>
                <w:color w:val="auto"/>
                <w:kern w:val="2"/>
                <w:szCs w:val="21"/>
              </w:rPr>
              <w:t>④</w:t>
            </w:r>
            <w:r>
              <w:rPr>
                <w:rFonts w:hint="default" w:ascii="Times New Roman" w:hAnsi="Times New Roman" w:eastAsia="黑体" w:cs="Times New Roman"/>
                <w:b/>
                <w:bCs/>
                <w:snapToGrid w:val="0"/>
                <w:color w:val="auto"/>
                <w:spacing w:val="-6"/>
                <w:kern w:val="21"/>
                <w:szCs w:val="21"/>
              </w:rPr>
              <w:fldChar w:fldCharType="end"/>
            </w:r>
          </w:p>
        </w:tc>
        <w:tc>
          <w:tcPr>
            <w:tcW w:w="562" w:type="pct"/>
            <w:noWrap w:val="0"/>
            <w:tcMar>
              <w:left w:w="28" w:type="dxa"/>
              <w:right w:w="28" w:type="dxa"/>
            </w:tcMar>
            <w:vAlign w:val="center"/>
          </w:tcPr>
          <w:p w14:paraId="7E21AE9A">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16"/>
                <w:kern w:val="21"/>
                <w:szCs w:val="21"/>
              </w:rPr>
            </w:pPr>
            <w:r>
              <w:rPr>
                <w:rFonts w:hint="default" w:ascii="Times New Roman" w:hAnsi="Times New Roman" w:eastAsia="黑体" w:cs="Times New Roman"/>
                <w:b/>
                <w:bCs/>
                <w:snapToGrid w:val="0"/>
                <w:color w:val="auto"/>
                <w:spacing w:val="-16"/>
                <w:kern w:val="21"/>
                <w:szCs w:val="21"/>
              </w:rPr>
              <w:t>以新带老削减量</w:t>
            </w:r>
          </w:p>
          <w:p w14:paraId="725C7316">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16"/>
                <w:kern w:val="21"/>
                <w:szCs w:val="21"/>
              </w:rPr>
            </w:pPr>
            <w:r>
              <w:rPr>
                <w:rFonts w:hint="default" w:ascii="Times New Roman" w:hAnsi="Times New Roman" w:eastAsia="黑体" w:cs="Times New Roman"/>
                <w:b/>
                <w:bCs/>
                <w:snapToGrid w:val="0"/>
                <w:color w:val="auto"/>
                <w:spacing w:val="-16"/>
                <w:kern w:val="21"/>
                <w:szCs w:val="21"/>
              </w:rPr>
              <w:t>（新建项目不填）</w:t>
            </w:r>
            <w:r>
              <w:rPr>
                <w:rFonts w:hint="default" w:ascii="Times New Roman" w:hAnsi="Times New Roman" w:eastAsia="黑体" w:cs="Times New Roman"/>
                <w:b/>
                <w:bCs/>
                <w:snapToGrid w:val="0"/>
                <w:color w:val="auto"/>
                <w:spacing w:val="-16"/>
                <w:kern w:val="21"/>
                <w:szCs w:val="21"/>
              </w:rPr>
              <w:fldChar w:fldCharType="begin"/>
            </w:r>
            <w:r>
              <w:rPr>
                <w:rFonts w:hint="default" w:ascii="Times New Roman" w:hAnsi="Times New Roman" w:eastAsia="黑体" w:cs="Times New Roman"/>
                <w:b/>
                <w:bCs/>
                <w:snapToGrid w:val="0"/>
                <w:color w:val="auto"/>
                <w:spacing w:val="-16"/>
                <w:kern w:val="21"/>
                <w:szCs w:val="21"/>
              </w:rPr>
              <w:instrText xml:space="preserve"> = 5 \* GB3 \* MERGEFORMAT </w:instrText>
            </w:r>
            <w:r>
              <w:rPr>
                <w:rFonts w:hint="default" w:ascii="Times New Roman" w:hAnsi="Times New Roman" w:eastAsia="黑体" w:cs="Times New Roman"/>
                <w:b/>
                <w:bCs/>
                <w:snapToGrid w:val="0"/>
                <w:color w:val="auto"/>
                <w:spacing w:val="-16"/>
                <w:kern w:val="21"/>
                <w:szCs w:val="21"/>
              </w:rPr>
              <w:fldChar w:fldCharType="separate"/>
            </w:r>
            <w:r>
              <w:rPr>
                <w:rFonts w:hint="default" w:ascii="Times New Roman" w:hAnsi="Times New Roman" w:eastAsia="黑体" w:cs="Times New Roman"/>
                <w:b/>
                <w:bCs/>
                <w:color w:val="auto"/>
                <w:kern w:val="2"/>
                <w:szCs w:val="21"/>
              </w:rPr>
              <w:t>⑤</w:t>
            </w:r>
            <w:r>
              <w:rPr>
                <w:rFonts w:hint="default" w:ascii="Times New Roman" w:hAnsi="Times New Roman" w:eastAsia="黑体" w:cs="Times New Roman"/>
                <w:b/>
                <w:bCs/>
                <w:snapToGrid w:val="0"/>
                <w:color w:val="auto"/>
                <w:spacing w:val="-16"/>
                <w:kern w:val="21"/>
                <w:szCs w:val="21"/>
              </w:rPr>
              <w:fldChar w:fldCharType="end"/>
            </w:r>
          </w:p>
        </w:tc>
        <w:tc>
          <w:tcPr>
            <w:tcW w:w="541" w:type="pct"/>
            <w:noWrap w:val="0"/>
            <w:tcMar>
              <w:left w:w="28" w:type="dxa"/>
              <w:right w:w="28" w:type="dxa"/>
            </w:tcMar>
            <w:vAlign w:val="center"/>
          </w:tcPr>
          <w:p w14:paraId="6DF2F9A5">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16"/>
                <w:kern w:val="21"/>
                <w:szCs w:val="21"/>
              </w:rPr>
            </w:pPr>
            <w:r>
              <w:rPr>
                <w:rFonts w:hint="default" w:ascii="Times New Roman" w:hAnsi="Times New Roman" w:eastAsia="黑体" w:cs="Times New Roman"/>
                <w:b/>
                <w:bCs/>
                <w:snapToGrid w:val="0"/>
                <w:color w:val="auto"/>
                <w:spacing w:val="-16"/>
                <w:kern w:val="21"/>
                <w:szCs w:val="21"/>
              </w:rPr>
              <w:t>本项目建成后</w:t>
            </w:r>
          </w:p>
          <w:p w14:paraId="14223DA3">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16"/>
                <w:kern w:val="21"/>
                <w:szCs w:val="21"/>
              </w:rPr>
            </w:pPr>
            <w:r>
              <w:rPr>
                <w:rFonts w:hint="default" w:ascii="Times New Roman" w:hAnsi="Times New Roman" w:eastAsia="黑体" w:cs="Times New Roman"/>
                <w:b/>
                <w:bCs/>
                <w:snapToGrid w:val="0"/>
                <w:color w:val="auto"/>
                <w:spacing w:val="-16"/>
                <w:kern w:val="21"/>
                <w:szCs w:val="21"/>
              </w:rPr>
              <w:t>全厂排放量（固体废物产生量）</w:t>
            </w:r>
            <w:r>
              <w:rPr>
                <w:rFonts w:hint="default" w:ascii="Times New Roman" w:hAnsi="Times New Roman" w:eastAsia="黑体" w:cs="Times New Roman"/>
                <w:b/>
                <w:bCs/>
                <w:snapToGrid w:val="0"/>
                <w:color w:val="auto"/>
                <w:spacing w:val="-16"/>
                <w:kern w:val="21"/>
                <w:szCs w:val="21"/>
              </w:rPr>
              <w:fldChar w:fldCharType="begin"/>
            </w:r>
            <w:r>
              <w:rPr>
                <w:rFonts w:hint="default" w:ascii="Times New Roman" w:hAnsi="Times New Roman" w:eastAsia="黑体" w:cs="Times New Roman"/>
                <w:b/>
                <w:bCs/>
                <w:snapToGrid w:val="0"/>
                <w:color w:val="auto"/>
                <w:spacing w:val="-16"/>
                <w:kern w:val="21"/>
                <w:szCs w:val="21"/>
              </w:rPr>
              <w:instrText xml:space="preserve"> = 6 \* GB3 \* MERGEFORMAT </w:instrText>
            </w:r>
            <w:r>
              <w:rPr>
                <w:rFonts w:hint="default" w:ascii="Times New Roman" w:hAnsi="Times New Roman" w:eastAsia="黑体" w:cs="Times New Roman"/>
                <w:b/>
                <w:bCs/>
                <w:snapToGrid w:val="0"/>
                <w:color w:val="auto"/>
                <w:spacing w:val="-16"/>
                <w:kern w:val="21"/>
                <w:szCs w:val="21"/>
              </w:rPr>
              <w:fldChar w:fldCharType="separate"/>
            </w:r>
            <w:r>
              <w:rPr>
                <w:rFonts w:hint="default" w:ascii="Times New Roman" w:hAnsi="Times New Roman" w:eastAsia="黑体" w:cs="Times New Roman"/>
                <w:b/>
                <w:bCs/>
                <w:color w:val="auto"/>
                <w:kern w:val="2"/>
                <w:szCs w:val="21"/>
              </w:rPr>
              <w:t>⑥</w:t>
            </w:r>
            <w:r>
              <w:rPr>
                <w:rFonts w:hint="default" w:ascii="Times New Roman" w:hAnsi="Times New Roman" w:eastAsia="黑体" w:cs="Times New Roman"/>
                <w:b/>
                <w:bCs/>
                <w:snapToGrid w:val="0"/>
                <w:color w:val="auto"/>
                <w:spacing w:val="-16"/>
                <w:kern w:val="21"/>
                <w:szCs w:val="21"/>
              </w:rPr>
              <w:fldChar w:fldCharType="end"/>
            </w:r>
          </w:p>
        </w:tc>
        <w:tc>
          <w:tcPr>
            <w:tcW w:w="494" w:type="pct"/>
            <w:noWrap w:val="0"/>
            <w:tcMar>
              <w:left w:w="28" w:type="dxa"/>
              <w:right w:w="28" w:type="dxa"/>
            </w:tcMar>
            <w:vAlign w:val="center"/>
          </w:tcPr>
          <w:p w14:paraId="273E0218">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t>变化量</w:t>
            </w:r>
          </w:p>
          <w:p w14:paraId="1402809A">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黑体" w:cs="Times New Roman"/>
                <w:b/>
                <w:bCs/>
                <w:snapToGrid w:val="0"/>
                <w:color w:val="auto"/>
                <w:spacing w:val="-6"/>
                <w:kern w:val="21"/>
                <w:szCs w:val="21"/>
              </w:rPr>
            </w:pPr>
            <w:r>
              <w:rPr>
                <w:rFonts w:hint="default" w:ascii="Times New Roman" w:hAnsi="Times New Roman" w:eastAsia="黑体" w:cs="Times New Roman"/>
                <w:b/>
                <w:bCs/>
                <w:snapToGrid w:val="0"/>
                <w:color w:val="auto"/>
                <w:spacing w:val="-6"/>
                <w:kern w:val="21"/>
                <w:szCs w:val="21"/>
              </w:rPr>
              <w:fldChar w:fldCharType="begin"/>
            </w:r>
            <w:r>
              <w:rPr>
                <w:rFonts w:hint="default" w:ascii="Times New Roman" w:hAnsi="Times New Roman" w:eastAsia="黑体" w:cs="Times New Roman"/>
                <w:b/>
                <w:bCs/>
                <w:snapToGrid w:val="0"/>
                <w:color w:val="auto"/>
                <w:spacing w:val="-6"/>
                <w:kern w:val="21"/>
                <w:szCs w:val="21"/>
              </w:rPr>
              <w:instrText xml:space="preserve"> = 7 \* GB3 \* MERGEFORMAT </w:instrText>
            </w:r>
            <w:r>
              <w:rPr>
                <w:rFonts w:hint="default" w:ascii="Times New Roman" w:hAnsi="Times New Roman" w:eastAsia="黑体" w:cs="Times New Roman"/>
                <w:b/>
                <w:bCs/>
                <w:snapToGrid w:val="0"/>
                <w:color w:val="auto"/>
                <w:spacing w:val="-6"/>
                <w:kern w:val="21"/>
                <w:szCs w:val="21"/>
              </w:rPr>
              <w:fldChar w:fldCharType="separate"/>
            </w:r>
            <w:r>
              <w:rPr>
                <w:rFonts w:hint="default" w:ascii="Times New Roman" w:hAnsi="Times New Roman" w:eastAsia="黑体" w:cs="Times New Roman"/>
                <w:b/>
                <w:bCs/>
                <w:color w:val="auto"/>
                <w:kern w:val="2"/>
                <w:szCs w:val="21"/>
              </w:rPr>
              <w:t>⑦</w:t>
            </w:r>
            <w:r>
              <w:rPr>
                <w:rFonts w:hint="default" w:ascii="Times New Roman" w:hAnsi="Times New Roman" w:eastAsia="黑体" w:cs="Times New Roman"/>
                <w:b/>
                <w:bCs/>
                <w:snapToGrid w:val="0"/>
                <w:color w:val="auto"/>
                <w:spacing w:val="-6"/>
                <w:kern w:val="21"/>
                <w:szCs w:val="21"/>
              </w:rPr>
              <w:fldChar w:fldCharType="end"/>
            </w:r>
          </w:p>
        </w:tc>
      </w:tr>
      <w:tr w14:paraId="7F92A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noWrap w:val="0"/>
            <w:vAlign w:val="center"/>
          </w:tcPr>
          <w:p w14:paraId="360128D5">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废气</w:t>
            </w:r>
          </w:p>
        </w:tc>
        <w:tc>
          <w:tcPr>
            <w:tcW w:w="823" w:type="pct"/>
            <w:noWrap w:val="0"/>
            <w:vAlign w:val="center"/>
          </w:tcPr>
          <w:p w14:paraId="2F9F928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eastAsia="zh-CN"/>
              </w:rPr>
            </w:pPr>
            <w:r>
              <w:rPr>
                <w:rFonts w:hint="eastAsia" w:cs="Times New Roman"/>
                <w:color w:val="auto"/>
                <w:sz w:val="21"/>
                <w:szCs w:val="21"/>
                <w:lang w:val="en-US" w:eastAsia="zh-CN"/>
              </w:rPr>
              <w:t>非甲烷总烃</w:t>
            </w:r>
          </w:p>
        </w:tc>
        <w:tc>
          <w:tcPr>
            <w:tcW w:w="500" w:type="pct"/>
            <w:noWrap w:val="0"/>
            <w:vAlign w:val="center"/>
          </w:tcPr>
          <w:p w14:paraId="62B9AB16">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snapToGrid w:val="0"/>
                <w:color w:val="auto"/>
                <w:kern w:val="21"/>
                <w:sz w:val="21"/>
                <w:szCs w:val="21"/>
              </w:rPr>
            </w:pPr>
            <w:r>
              <w:rPr>
                <w:rFonts w:hint="eastAsia" w:ascii="Times New Roman" w:cs="Times New Roman"/>
                <w:bCs/>
                <w:color w:val="auto"/>
                <w:sz w:val="21"/>
                <w:szCs w:val="21"/>
                <w:lang w:val="en-US" w:eastAsia="zh-CN"/>
              </w:rPr>
              <w:t>1.5</w:t>
            </w:r>
            <w:r>
              <w:rPr>
                <w:rFonts w:hint="default" w:ascii="Times New Roman" w:hAnsi="Times New Roman" w:cs="Times New Roman"/>
                <w:bCs/>
                <w:color w:val="auto"/>
                <w:kern w:val="2"/>
                <w:sz w:val="21"/>
                <w:szCs w:val="21"/>
              </w:rPr>
              <w:t>t/a</w:t>
            </w:r>
          </w:p>
        </w:tc>
        <w:tc>
          <w:tcPr>
            <w:tcW w:w="468" w:type="pct"/>
            <w:noWrap w:val="0"/>
            <w:vAlign w:val="center"/>
          </w:tcPr>
          <w:p w14:paraId="4C794444">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napToGrid w:val="0"/>
                <w:color w:val="auto"/>
                <w:kern w:val="21"/>
                <w:sz w:val="21"/>
                <w:szCs w:val="21"/>
                <w:lang w:eastAsia="zh-CN"/>
              </w:rPr>
            </w:pPr>
            <w:r>
              <w:rPr>
                <w:rFonts w:hint="default" w:ascii="Times New Roman" w:hAnsi="Times New Roman" w:cs="Times New Roman"/>
                <w:snapToGrid w:val="0"/>
                <w:color w:val="auto"/>
                <w:kern w:val="21"/>
                <w:sz w:val="21"/>
                <w:szCs w:val="21"/>
              </w:rPr>
              <w:t>/</w:t>
            </w:r>
          </w:p>
        </w:tc>
        <w:tc>
          <w:tcPr>
            <w:tcW w:w="626" w:type="pct"/>
            <w:noWrap w:val="0"/>
            <w:vAlign w:val="center"/>
          </w:tcPr>
          <w:p w14:paraId="471C6F56">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napToGrid w:val="0"/>
                <w:color w:val="auto"/>
                <w:kern w:val="21"/>
                <w:sz w:val="21"/>
                <w:szCs w:val="21"/>
                <w:lang w:eastAsia="zh-CN"/>
              </w:rPr>
            </w:pPr>
            <w:r>
              <w:rPr>
                <w:rFonts w:hint="default" w:ascii="Times New Roman" w:hAnsi="Times New Roman" w:cs="Times New Roman"/>
                <w:snapToGrid w:val="0"/>
                <w:color w:val="auto"/>
                <w:kern w:val="21"/>
                <w:sz w:val="21"/>
                <w:szCs w:val="21"/>
              </w:rPr>
              <w:t>/</w:t>
            </w:r>
          </w:p>
        </w:tc>
        <w:tc>
          <w:tcPr>
            <w:tcW w:w="573" w:type="pct"/>
            <w:noWrap w:val="0"/>
            <w:vAlign w:val="center"/>
          </w:tcPr>
          <w:p w14:paraId="2E7039A6">
            <w:pPr>
              <w:pStyle w:val="53"/>
              <w:keepNext w:val="0"/>
              <w:keepLines w:val="0"/>
              <w:suppressLineNumbers w:val="0"/>
              <w:tabs>
                <w:tab w:val="left" w:pos="491"/>
              </w:tabs>
              <w:spacing w:before="0" w:beforeLines="0" w:beforeAutospacing="0" w:after="0" w:afterLines="0" w:afterAutospacing="0" w:line="240" w:lineRule="auto"/>
              <w:ind w:left="0" w:right="0"/>
              <w:rPr>
                <w:rFonts w:hint="default" w:ascii="Times New Roman" w:hAnsi="Times New Roman" w:cs="Times New Roman"/>
                <w:color w:val="auto"/>
                <w:kern w:val="2"/>
                <w:sz w:val="21"/>
                <w:szCs w:val="21"/>
              </w:rPr>
            </w:pPr>
            <w:r>
              <w:rPr>
                <w:rFonts w:hint="eastAsia" w:ascii="Times New Roman" w:cs="Times New Roman"/>
                <w:color w:val="auto"/>
                <w:kern w:val="2"/>
                <w:sz w:val="21"/>
                <w:szCs w:val="21"/>
                <w:lang w:val="en-US" w:eastAsia="zh-CN"/>
              </w:rPr>
              <w:t>1.126</w:t>
            </w:r>
            <w:r>
              <w:rPr>
                <w:rFonts w:hint="default" w:ascii="Times New Roman" w:hAnsi="Times New Roman" w:cs="Times New Roman"/>
                <w:color w:val="auto"/>
                <w:kern w:val="2"/>
                <w:sz w:val="21"/>
                <w:szCs w:val="21"/>
              </w:rPr>
              <w:t>t/a</w:t>
            </w:r>
          </w:p>
        </w:tc>
        <w:tc>
          <w:tcPr>
            <w:tcW w:w="562" w:type="pct"/>
            <w:noWrap w:val="0"/>
            <w:vAlign w:val="center"/>
          </w:tcPr>
          <w:p w14:paraId="5ED147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1.5</w:t>
            </w:r>
            <w:r>
              <w:rPr>
                <w:rFonts w:hint="default" w:ascii="Times New Roman" w:hAnsi="Times New Roman" w:cs="Times New Roman"/>
                <w:color w:val="auto"/>
                <w:kern w:val="2"/>
                <w:sz w:val="21"/>
                <w:szCs w:val="21"/>
              </w:rPr>
              <w:t>t/a</w:t>
            </w:r>
          </w:p>
        </w:tc>
        <w:tc>
          <w:tcPr>
            <w:tcW w:w="541" w:type="pct"/>
            <w:noWrap w:val="0"/>
            <w:vAlign w:val="center"/>
          </w:tcPr>
          <w:p w14:paraId="1AAD6075">
            <w:pPr>
              <w:pStyle w:val="53"/>
              <w:keepNext w:val="0"/>
              <w:keepLines w:val="0"/>
              <w:suppressLineNumbers w:val="0"/>
              <w:tabs>
                <w:tab w:val="left" w:pos="491"/>
              </w:tabs>
              <w:spacing w:before="0" w:beforeLines="0" w:beforeAutospacing="0" w:after="0" w:afterLines="0" w:afterAutospacing="0" w:line="240" w:lineRule="auto"/>
              <w:ind w:left="0" w:right="0"/>
              <w:rPr>
                <w:rFonts w:hint="default" w:ascii="Times New Roman" w:hAnsi="Times New Roman" w:cs="Times New Roman"/>
                <w:color w:val="auto"/>
                <w:kern w:val="2"/>
                <w:sz w:val="21"/>
                <w:szCs w:val="21"/>
              </w:rPr>
            </w:pPr>
            <w:r>
              <w:rPr>
                <w:rFonts w:hint="eastAsia" w:ascii="Times New Roman" w:cs="Times New Roman"/>
                <w:color w:val="auto"/>
                <w:kern w:val="2"/>
                <w:sz w:val="21"/>
                <w:szCs w:val="21"/>
                <w:lang w:val="en-US" w:eastAsia="zh-CN"/>
              </w:rPr>
              <w:t>1.126</w:t>
            </w:r>
            <w:r>
              <w:rPr>
                <w:rFonts w:hint="default" w:ascii="Times New Roman" w:hAnsi="Times New Roman" w:cs="Times New Roman"/>
                <w:color w:val="auto"/>
                <w:kern w:val="2"/>
                <w:sz w:val="21"/>
                <w:szCs w:val="21"/>
              </w:rPr>
              <w:t>t/a</w:t>
            </w:r>
          </w:p>
        </w:tc>
        <w:tc>
          <w:tcPr>
            <w:tcW w:w="494" w:type="pct"/>
            <w:noWrap w:val="0"/>
            <w:vAlign w:val="center"/>
          </w:tcPr>
          <w:p w14:paraId="3075F2E0">
            <w:pPr>
              <w:pStyle w:val="53"/>
              <w:keepNext w:val="0"/>
              <w:keepLines w:val="0"/>
              <w:suppressLineNumbers w:val="0"/>
              <w:tabs>
                <w:tab w:val="left" w:pos="491"/>
              </w:tabs>
              <w:spacing w:before="0" w:beforeLines="0" w:beforeAutospacing="0" w:after="0" w:afterLines="0" w:afterAutospacing="0" w:line="240" w:lineRule="auto"/>
              <w:ind w:left="0" w:right="0"/>
              <w:rPr>
                <w:rFonts w:hint="default" w:ascii="Times New Roman" w:hAnsi="Times New Roman" w:cs="Times New Roman"/>
                <w:color w:val="auto"/>
                <w:kern w:val="2"/>
                <w:sz w:val="21"/>
                <w:szCs w:val="21"/>
              </w:rPr>
            </w:pPr>
            <w:r>
              <w:rPr>
                <w:rFonts w:hint="eastAsia" w:ascii="Times New Roman" w:cs="Times New Roman"/>
                <w:color w:val="auto"/>
                <w:kern w:val="2"/>
                <w:sz w:val="21"/>
                <w:szCs w:val="21"/>
                <w:lang w:val="en-US" w:eastAsia="zh-CN"/>
              </w:rPr>
              <w:t>-0.374</w:t>
            </w:r>
            <w:r>
              <w:rPr>
                <w:rFonts w:hint="default" w:ascii="Times New Roman" w:hAnsi="Times New Roman" w:cs="Times New Roman"/>
                <w:color w:val="auto"/>
                <w:kern w:val="2"/>
                <w:sz w:val="21"/>
                <w:szCs w:val="21"/>
              </w:rPr>
              <w:t>t/a</w:t>
            </w:r>
          </w:p>
        </w:tc>
      </w:tr>
      <w:tr w14:paraId="30D857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noWrap w:val="0"/>
            <w:vAlign w:val="center"/>
          </w:tcPr>
          <w:p w14:paraId="3E992102">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616A597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color w:val="auto"/>
                <w:sz w:val="21"/>
                <w:szCs w:val="21"/>
              </w:rPr>
              <w:t>油烟</w:t>
            </w:r>
          </w:p>
        </w:tc>
        <w:tc>
          <w:tcPr>
            <w:tcW w:w="500" w:type="pct"/>
            <w:noWrap w:val="0"/>
            <w:vAlign w:val="center"/>
          </w:tcPr>
          <w:p w14:paraId="649A8DD3">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snapToGrid w:val="0"/>
                <w:color w:val="auto"/>
                <w:kern w:val="21"/>
                <w:sz w:val="21"/>
                <w:szCs w:val="21"/>
              </w:rPr>
            </w:pPr>
            <w:r>
              <w:rPr>
                <w:rFonts w:hint="eastAsia" w:ascii="Times New Roman" w:cs="Times New Roman"/>
                <w:bCs/>
                <w:snapToGrid w:val="0"/>
                <w:color w:val="auto"/>
                <w:kern w:val="21"/>
                <w:sz w:val="21"/>
                <w:szCs w:val="21"/>
                <w:lang w:val="en-US" w:eastAsia="zh-CN"/>
              </w:rPr>
              <w:t>0.0054</w:t>
            </w:r>
            <w:r>
              <w:rPr>
                <w:rFonts w:hint="default" w:ascii="Times New Roman" w:hAnsi="Times New Roman" w:cs="Times New Roman"/>
                <w:bCs/>
                <w:color w:val="auto"/>
                <w:kern w:val="2"/>
                <w:sz w:val="21"/>
                <w:szCs w:val="21"/>
              </w:rPr>
              <w:t>t/a</w:t>
            </w:r>
          </w:p>
        </w:tc>
        <w:tc>
          <w:tcPr>
            <w:tcW w:w="468" w:type="pct"/>
            <w:noWrap w:val="0"/>
            <w:vAlign w:val="center"/>
          </w:tcPr>
          <w:p w14:paraId="523C3544">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napToGrid w:val="0"/>
                <w:color w:val="auto"/>
                <w:kern w:val="21"/>
                <w:sz w:val="21"/>
                <w:szCs w:val="21"/>
                <w:lang w:eastAsia="zh-CN"/>
              </w:rPr>
            </w:pPr>
            <w:r>
              <w:rPr>
                <w:rFonts w:hint="default" w:ascii="Times New Roman" w:hAnsi="Times New Roman" w:cs="Times New Roman"/>
                <w:snapToGrid w:val="0"/>
                <w:color w:val="auto"/>
                <w:kern w:val="21"/>
                <w:sz w:val="21"/>
                <w:szCs w:val="21"/>
              </w:rPr>
              <w:t>/</w:t>
            </w:r>
          </w:p>
        </w:tc>
        <w:tc>
          <w:tcPr>
            <w:tcW w:w="626" w:type="pct"/>
            <w:noWrap w:val="0"/>
            <w:vAlign w:val="center"/>
          </w:tcPr>
          <w:p w14:paraId="7F618BDC">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napToGrid w:val="0"/>
                <w:color w:val="auto"/>
                <w:kern w:val="21"/>
                <w:sz w:val="21"/>
                <w:szCs w:val="21"/>
                <w:lang w:eastAsia="zh-CN"/>
              </w:rPr>
            </w:pPr>
            <w:r>
              <w:rPr>
                <w:rFonts w:hint="default" w:ascii="Times New Roman" w:hAnsi="Times New Roman" w:cs="Times New Roman"/>
                <w:snapToGrid w:val="0"/>
                <w:color w:val="auto"/>
                <w:kern w:val="21"/>
                <w:sz w:val="21"/>
                <w:szCs w:val="21"/>
              </w:rPr>
              <w:t>/</w:t>
            </w:r>
          </w:p>
        </w:tc>
        <w:tc>
          <w:tcPr>
            <w:tcW w:w="573" w:type="pct"/>
            <w:noWrap w:val="0"/>
            <w:vAlign w:val="center"/>
          </w:tcPr>
          <w:p w14:paraId="3B916D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eastAsia" w:cs="Times New Roman"/>
                <w:snapToGrid w:val="0"/>
                <w:color w:val="auto"/>
                <w:kern w:val="21"/>
                <w:sz w:val="21"/>
                <w:szCs w:val="21"/>
                <w:lang w:val="en-US" w:eastAsia="zh-CN"/>
              </w:rPr>
              <w:t>0.0022</w:t>
            </w:r>
            <w:r>
              <w:rPr>
                <w:rFonts w:hint="default" w:ascii="Times New Roman" w:hAnsi="Times New Roman" w:cs="Times New Roman"/>
                <w:color w:val="auto"/>
                <w:kern w:val="2"/>
                <w:sz w:val="21"/>
                <w:szCs w:val="21"/>
              </w:rPr>
              <w:t>t/a</w:t>
            </w:r>
          </w:p>
        </w:tc>
        <w:tc>
          <w:tcPr>
            <w:tcW w:w="562" w:type="pct"/>
            <w:noWrap w:val="0"/>
            <w:vAlign w:val="center"/>
          </w:tcPr>
          <w:p w14:paraId="56AAF86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eastAsia="zh-CN"/>
              </w:rPr>
            </w:pPr>
            <w:r>
              <w:rPr>
                <w:rFonts w:hint="eastAsia" w:cs="Times New Roman"/>
                <w:snapToGrid w:val="0"/>
                <w:color w:val="auto"/>
                <w:kern w:val="21"/>
                <w:sz w:val="21"/>
                <w:szCs w:val="21"/>
                <w:lang w:val="en-US" w:eastAsia="zh-CN"/>
              </w:rPr>
              <w:t>0</w:t>
            </w:r>
          </w:p>
        </w:tc>
        <w:tc>
          <w:tcPr>
            <w:tcW w:w="541" w:type="pct"/>
            <w:noWrap w:val="0"/>
            <w:vAlign w:val="center"/>
          </w:tcPr>
          <w:p w14:paraId="3023772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default" w:ascii="Times New Roman" w:hAnsi="Times New Roman" w:cs="Times New Roman"/>
                <w:bCs/>
                <w:snapToGrid w:val="0"/>
                <w:color w:val="auto"/>
                <w:kern w:val="21"/>
                <w:sz w:val="21"/>
                <w:szCs w:val="21"/>
              </w:rPr>
              <w:t>0.00</w:t>
            </w:r>
            <w:r>
              <w:rPr>
                <w:rFonts w:hint="eastAsia" w:cs="Times New Roman"/>
                <w:bCs/>
                <w:snapToGrid w:val="0"/>
                <w:color w:val="auto"/>
                <w:kern w:val="21"/>
                <w:sz w:val="21"/>
                <w:szCs w:val="21"/>
                <w:lang w:val="en-US" w:eastAsia="zh-CN"/>
              </w:rPr>
              <w:t>76</w:t>
            </w:r>
            <w:r>
              <w:rPr>
                <w:rFonts w:hint="default" w:ascii="Times New Roman" w:hAnsi="Times New Roman" w:cs="Times New Roman"/>
                <w:bCs/>
                <w:color w:val="auto"/>
                <w:sz w:val="21"/>
                <w:szCs w:val="21"/>
              </w:rPr>
              <w:t>t/a</w:t>
            </w:r>
          </w:p>
        </w:tc>
        <w:tc>
          <w:tcPr>
            <w:tcW w:w="494" w:type="pct"/>
            <w:noWrap w:val="0"/>
            <w:vAlign w:val="center"/>
          </w:tcPr>
          <w:p w14:paraId="6B260D1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eastAsia" w:ascii="Times New Roman" w:hAnsi="Times New Roman" w:cs="Times New Roman"/>
                <w:color w:val="auto"/>
                <w:kern w:val="2"/>
                <w:sz w:val="21"/>
                <w:szCs w:val="21"/>
              </w:rPr>
              <w:t>+</w:t>
            </w:r>
            <w:r>
              <w:rPr>
                <w:rFonts w:hint="eastAsia" w:ascii="Times New Roman" w:cs="Times New Roman"/>
                <w:color w:val="auto"/>
                <w:kern w:val="2"/>
                <w:sz w:val="21"/>
                <w:szCs w:val="21"/>
                <w:lang w:val="en-US" w:eastAsia="zh-CN"/>
              </w:rPr>
              <w:t>0.0022</w:t>
            </w:r>
            <w:r>
              <w:rPr>
                <w:rFonts w:hint="default" w:ascii="Times New Roman" w:hAnsi="Times New Roman" w:cs="Times New Roman"/>
                <w:color w:val="auto"/>
                <w:kern w:val="2"/>
                <w:sz w:val="21"/>
                <w:szCs w:val="21"/>
              </w:rPr>
              <w:t>t/a</w:t>
            </w:r>
          </w:p>
        </w:tc>
      </w:tr>
      <w:tr w14:paraId="6A197F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restart"/>
            <w:noWrap w:val="0"/>
            <w:vAlign w:val="center"/>
          </w:tcPr>
          <w:p w14:paraId="26B123A7">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废水</w:t>
            </w:r>
          </w:p>
        </w:tc>
        <w:tc>
          <w:tcPr>
            <w:tcW w:w="823" w:type="pct"/>
            <w:noWrap w:val="0"/>
            <w:vAlign w:val="center"/>
          </w:tcPr>
          <w:p w14:paraId="0F0CB6BA">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snapToGrid w:val="0"/>
                <w:color w:val="auto"/>
                <w:spacing w:val="0"/>
                <w:kern w:val="21"/>
                <w:sz w:val="21"/>
                <w:szCs w:val="21"/>
                <w:lang w:val="en-US" w:eastAsia="zh-CN"/>
              </w:rPr>
              <w:t>水量</w:t>
            </w:r>
          </w:p>
        </w:tc>
        <w:tc>
          <w:tcPr>
            <w:tcW w:w="500" w:type="pct"/>
            <w:noWrap w:val="0"/>
            <w:vAlign w:val="center"/>
          </w:tcPr>
          <w:p w14:paraId="6CA84651">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eastAsia" w:ascii="Times New Roman" w:cs="Times New Roman"/>
                <w:snapToGrid w:val="0"/>
                <w:color w:val="auto"/>
                <w:spacing w:val="0"/>
                <w:kern w:val="21"/>
                <w:sz w:val="21"/>
                <w:szCs w:val="21"/>
                <w:lang w:val="en-US" w:eastAsia="zh-CN"/>
              </w:rPr>
              <w:t>2400t/a</w:t>
            </w:r>
          </w:p>
        </w:tc>
        <w:tc>
          <w:tcPr>
            <w:tcW w:w="468" w:type="pct"/>
            <w:noWrap w:val="0"/>
            <w:vAlign w:val="center"/>
          </w:tcPr>
          <w:p w14:paraId="00AC82D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304374C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0EA2CD6A">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eastAsia" w:ascii="Times New Roman" w:cs="Times New Roman"/>
                <w:snapToGrid w:val="0"/>
                <w:color w:val="auto"/>
                <w:spacing w:val="0"/>
                <w:kern w:val="21"/>
                <w:sz w:val="21"/>
                <w:szCs w:val="21"/>
                <w:lang w:val="en-US" w:eastAsia="zh-CN"/>
              </w:rPr>
              <w:t>960t/a</w:t>
            </w:r>
          </w:p>
        </w:tc>
        <w:tc>
          <w:tcPr>
            <w:tcW w:w="562" w:type="pct"/>
            <w:noWrap w:val="0"/>
            <w:vAlign w:val="center"/>
          </w:tcPr>
          <w:p w14:paraId="24A9363C">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snapToGrid w:val="0"/>
                <w:color w:val="auto"/>
                <w:spacing w:val="0"/>
                <w:kern w:val="21"/>
                <w:sz w:val="21"/>
                <w:szCs w:val="21"/>
                <w:lang w:val="en-US" w:eastAsia="zh-CN"/>
              </w:rPr>
              <w:t>0</w:t>
            </w:r>
          </w:p>
        </w:tc>
        <w:tc>
          <w:tcPr>
            <w:tcW w:w="541" w:type="pct"/>
            <w:noWrap w:val="0"/>
            <w:vAlign w:val="center"/>
          </w:tcPr>
          <w:p w14:paraId="6E562C6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eastAsia" w:cs="Times New Roman"/>
                <w:i w:val="0"/>
                <w:iCs w:val="0"/>
                <w:color w:val="000000"/>
                <w:kern w:val="0"/>
                <w:sz w:val="21"/>
                <w:szCs w:val="21"/>
                <w:u w:val="none"/>
                <w:lang w:val="en-US" w:eastAsia="zh-CN" w:bidi="ar"/>
              </w:rPr>
              <w:t>3360</w:t>
            </w:r>
            <w:r>
              <w:rPr>
                <w:rFonts w:hint="eastAsia" w:ascii="Times New Roman" w:cs="Times New Roman"/>
                <w:snapToGrid w:val="0"/>
                <w:color w:val="auto"/>
                <w:spacing w:val="0"/>
                <w:kern w:val="21"/>
                <w:sz w:val="21"/>
                <w:szCs w:val="21"/>
                <w:lang w:val="en-US" w:eastAsia="zh-CN"/>
              </w:rPr>
              <w:t>t/a</w:t>
            </w:r>
          </w:p>
        </w:tc>
        <w:tc>
          <w:tcPr>
            <w:tcW w:w="494" w:type="pct"/>
            <w:noWrap w:val="0"/>
            <w:vAlign w:val="center"/>
          </w:tcPr>
          <w:p w14:paraId="1E5F12C2">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eastAsia" w:ascii="Times New Roman" w:cs="Times New Roman"/>
                <w:snapToGrid w:val="0"/>
                <w:color w:val="auto"/>
                <w:spacing w:val="0"/>
                <w:kern w:val="21"/>
                <w:sz w:val="21"/>
                <w:szCs w:val="21"/>
                <w:lang w:val="en-US" w:eastAsia="zh-CN"/>
              </w:rPr>
              <w:t>+960t/a</w:t>
            </w:r>
          </w:p>
        </w:tc>
      </w:tr>
      <w:tr w14:paraId="51F5E3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noWrap w:val="0"/>
            <w:vAlign w:val="center"/>
          </w:tcPr>
          <w:p w14:paraId="3DD86A8A">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3B5B16CF">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COD</w:t>
            </w:r>
          </w:p>
        </w:tc>
        <w:tc>
          <w:tcPr>
            <w:tcW w:w="500" w:type="pct"/>
            <w:noWrap w:val="0"/>
            <w:vAlign w:val="center"/>
          </w:tcPr>
          <w:p w14:paraId="4A7DBEF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0.672</w:t>
            </w:r>
            <w:r>
              <w:rPr>
                <w:rFonts w:hint="eastAsia" w:ascii="Times New Roman" w:cs="Times New Roman"/>
                <w:snapToGrid w:val="0"/>
                <w:color w:val="auto"/>
                <w:spacing w:val="0"/>
                <w:kern w:val="21"/>
                <w:sz w:val="21"/>
                <w:szCs w:val="21"/>
                <w:lang w:val="en-US" w:eastAsia="zh-CN"/>
              </w:rPr>
              <w:t>t/a</w:t>
            </w:r>
          </w:p>
        </w:tc>
        <w:tc>
          <w:tcPr>
            <w:tcW w:w="468" w:type="pct"/>
            <w:noWrap w:val="0"/>
            <w:vAlign w:val="center"/>
          </w:tcPr>
          <w:p w14:paraId="1A28C47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13114C6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64C9376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0.26</w:t>
            </w:r>
            <w:r>
              <w:rPr>
                <w:rFonts w:hint="eastAsia" w:ascii="Times New Roman" w:hAnsi="Times New Roman" w:eastAsia="宋体" w:cs="Times New Roman"/>
                <w:i w:val="0"/>
                <w:iCs w:val="0"/>
                <w:color w:val="000000"/>
                <w:kern w:val="0"/>
                <w:sz w:val="21"/>
                <w:szCs w:val="21"/>
                <w:u w:val="none"/>
                <w:lang w:val="en-US" w:eastAsia="zh-CN" w:bidi="ar"/>
              </w:rPr>
              <w:t>9</w:t>
            </w:r>
            <w:r>
              <w:rPr>
                <w:rFonts w:hint="eastAsia" w:ascii="Times New Roman" w:cs="Times New Roman"/>
                <w:snapToGrid w:val="0"/>
                <w:color w:val="auto"/>
                <w:spacing w:val="0"/>
                <w:kern w:val="21"/>
                <w:sz w:val="21"/>
                <w:szCs w:val="21"/>
                <w:lang w:val="en-US" w:eastAsia="zh-CN"/>
              </w:rPr>
              <w:t>t/a</w:t>
            </w:r>
          </w:p>
        </w:tc>
        <w:tc>
          <w:tcPr>
            <w:tcW w:w="562" w:type="pct"/>
            <w:noWrap w:val="0"/>
            <w:vAlign w:val="center"/>
          </w:tcPr>
          <w:p w14:paraId="5CF06396">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snapToGrid w:val="0"/>
                <w:color w:val="auto"/>
                <w:spacing w:val="0"/>
                <w:kern w:val="21"/>
                <w:sz w:val="21"/>
                <w:szCs w:val="21"/>
                <w:lang w:val="en-US" w:eastAsia="zh-CN"/>
              </w:rPr>
              <w:t>0</w:t>
            </w:r>
          </w:p>
        </w:tc>
        <w:tc>
          <w:tcPr>
            <w:tcW w:w="541" w:type="pct"/>
            <w:noWrap w:val="0"/>
            <w:vAlign w:val="center"/>
          </w:tcPr>
          <w:p w14:paraId="04A9D8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0.941</w:t>
            </w:r>
            <w:r>
              <w:rPr>
                <w:rFonts w:hint="eastAsia" w:ascii="Times New Roman" w:cs="Times New Roman"/>
                <w:snapToGrid w:val="0"/>
                <w:color w:val="auto"/>
                <w:spacing w:val="0"/>
                <w:kern w:val="21"/>
                <w:sz w:val="21"/>
                <w:szCs w:val="21"/>
                <w:lang w:val="en-US" w:eastAsia="zh-CN"/>
              </w:rPr>
              <w:t>t/a</w:t>
            </w:r>
          </w:p>
        </w:tc>
        <w:tc>
          <w:tcPr>
            <w:tcW w:w="494" w:type="pct"/>
            <w:noWrap w:val="0"/>
            <w:vAlign w:val="center"/>
          </w:tcPr>
          <w:p w14:paraId="4F9B40F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eastAsia" w:cs="Times New Roman"/>
                <w:color w:val="000000" w:themeColor="text1"/>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0.</w:t>
            </w:r>
            <w:r>
              <w:rPr>
                <w:rFonts w:hint="eastAsia" w:cs="Times New Roman"/>
                <w:color w:val="000000" w:themeColor="text1"/>
                <w:kern w:val="0"/>
                <w:sz w:val="21"/>
                <w:szCs w:val="21"/>
                <w:highlight w:val="none"/>
                <w:lang w:val="en-US" w:eastAsia="zh-CN" w:bidi="ar-SA"/>
                <w14:textFill>
                  <w14:solidFill>
                    <w14:schemeClr w14:val="tx1"/>
                  </w14:solidFill>
                </w14:textFill>
              </w:rPr>
              <w:t>269</w:t>
            </w:r>
            <w:r>
              <w:rPr>
                <w:rFonts w:hint="eastAsia" w:ascii="Times New Roman" w:cs="Times New Roman"/>
                <w:snapToGrid w:val="0"/>
                <w:color w:val="auto"/>
                <w:spacing w:val="0"/>
                <w:kern w:val="21"/>
                <w:sz w:val="21"/>
                <w:szCs w:val="21"/>
                <w:lang w:val="en-US" w:eastAsia="zh-CN"/>
              </w:rPr>
              <w:t>t/a</w:t>
            </w:r>
          </w:p>
        </w:tc>
      </w:tr>
      <w:tr w14:paraId="3799C4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noWrap w:val="0"/>
            <w:vAlign w:val="center"/>
          </w:tcPr>
          <w:p w14:paraId="690C0E45">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6279508D">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500" w:type="pct"/>
            <w:noWrap w:val="0"/>
            <w:vAlign w:val="center"/>
          </w:tcPr>
          <w:p w14:paraId="29ADA18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0.422</w:t>
            </w:r>
            <w:r>
              <w:rPr>
                <w:rFonts w:hint="eastAsia" w:ascii="Times New Roman" w:cs="Times New Roman"/>
                <w:snapToGrid w:val="0"/>
                <w:color w:val="auto"/>
                <w:spacing w:val="0"/>
                <w:kern w:val="21"/>
                <w:sz w:val="21"/>
                <w:szCs w:val="21"/>
                <w:lang w:val="en-US" w:eastAsia="zh-CN"/>
              </w:rPr>
              <w:t>t/a</w:t>
            </w:r>
          </w:p>
        </w:tc>
        <w:tc>
          <w:tcPr>
            <w:tcW w:w="468" w:type="pct"/>
            <w:noWrap w:val="0"/>
            <w:vAlign w:val="center"/>
          </w:tcPr>
          <w:p w14:paraId="26B387D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0C9F3DD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0BC126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0.169</w:t>
            </w:r>
            <w:r>
              <w:rPr>
                <w:rFonts w:hint="eastAsia" w:ascii="Times New Roman" w:cs="Times New Roman"/>
                <w:snapToGrid w:val="0"/>
                <w:color w:val="auto"/>
                <w:spacing w:val="0"/>
                <w:kern w:val="21"/>
                <w:sz w:val="21"/>
                <w:szCs w:val="21"/>
                <w:lang w:val="en-US" w:eastAsia="zh-CN"/>
              </w:rPr>
              <w:t>t/a</w:t>
            </w:r>
          </w:p>
        </w:tc>
        <w:tc>
          <w:tcPr>
            <w:tcW w:w="562" w:type="pct"/>
            <w:noWrap w:val="0"/>
            <w:vAlign w:val="center"/>
          </w:tcPr>
          <w:p w14:paraId="648C9E68">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snapToGrid w:val="0"/>
                <w:color w:val="auto"/>
                <w:spacing w:val="0"/>
                <w:kern w:val="21"/>
                <w:sz w:val="21"/>
                <w:szCs w:val="21"/>
                <w:lang w:val="en-US" w:eastAsia="zh-CN"/>
              </w:rPr>
              <w:t>0</w:t>
            </w:r>
          </w:p>
        </w:tc>
        <w:tc>
          <w:tcPr>
            <w:tcW w:w="541" w:type="pct"/>
            <w:noWrap w:val="0"/>
            <w:vAlign w:val="center"/>
          </w:tcPr>
          <w:p w14:paraId="386CEB1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0.591</w:t>
            </w:r>
            <w:r>
              <w:rPr>
                <w:rFonts w:hint="eastAsia" w:ascii="Times New Roman" w:cs="Times New Roman"/>
                <w:snapToGrid w:val="0"/>
                <w:color w:val="auto"/>
                <w:spacing w:val="0"/>
                <w:kern w:val="21"/>
                <w:sz w:val="21"/>
                <w:szCs w:val="21"/>
                <w:lang w:val="en-US" w:eastAsia="zh-CN"/>
              </w:rPr>
              <w:t>t/a</w:t>
            </w:r>
          </w:p>
        </w:tc>
        <w:tc>
          <w:tcPr>
            <w:tcW w:w="494" w:type="pct"/>
            <w:noWrap w:val="0"/>
            <w:vAlign w:val="center"/>
          </w:tcPr>
          <w:p w14:paraId="288701F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eastAsia" w:cs="Times New Roman"/>
                <w:color w:val="000000" w:themeColor="text1"/>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0.</w:t>
            </w:r>
            <w:r>
              <w:rPr>
                <w:rFonts w:hint="eastAsia" w:cs="Times New Roman"/>
                <w:color w:val="000000" w:themeColor="text1"/>
                <w:kern w:val="0"/>
                <w:sz w:val="21"/>
                <w:szCs w:val="21"/>
                <w:highlight w:val="none"/>
                <w:lang w:val="en-US" w:eastAsia="zh-CN" w:bidi="ar-SA"/>
                <w14:textFill>
                  <w14:solidFill>
                    <w14:schemeClr w14:val="tx1"/>
                  </w14:solidFill>
                </w14:textFill>
              </w:rPr>
              <w:t>169</w:t>
            </w:r>
            <w:r>
              <w:rPr>
                <w:rFonts w:hint="eastAsia" w:ascii="Times New Roman" w:cs="Times New Roman"/>
                <w:snapToGrid w:val="0"/>
                <w:color w:val="auto"/>
                <w:spacing w:val="0"/>
                <w:kern w:val="21"/>
                <w:sz w:val="21"/>
                <w:szCs w:val="21"/>
                <w:lang w:val="en-US" w:eastAsia="zh-CN"/>
              </w:rPr>
              <w:t>t/a</w:t>
            </w:r>
          </w:p>
        </w:tc>
      </w:tr>
      <w:tr w14:paraId="16BEA9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noWrap w:val="0"/>
            <w:vAlign w:val="center"/>
          </w:tcPr>
          <w:p w14:paraId="4FEC7B67">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14EA7170">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snapToGrid w:val="0"/>
                <w:color w:val="auto"/>
                <w:spacing w:val="0"/>
                <w:kern w:val="21"/>
                <w:sz w:val="21"/>
                <w:szCs w:val="21"/>
                <w:lang w:val="en-US" w:eastAsia="zh-CN"/>
              </w:rPr>
              <w:t>SS</w:t>
            </w:r>
          </w:p>
        </w:tc>
        <w:tc>
          <w:tcPr>
            <w:tcW w:w="500" w:type="pct"/>
            <w:noWrap w:val="0"/>
            <w:vAlign w:val="center"/>
          </w:tcPr>
          <w:p w14:paraId="4FAB9C9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0.648</w:t>
            </w:r>
            <w:r>
              <w:rPr>
                <w:rFonts w:hint="eastAsia" w:ascii="Times New Roman" w:cs="Times New Roman"/>
                <w:snapToGrid w:val="0"/>
                <w:color w:val="auto"/>
                <w:spacing w:val="0"/>
                <w:kern w:val="21"/>
                <w:sz w:val="21"/>
                <w:szCs w:val="21"/>
                <w:lang w:val="en-US" w:eastAsia="zh-CN"/>
              </w:rPr>
              <w:t>t/a</w:t>
            </w:r>
          </w:p>
        </w:tc>
        <w:tc>
          <w:tcPr>
            <w:tcW w:w="468" w:type="pct"/>
            <w:noWrap w:val="0"/>
            <w:vAlign w:val="center"/>
          </w:tcPr>
          <w:p w14:paraId="4221482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1DAFA70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7D08EE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0.259</w:t>
            </w:r>
            <w:r>
              <w:rPr>
                <w:rFonts w:hint="eastAsia" w:ascii="Times New Roman" w:cs="Times New Roman"/>
                <w:snapToGrid w:val="0"/>
                <w:color w:val="auto"/>
                <w:spacing w:val="0"/>
                <w:kern w:val="21"/>
                <w:sz w:val="21"/>
                <w:szCs w:val="21"/>
                <w:lang w:val="en-US" w:eastAsia="zh-CN"/>
              </w:rPr>
              <w:t>t/a</w:t>
            </w:r>
          </w:p>
        </w:tc>
        <w:tc>
          <w:tcPr>
            <w:tcW w:w="562" w:type="pct"/>
            <w:noWrap w:val="0"/>
            <w:vAlign w:val="center"/>
          </w:tcPr>
          <w:p w14:paraId="3EC19CD5">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snapToGrid w:val="0"/>
                <w:color w:val="auto"/>
                <w:spacing w:val="0"/>
                <w:kern w:val="21"/>
                <w:sz w:val="21"/>
                <w:szCs w:val="21"/>
                <w:lang w:val="en-US" w:eastAsia="zh-CN"/>
              </w:rPr>
              <w:t>0</w:t>
            </w:r>
          </w:p>
        </w:tc>
        <w:tc>
          <w:tcPr>
            <w:tcW w:w="541" w:type="pct"/>
            <w:noWrap w:val="0"/>
            <w:vAlign w:val="center"/>
          </w:tcPr>
          <w:p w14:paraId="427AC9A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0.907</w:t>
            </w:r>
            <w:r>
              <w:rPr>
                <w:rFonts w:hint="eastAsia" w:ascii="Times New Roman" w:cs="Times New Roman"/>
                <w:snapToGrid w:val="0"/>
                <w:color w:val="auto"/>
                <w:spacing w:val="0"/>
                <w:kern w:val="21"/>
                <w:sz w:val="21"/>
                <w:szCs w:val="21"/>
                <w:lang w:val="en-US" w:eastAsia="zh-CN"/>
              </w:rPr>
              <w:t>t/a</w:t>
            </w:r>
          </w:p>
        </w:tc>
        <w:tc>
          <w:tcPr>
            <w:tcW w:w="494" w:type="pct"/>
            <w:noWrap w:val="0"/>
            <w:vAlign w:val="center"/>
          </w:tcPr>
          <w:p w14:paraId="400A394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eastAsia" w:cs="Times New Roman"/>
                <w:color w:val="000000" w:themeColor="text1"/>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0.</w:t>
            </w:r>
            <w:r>
              <w:rPr>
                <w:rFonts w:hint="eastAsia" w:cs="Times New Roman"/>
                <w:color w:val="000000" w:themeColor="text1"/>
                <w:kern w:val="0"/>
                <w:sz w:val="21"/>
                <w:szCs w:val="21"/>
                <w:highlight w:val="none"/>
                <w:lang w:val="en-US" w:eastAsia="zh-CN" w:bidi="ar-SA"/>
                <w14:textFill>
                  <w14:solidFill>
                    <w14:schemeClr w14:val="tx1"/>
                  </w14:solidFill>
                </w14:textFill>
              </w:rPr>
              <w:t>259</w:t>
            </w:r>
            <w:r>
              <w:rPr>
                <w:rFonts w:hint="eastAsia" w:ascii="Times New Roman" w:cs="Times New Roman"/>
                <w:snapToGrid w:val="0"/>
                <w:color w:val="auto"/>
                <w:spacing w:val="0"/>
                <w:kern w:val="21"/>
                <w:sz w:val="21"/>
                <w:szCs w:val="21"/>
                <w:lang w:val="en-US" w:eastAsia="zh-CN"/>
              </w:rPr>
              <w:t>t/a</w:t>
            </w:r>
          </w:p>
        </w:tc>
      </w:tr>
      <w:tr w14:paraId="3B28C7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noWrap w:val="0"/>
            <w:vAlign w:val="center"/>
          </w:tcPr>
          <w:p w14:paraId="49D06853">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4678A3ED">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snapToGrid w:val="0"/>
                <w:color w:val="auto"/>
                <w:spacing w:val="0"/>
                <w:kern w:val="21"/>
                <w:sz w:val="21"/>
                <w:szCs w:val="21"/>
                <w:lang w:val="en-US" w:eastAsia="zh-CN"/>
              </w:rPr>
              <w:t>氨氮</w:t>
            </w:r>
          </w:p>
        </w:tc>
        <w:tc>
          <w:tcPr>
            <w:tcW w:w="500" w:type="pct"/>
            <w:noWrap w:val="0"/>
            <w:vAlign w:val="center"/>
          </w:tcPr>
          <w:p w14:paraId="460955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0.0864</w:t>
            </w:r>
            <w:r>
              <w:rPr>
                <w:rFonts w:hint="eastAsia" w:ascii="Times New Roman" w:cs="Times New Roman"/>
                <w:snapToGrid w:val="0"/>
                <w:color w:val="auto"/>
                <w:spacing w:val="0"/>
                <w:kern w:val="21"/>
                <w:sz w:val="21"/>
                <w:szCs w:val="21"/>
                <w:lang w:val="en-US" w:eastAsia="zh-CN"/>
              </w:rPr>
              <w:t>t/a</w:t>
            </w:r>
          </w:p>
        </w:tc>
        <w:tc>
          <w:tcPr>
            <w:tcW w:w="468" w:type="pct"/>
            <w:noWrap w:val="0"/>
            <w:vAlign w:val="center"/>
          </w:tcPr>
          <w:p w14:paraId="6ACCC47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67D8BA2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55B4550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0.0346</w:t>
            </w:r>
            <w:r>
              <w:rPr>
                <w:rFonts w:hint="eastAsia" w:ascii="Times New Roman" w:cs="Times New Roman"/>
                <w:snapToGrid w:val="0"/>
                <w:color w:val="auto"/>
                <w:spacing w:val="0"/>
                <w:kern w:val="21"/>
                <w:sz w:val="21"/>
                <w:szCs w:val="21"/>
                <w:lang w:val="en-US" w:eastAsia="zh-CN"/>
              </w:rPr>
              <w:t>t/a</w:t>
            </w:r>
          </w:p>
        </w:tc>
        <w:tc>
          <w:tcPr>
            <w:tcW w:w="562" w:type="pct"/>
            <w:noWrap w:val="0"/>
            <w:vAlign w:val="center"/>
          </w:tcPr>
          <w:p w14:paraId="20FE456E">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snapToGrid w:val="0"/>
                <w:color w:val="auto"/>
                <w:spacing w:val="0"/>
                <w:kern w:val="21"/>
                <w:sz w:val="21"/>
                <w:szCs w:val="21"/>
                <w:lang w:val="en-US" w:eastAsia="zh-CN"/>
              </w:rPr>
              <w:t>0</w:t>
            </w:r>
          </w:p>
        </w:tc>
        <w:tc>
          <w:tcPr>
            <w:tcW w:w="541" w:type="pct"/>
            <w:noWrap w:val="0"/>
            <w:vAlign w:val="center"/>
          </w:tcPr>
          <w:p w14:paraId="4C3B02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0.121</w:t>
            </w:r>
            <w:r>
              <w:rPr>
                <w:rFonts w:hint="eastAsia" w:ascii="Times New Roman" w:cs="Times New Roman"/>
                <w:snapToGrid w:val="0"/>
                <w:color w:val="auto"/>
                <w:spacing w:val="0"/>
                <w:kern w:val="21"/>
                <w:sz w:val="21"/>
                <w:szCs w:val="21"/>
                <w:lang w:val="en-US" w:eastAsia="zh-CN"/>
              </w:rPr>
              <w:t>t/a</w:t>
            </w:r>
          </w:p>
        </w:tc>
        <w:tc>
          <w:tcPr>
            <w:tcW w:w="494" w:type="pct"/>
            <w:noWrap w:val="0"/>
            <w:vAlign w:val="center"/>
          </w:tcPr>
          <w:p w14:paraId="58D28B4D">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eastAsia" w:cs="Times New Roman"/>
                <w:color w:val="000000" w:themeColor="text1"/>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0.0</w:t>
            </w:r>
            <w:r>
              <w:rPr>
                <w:rFonts w:hint="eastAsia" w:cs="Times New Roman"/>
                <w:color w:val="000000" w:themeColor="text1"/>
                <w:kern w:val="0"/>
                <w:sz w:val="21"/>
                <w:szCs w:val="21"/>
                <w:highlight w:val="none"/>
                <w:lang w:val="en-US" w:eastAsia="zh-CN" w:bidi="ar-SA"/>
                <w14:textFill>
                  <w14:solidFill>
                    <w14:schemeClr w14:val="tx1"/>
                  </w14:solidFill>
                </w14:textFill>
              </w:rPr>
              <w:t>346</w:t>
            </w:r>
            <w:r>
              <w:rPr>
                <w:rFonts w:hint="eastAsia" w:ascii="Times New Roman" w:cs="Times New Roman"/>
                <w:snapToGrid w:val="0"/>
                <w:color w:val="auto"/>
                <w:spacing w:val="0"/>
                <w:kern w:val="21"/>
                <w:sz w:val="21"/>
                <w:szCs w:val="21"/>
                <w:lang w:val="en-US" w:eastAsia="zh-CN"/>
              </w:rPr>
              <w:t>t/a</w:t>
            </w:r>
          </w:p>
        </w:tc>
      </w:tr>
      <w:tr w14:paraId="742102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noWrap w:val="0"/>
            <w:vAlign w:val="center"/>
          </w:tcPr>
          <w:p w14:paraId="24A7B649">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7190AAD6">
            <w:pPr>
              <w:pStyle w:val="65"/>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TN</w:t>
            </w:r>
          </w:p>
        </w:tc>
        <w:tc>
          <w:tcPr>
            <w:tcW w:w="500" w:type="pct"/>
            <w:noWrap w:val="0"/>
            <w:vAlign w:val="center"/>
          </w:tcPr>
          <w:p w14:paraId="3A0BD9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0.12</w:t>
            </w:r>
            <w:r>
              <w:rPr>
                <w:rFonts w:hint="eastAsia" w:ascii="Times New Roman" w:cs="Times New Roman"/>
                <w:snapToGrid w:val="0"/>
                <w:color w:val="auto"/>
                <w:spacing w:val="0"/>
                <w:kern w:val="21"/>
                <w:sz w:val="21"/>
                <w:szCs w:val="21"/>
                <w:lang w:val="en-US" w:eastAsia="zh-CN"/>
              </w:rPr>
              <w:t>t/a</w:t>
            </w:r>
          </w:p>
        </w:tc>
        <w:tc>
          <w:tcPr>
            <w:tcW w:w="468" w:type="pct"/>
            <w:noWrap w:val="0"/>
            <w:vAlign w:val="center"/>
          </w:tcPr>
          <w:p w14:paraId="0D66E34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58E76AB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0D16D3A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0.048</w:t>
            </w:r>
            <w:r>
              <w:rPr>
                <w:rFonts w:hint="eastAsia" w:ascii="Times New Roman" w:cs="Times New Roman"/>
                <w:snapToGrid w:val="0"/>
                <w:color w:val="auto"/>
                <w:spacing w:val="0"/>
                <w:kern w:val="21"/>
                <w:sz w:val="21"/>
                <w:szCs w:val="21"/>
                <w:lang w:val="en-US" w:eastAsia="zh-CN"/>
              </w:rPr>
              <w:t>t/a</w:t>
            </w:r>
          </w:p>
        </w:tc>
        <w:tc>
          <w:tcPr>
            <w:tcW w:w="562" w:type="pct"/>
            <w:noWrap w:val="0"/>
            <w:vAlign w:val="center"/>
          </w:tcPr>
          <w:p w14:paraId="59E39110">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eastAsia" w:ascii="Times New Roman" w:cs="Times New Roman"/>
                <w:snapToGrid w:val="0"/>
                <w:color w:val="auto"/>
                <w:spacing w:val="0"/>
                <w:kern w:val="21"/>
                <w:sz w:val="21"/>
                <w:szCs w:val="21"/>
                <w:lang w:val="en-US" w:eastAsia="zh-CN"/>
              </w:rPr>
              <w:t>0</w:t>
            </w:r>
          </w:p>
        </w:tc>
        <w:tc>
          <w:tcPr>
            <w:tcW w:w="541" w:type="pct"/>
            <w:noWrap w:val="0"/>
            <w:vAlign w:val="center"/>
          </w:tcPr>
          <w:p w14:paraId="53B9DA1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0.168</w:t>
            </w:r>
            <w:r>
              <w:rPr>
                <w:rFonts w:hint="eastAsia" w:ascii="Times New Roman" w:cs="Times New Roman"/>
                <w:snapToGrid w:val="0"/>
                <w:color w:val="auto"/>
                <w:spacing w:val="0"/>
                <w:kern w:val="21"/>
                <w:sz w:val="21"/>
                <w:szCs w:val="21"/>
                <w:lang w:val="en-US" w:eastAsia="zh-CN"/>
              </w:rPr>
              <w:t>t/a</w:t>
            </w:r>
          </w:p>
        </w:tc>
        <w:tc>
          <w:tcPr>
            <w:tcW w:w="494" w:type="pct"/>
            <w:noWrap w:val="0"/>
            <w:vAlign w:val="center"/>
          </w:tcPr>
          <w:p w14:paraId="0071448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eastAsia" w:cs="Times New Roman"/>
                <w:color w:val="000000" w:themeColor="text1"/>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0.0</w:t>
            </w:r>
            <w:r>
              <w:rPr>
                <w:rFonts w:hint="eastAsia" w:cs="Times New Roman"/>
                <w:color w:val="000000" w:themeColor="text1"/>
                <w:kern w:val="0"/>
                <w:sz w:val="21"/>
                <w:szCs w:val="21"/>
                <w:highlight w:val="none"/>
                <w:lang w:val="en-US" w:eastAsia="zh-CN" w:bidi="ar-SA"/>
                <w14:textFill>
                  <w14:solidFill>
                    <w14:schemeClr w14:val="tx1"/>
                  </w14:solidFill>
                </w14:textFill>
              </w:rPr>
              <w:t>48</w:t>
            </w:r>
            <w:r>
              <w:rPr>
                <w:rFonts w:hint="eastAsia" w:ascii="Times New Roman" w:cs="Times New Roman"/>
                <w:snapToGrid w:val="0"/>
                <w:color w:val="auto"/>
                <w:spacing w:val="0"/>
                <w:kern w:val="21"/>
                <w:sz w:val="21"/>
                <w:szCs w:val="21"/>
                <w:lang w:val="en-US" w:eastAsia="zh-CN"/>
              </w:rPr>
              <w:t>t/a</w:t>
            </w:r>
          </w:p>
        </w:tc>
      </w:tr>
      <w:tr w14:paraId="4CD93F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noWrap w:val="0"/>
            <w:vAlign w:val="center"/>
          </w:tcPr>
          <w:p w14:paraId="5D1C051A">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5DA42D1A">
            <w:pPr>
              <w:pStyle w:val="65"/>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olor w:val="000000" w:themeColor="text1"/>
                <w:sz w:val="21"/>
                <w:szCs w:val="21"/>
                <w:highlight w:val="none"/>
                <w14:textFill>
                  <w14:solidFill>
                    <w14:schemeClr w14:val="tx1"/>
                  </w14:solidFill>
                </w14:textFill>
              </w:rPr>
              <w:t>TP</w:t>
            </w:r>
          </w:p>
        </w:tc>
        <w:tc>
          <w:tcPr>
            <w:tcW w:w="500" w:type="pct"/>
            <w:noWrap w:val="0"/>
            <w:vAlign w:val="center"/>
          </w:tcPr>
          <w:p w14:paraId="5F5BA0B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0.012</w:t>
            </w:r>
            <w:r>
              <w:rPr>
                <w:rFonts w:hint="eastAsia" w:ascii="Times New Roman" w:cs="Times New Roman"/>
                <w:snapToGrid w:val="0"/>
                <w:color w:val="auto"/>
                <w:spacing w:val="0"/>
                <w:kern w:val="21"/>
                <w:sz w:val="21"/>
                <w:szCs w:val="21"/>
                <w:lang w:val="en-US" w:eastAsia="zh-CN"/>
              </w:rPr>
              <w:t>t/a</w:t>
            </w:r>
          </w:p>
        </w:tc>
        <w:tc>
          <w:tcPr>
            <w:tcW w:w="468" w:type="pct"/>
            <w:noWrap w:val="0"/>
            <w:vAlign w:val="center"/>
          </w:tcPr>
          <w:p w14:paraId="5CA3D65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2EAD343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24224E2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0.0048</w:t>
            </w:r>
            <w:r>
              <w:rPr>
                <w:rFonts w:hint="eastAsia" w:ascii="Times New Roman" w:cs="Times New Roman"/>
                <w:snapToGrid w:val="0"/>
                <w:color w:val="auto"/>
                <w:spacing w:val="0"/>
                <w:kern w:val="21"/>
                <w:sz w:val="21"/>
                <w:szCs w:val="21"/>
                <w:lang w:val="en-US" w:eastAsia="zh-CN"/>
              </w:rPr>
              <w:t>t/a</w:t>
            </w:r>
          </w:p>
        </w:tc>
        <w:tc>
          <w:tcPr>
            <w:tcW w:w="562" w:type="pct"/>
            <w:noWrap w:val="0"/>
            <w:vAlign w:val="center"/>
          </w:tcPr>
          <w:p w14:paraId="32DAAEF6">
            <w:pPr>
              <w:pStyle w:val="53"/>
              <w:keepNext w:val="0"/>
              <w:keepLines w:val="0"/>
              <w:suppressLineNumbers w:val="0"/>
              <w:spacing w:before="0" w:beforeLines="0" w:beforeAutospacing="0" w:after="0" w:afterLines="0" w:afterAutospacing="0" w:line="240" w:lineRule="auto"/>
              <w:ind w:left="0" w:leftChars="0" w:right="0" w:rightChars="0"/>
              <w:rPr>
                <w:rFonts w:hint="default" w:ascii="Times New Roman" w:hAnsi="Times New Roman" w:eastAsia="宋体" w:cs="Times New Roman"/>
                <w:snapToGrid w:val="0"/>
                <w:color w:val="auto"/>
                <w:spacing w:val="0"/>
                <w:kern w:val="21"/>
                <w:sz w:val="21"/>
                <w:szCs w:val="21"/>
                <w:lang w:val="en-US" w:eastAsia="zh-CN" w:bidi="ar-SA"/>
              </w:rPr>
            </w:pPr>
            <w:r>
              <w:rPr>
                <w:rFonts w:hint="eastAsia" w:ascii="Times New Roman" w:cs="Times New Roman"/>
                <w:snapToGrid w:val="0"/>
                <w:color w:val="auto"/>
                <w:spacing w:val="0"/>
                <w:kern w:val="21"/>
                <w:sz w:val="21"/>
                <w:szCs w:val="21"/>
                <w:lang w:val="en-US" w:eastAsia="zh-CN"/>
              </w:rPr>
              <w:t>0</w:t>
            </w:r>
          </w:p>
        </w:tc>
        <w:tc>
          <w:tcPr>
            <w:tcW w:w="541" w:type="pct"/>
            <w:noWrap w:val="0"/>
            <w:vAlign w:val="center"/>
          </w:tcPr>
          <w:p w14:paraId="1EA487D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0.0168</w:t>
            </w:r>
            <w:r>
              <w:rPr>
                <w:rFonts w:hint="eastAsia" w:ascii="Times New Roman" w:cs="Times New Roman"/>
                <w:snapToGrid w:val="0"/>
                <w:color w:val="auto"/>
                <w:spacing w:val="0"/>
                <w:kern w:val="21"/>
                <w:sz w:val="21"/>
                <w:szCs w:val="21"/>
                <w:lang w:val="en-US" w:eastAsia="zh-CN"/>
              </w:rPr>
              <w:t>t/a</w:t>
            </w:r>
          </w:p>
        </w:tc>
        <w:tc>
          <w:tcPr>
            <w:tcW w:w="494" w:type="pct"/>
            <w:noWrap w:val="0"/>
            <w:vAlign w:val="center"/>
          </w:tcPr>
          <w:p w14:paraId="15B9D8A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snapToGrid w:val="0"/>
                <w:color w:val="auto"/>
                <w:spacing w:val="0"/>
                <w:kern w:val="21"/>
                <w:sz w:val="21"/>
                <w:szCs w:val="21"/>
                <w:lang w:val="en-US" w:eastAsia="zh-CN" w:bidi="ar-SA"/>
              </w:rPr>
            </w:pPr>
            <w:r>
              <w:rPr>
                <w:rFonts w:hint="eastAsia" w:cs="Times New Roman"/>
                <w:color w:val="000000" w:themeColor="text1"/>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0.00</w:t>
            </w:r>
            <w:r>
              <w:rPr>
                <w:rFonts w:hint="eastAsia" w:cs="Times New Roman"/>
                <w:color w:val="000000" w:themeColor="text1"/>
                <w:kern w:val="0"/>
                <w:sz w:val="21"/>
                <w:szCs w:val="21"/>
                <w:highlight w:val="none"/>
                <w:lang w:val="en-US" w:eastAsia="zh-CN" w:bidi="ar-SA"/>
                <w14:textFill>
                  <w14:solidFill>
                    <w14:schemeClr w14:val="tx1"/>
                  </w14:solidFill>
                </w14:textFill>
              </w:rPr>
              <w:t>4</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8</w:t>
            </w:r>
            <w:r>
              <w:rPr>
                <w:rFonts w:hint="eastAsia" w:ascii="Times New Roman" w:cs="Times New Roman"/>
                <w:snapToGrid w:val="0"/>
                <w:color w:val="auto"/>
                <w:spacing w:val="0"/>
                <w:kern w:val="21"/>
                <w:sz w:val="21"/>
                <w:szCs w:val="21"/>
                <w:lang w:val="en-US" w:eastAsia="zh-CN"/>
              </w:rPr>
              <w:t>t/a</w:t>
            </w:r>
          </w:p>
        </w:tc>
      </w:tr>
      <w:tr w14:paraId="0C1953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08" w:type="pct"/>
            <w:vMerge w:val="continue"/>
            <w:noWrap w:val="0"/>
            <w:vAlign w:val="center"/>
          </w:tcPr>
          <w:p w14:paraId="4171953E">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59C1B22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eastAsia="zh-CN"/>
              </w:rPr>
            </w:pPr>
            <w:r>
              <w:rPr>
                <w:rFonts w:hint="eastAsia" w:cs="Times New Roman"/>
                <w:snapToGrid w:val="0"/>
                <w:color w:val="auto"/>
                <w:kern w:val="21"/>
                <w:sz w:val="21"/>
                <w:szCs w:val="21"/>
                <w:lang w:val="en-US" w:eastAsia="zh-CN"/>
              </w:rPr>
              <w:t>动植物油</w:t>
            </w:r>
          </w:p>
        </w:tc>
        <w:tc>
          <w:tcPr>
            <w:tcW w:w="500" w:type="pct"/>
            <w:noWrap w:val="0"/>
            <w:vAlign w:val="center"/>
          </w:tcPr>
          <w:p w14:paraId="227E840A">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Cs/>
                <w:snapToGrid w:val="0"/>
                <w:color w:val="auto"/>
                <w:kern w:val="21"/>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r>
              <w:rPr>
                <w:rFonts w:hint="eastAsia" w:ascii="Times New Roman" w:hAnsi="Times New Roman" w:eastAsia="宋体" w:cs="Times New Roman"/>
                <w:i w:val="0"/>
                <w:iCs w:val="0"/>
                <w:color w:val="000000"/>
                <w:kern w:val="0"/>
                <w:sz w:val="21"/>
                <w:szCs w:val="21"/>
                <w:u w:val="none"/>
                <w:lang w:val="en-US" w:eastAsia="zh-CN" w:bidi="ar"/>
              </w:rPr>
              <w:t>7</w:t>
            </w:r>
            <w:r>
              <w:rPr>
                <w:rFonts w:hint="eastAsia" w:ascii="Times New Roman" w:cs="Times New Roman"/>
                <w:snapToGrid w:val="0"/>
                <w:color w:val="auto"/>
                <w:spacing w:val="0"/>
                <w:kern w:val="21"/>
                <w:sz w:val="21"/>
                <w:szCs w:val="21"/>
                <w:lang w:val="en-US" w:eastAsia="zh-CN"/>
              </w:rPr>
              <w:t>t/a</w:t>
            </w:r>
          </w:p>
        </w:tc>
        <w:tc>
          <w:tcPr>
            <w:tcW w:w="468" w:type="pct"/>
            <w:noWrap w:val="0"/>
            <w:vAlign w:val="center"/>
          </w:tcPr>
          <w:p w14:paraId="6E28A659">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napToGrid w:val="0"/>
                <w:color w:val="auto"/>
                <w:kern w:val="21"/>
                <w:sz w:val="21"/>
                <w:szCs w:val="21"/>
                <w:lang w:eastAsia="zh-CN"/>
              </w:rPr>
            </w:pPr>
            <w:r>
              <w:rPr>
                <w:rFonts w:hint="default" w:ascii="Times New Roman" w:hAnsi="Times New Roman" w:cs="Times New Roman"/>
                <w:snapToGrid w:val="0"/>
                <w:color w:val="auto"/>
                <w:kern w:val="21"/>
                <w:sz w:val="21"/>
                <w:szCs w:val="21"/>
              </w:rPr>
              <w:t>/</w:t>
            </w:r>
          </w:p>
        </w:tc>
        <w:tc>
          <w:tcPr>
            <w:tcW w:w="626" w:type="pct"/>
            <w:noWrap w:val="0"/>
            <w:vAlign w:val="center"/>
          </w:tcPr>
          <w:p w14:paraId="0DBFAAC1">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snapToGrid w:val="0"/>
                <w:color w:val="auto"/>
                <w:kern w:val="21"/>
                <w:sz w:val="21"/>
                <w:szCs w:val="21"/>
                <w:lang w:eastAsia="zh-CN"/>
              </w:rPr>
            </w:pPr>
            <w:r>
              <w:rPr>
                <w:rFonts w:hint="default" w:ascii="Times New Roman" w:hAnsi="Times New Roman" w:cs="Times New Roman"/>
                <w:snapToGrid w:val="0"/>
                <w:color w:val="auto"/>
                <w:kern w:val="21"/>
                <w:sz w:val="21"/>
                <w:szCs w:val="21"/>
              </w:rPr>
              <w:t>/</w:t>
            </w:r>
          </w:p>
        </w:tc>
        <w:tc>
          <w:tcPr>
            <w:tcW w:w="573" w:type="pct"/>
            <w:noWrap w:val="0"/>
            <w:vAlign w:val="center"/>
          </w:tcPr>
          <w:p w14:paraId="3833CC2F">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napToGrid w:val="0"/>
                <w:color w:val="auto"/>
                <w:kern w:val="21"/>
                <w:sz w:val="21"/>
                <w:szCs w:val="21"/>
              </w:rPr>
            </w:pPr>
            <w:r>
              <w:rPr>
                <w:rFonts w:hint="default" w:ascii="Times New Roman" w:hAnsi="Times New Roman" w:eastAsia="宋体" w:cs="Times New Roman"/>
                <w:i w:val="0"/>
                <w:iCs w:val="0"/>
                <w:color w:val="000000"/>
                <w:kern w:val="0"/>
                <w:sz w:val="21"/>
                <w:szCs w:val="21"/>
                <w:u w:val="none"/>
                <w:lang w:val="en-US" w:eastAsia="zh-CN" w:bidi="ar"/>
              </w:rPr>
              <w:t>0.000</w:t>
            </w:r>
            <w:r>
              <w:rPr>
                <w:rFonts w:hint="eastAsia" w:ascii="Times New Roman" w:hAnsi="Times New Roman" w:eastAsia="宋体" w:cs="Times New Roman"/>
                <w:i w:val="0"/>
                <w:iCs w:val="0"/>
                <w:color w:val="000000"/>
                <w:kern w:val="0"/>
                <w:sz w:val="21"/>
                <w:szCs w:val="21"/>
                <w:u w:val="none"/>
                <w:lang w:val="en-US" w:eastAsia="zh-CN" w:bidi="ar"/>
              </w:rPr>
              <w:t>3</w:t>
            </w:r>
            <w:r>
              <w:rPr>
                <w:rFonts w:hint="eastAsia" w:ascii="Times New Roman" w:cs="Times New Roman"/>
                <w:snapToGrid w:val="0"/>
                <w:color w:val="auto"/>
                <w:spacing w:val="0"/>
                <w:kern w:val="21"/>
                <w:sz w:val="21"/>
                <w:szCs w:val="21"/>
                <w:lang w:val="en-US" w:eastAsia="zh-CN"/>
              </w:rPr>
              <w:t>t/a</w:t>
            </w:r>
          </w:p>
        </w:tc>
        <w:tc>
          <w:tcPr>
            <w:tcW w:w="562" w:type="pct"/>
            <w:noWrap w:val="0"/>
            <w:vAlign w:val="center"/>
          </w:tcPr>
          <w:p w14:paraId="776ED01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eastAsia="zh-CN"/>
              </w:rPr>
            </w:pPr>
            <w:r>
              <w:rPr>
                <w:rFonts w:hint="eastAsia" w:cs="Times New Roman"/>
                <w:snapToGrid w:val="0"/>
                <w:color w:val="auto"/>
                <w:kern w:val="21"/>
                <w:sz w:val="21"/>
                <w:szCs w:val="21"/>
                <w:lang w:val="en-US" w:eastAsia="zh-CN"/>
              </w:rPr>
              <w:t>0</w:t>
            </w:r>
          </w:p>
        </w:tc>
        <w:tc>
          <w:tcPr>
            <w:tcW w:w="541" w:type="pct"/>
            <w:noWrap w:val="0"/>
            <w:vAlign w:val="center"/>
          </w:tcPr>
          <w:p w14:paraId="04E47733">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napToGrid w:val="0"/>
                <w:color w:val="auto"/>
                <w:kern w:val="21"/>
                <w:sz w:val="21"/>
                <w:szCs w:val="21"/>
              </w:rPr>
            </w:pPr>
            <w:r>
              <w:rPr>
                <w:rFonts w:hint="default" w:ascii="Times New Roman" w:hAnsi="Times New Roman" w:eastAsia="宋体" w:cs="Times New Roman"/>
                <w:i w:val="0"/>
                <w:iCs w:val="0"/>
                <w:color w:val="000000"/>
                <w:kern w:val="0"/>
                <w:sz w:val="21"/>
                <w:szCs w:val="21"/>
                <w:u w:val="none"/>
                <w:lang w:val="en-US" w:eastAsia="zh-CN" w:bidi="ar"/>
              </w:rPr>
              <w:t>0.001</w:t>
            </w:r>
            <w:r>
              <w:rPr>
                <w:rFonts w:hint="eastAsia" w:ascii="Times New Roman" w:cs="Times New Roman"/>
                <w:snapToGrid w:val="0"/>
                <w:color w:val="auto"/>
                <w:spacing w:val="0"/>
                <w:kern w:val="21"/>
                <w:sz w:val="21"/>
                <w:szCs w:val="21"/>
                <w:lang w:val="en-US" w:eastAsia="zh-CN"/>
              </w:rPr>
              <w:t>t/a</w:t>
            </w:r>
          </w:p>
        </w:tc>
        <w:tc>
          <w:tcPr>
            <w:tcW w:w="494" w:type="pct"/>
            <w:noWrap w:val="0"/>
            <w:vAlign w:val="center"/>
          </w:tcPr>
          <w:p w14:paraId="28E4924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eastAsia" w:cs="Times New Roman"/>
                <w:color w:val="000000" w:themeColor="text1"/>
                <w:kern w:val="0"/>
                <w:sz w:val="21"/>
                <w:szCs w:val="21"/>
                <w:highlight w:val="none"/>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0.0003</w:t>
            </w:r>
            <w:r>
              <w:rPr>
                <w:rFonts w:hint="eastAsia" w:ascii="Times New Roman" w:cs="Times New Roman"/>
                <w:snapToGrid w:val="0"/>
                <w:color w:val="auto"/>
                <w:spacing w:val="0"/>
                <w:kern w:val="21"/>
                <w:sz w:val="21"/>
                <w:szCs w:val="21"/>
                <w:lang w:val="en-US" w:eastAsia="zh-CN"/>
              </w:rPr>
              <w:t>t/a</w:t>
            </w:r>
          </w:p>
        </w:tc>
      </w:tr>
      <w:tr w14:paraId="7C0340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noWrap w:val="0"/>
            <w:vAlign w:val="center"/>
          </w:tcPr>
          <w:p w14:paraId="0693E926">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一般工业</w:t>
            </w:r>
          </w:p>
          <w:p w14:paraId="5854C35A">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固体废物</w:t>
            </w:r>
          </w:p>
        </w:tc>
        <w:tc>
          <w:tcPr>
            <w:tcW w:w="823" w:type="pct"/>
            <w:noWrap w:val="0"/>
            <w:vAlign w:val="center"/>
          </w:tcPr>
          <w:p w14:paraId="265BF217">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生活垃圾</w:t>
            </w:r>
          </w:p>
        </w:tc>
        <w:tc>
          <w:tcPr>
            <w:tcW w:w="500" w:type="pct"/>
            <w:noWrap w:val="0"/>
            <w:vAlign w:val="center"/>
          </w:tcPr>
          <w:p w14:paraId="076DF8EF">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snapToGrid w:val="0"/>
                <w:color w:val="auto"/>
                <w:kern w:val="21"/>
                <w:sz w:val="21"/>
                <w:szCs w:val="21"/>
              </w:rPr>
            </w:pPr>
            <w:r>
              <w:rPr>
                <w:rFonts w:hint="eastAsia" w:ascii="Times New Roman" w:cs="Times New Roman"/>
                <w:bCs/>
                <w:snapToGrid w:val="0"/>
                <w:color w:val="auto"/>
                <w:kern w:val="21"/>
                <w:sz w:val="21"/>
                <w:szCs w:val="21"/>
                <w:lang w:val="en-US" w:eastAsia="zh-CN"/>
              </w:rPr>
              <w:t>5.76</w:t>
            </w:r>
            <w:r>
              <w:rPr>
                <w:rFonts w:hint="default" w:ascii="Times New Roman" w:hAnsi="Times New Roman" w:cs="Times New Roman"/>
                <w:bCs/>
                <w:color w:val="auto"/>
                <w:kern w:val="2"/>
                <w:sz w:val="21"/>
                <w:szCs w:val="21"/>
              </w:rPr>
              <w:t>t/a</w:t>
            </w:r>
          </w:p>
        </w:tc>
        <w:tc>
          <w:tcPr>
            <w:tcW w:w="468" w:type="pct"/>
            <w:noWrap w:val="0"/>
            <w:vAlign w:val="center"/>
          </w:tcPr>
          <w:p w14:paraId="3C08279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noWrap w:val="0"/>
            <w:vAlign w:val="center"/>
          </w:tcPr>
          <w:p w14:paraId="4FD3A97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noWrap w:val="0"/>
            <w:vAlign w:val="center"/>
          </w:tcPr>
          <w:p w14:paraId="7A9B3A4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eastAsia="zh-CN"/>
              </w:rPr>
            </w:pPr>
            <w:r>
              <w:rPr>
                <w:rFonts w:hint="eastAsia" w:cs="Times New Roman"/>
                <w:snapToGrid w:val="0"/>
                <w:color w:val="auto"/>
                <w:kern w:val="21"/>
                <w:sz w:val="21"/>
                <w:szCs w:val="21"/>
                <w:lang w:val="en-US" w:eastAsia="zh-CN"/>
              </w:rPr>
              <w:t>6</w:t>
            </w:r>
            <w:r>
              <w:rPr>
                <w:rFonts w:hint="eastAsia" w:ascii="Times New Roman" w:cs="Times New Roman"/>
                <w:snapToGrid w:val="0"/>
                <w:color w:val="auto"/>
                <w:spacing w:val="0"/>
                <w:kern w:val="21"/>
                <w:sz w:val="21"/>
                <w:szCs w:val="21"/>
                <w:lang w:val="en-US" w:eastAsia="zh-CN"/>
              </w:rPr>
              <w:t>t/a</w:t>
            </w:r>
          </w:p>
        </w:tc>
        <w:tc>
          <w:tcPr>
            <w:tcW w:w="562" w:type="pct"/>
            <w:noWrap w:val="0"/>
            <w:vAlign w:val="center"/>
          </w:tcPr>
          <w:p w14:paraId="6E30214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eastAsia="zh-CN"/>
              </w:rPr>
            </w:pPr>
            <w:r>
              <w:rPr>
                <w:rFonts w:hint="eastAsia" w:cs="Times New Roman"/>
                <w:snapToGrid w:val="0"/>
                <w:color w:val="auto"/>
                <w:kern w:val="21"/>
                <w:sz w:val="21"/>
                <w:szCs w:val="21"/>
                <w:lang w:val="en-US" w:eastAsia="zh-CN"/>
              </w:rPr>
              <w:t>0</w:t>
            </w:r>
          </w:p>
        </w:tc>
        <w:tc>
          <w:tcPr>
            <w:tcW w:w="541" w:type="pct"/>
            <w:noWrap w:val="0"/>
            <w:vAlign w:val="center"/>
          </w:tcPr>
          <w:p w14:paraId="1B41CCF2">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r>
              <w:rPr>
                <w:rFonts w:hint="eastAsia" w:ascii="Times New Roman" w:cs="Times New Roman"/>
                <w:bCs/>
                <w:snapToGrid w:val="0"/>
                <w:color w:val="auto"/>
                <w:kern w:val="21"/>
                <w:sz w:val="21"/>
                <w:szCs w:val="21"/>
                <w:lang w:val="en-US" w:eastAsia="zh-CN"/>
              </w:rPr>
              <w:t>11.76</w:t>
            </w:r>
            <w:r>
              <w:rPr>
                <w:rFonts w:hint="default" w:ascii="Times New Roman" w:hAnsi="Times New Roman" w:cs="Times New Roman"/>
                <w:bCs/>
                <w:color w:val="auto"/>
                <w:kern w:val="2"/>
                <w:sz w:val="21"/>
                <w:szCs w:val="21"/>
              </w:rPr>
              <w:t>t/a</w:t>
            </w:r>
          </w:p>
        </w:tc>
        <w:tc>
          <w:tcPr>
            <w:tcW w:w="494" w:type="pct"/>
            <w:noWrap w:val="0"/>
            <w:vAlign w:val="center"/>
          </w:tcPr>
          <w:p w14:paraId="1C5893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+6</w:t>
            </w:r>
            <w:r>
              <w:rPr>
                <w:rFonts w:hint="eastAsia" w:ascii="Times New Roman" w:cs="Times New Roman"/>
                <w:snapToGrid w:val="0"/>
                <w:color w:val="auto"/>
                <w:spacing w:val="0"/>
                <w:kern w:val="21"/>
                <w:sz w:val="21"/>
                <w:szCs w:val="21"/>
                <w:lang w:val="en-US" w:eastAsia="zh-CN"/>
              </w:rPr>
              <w:t>t/a</w:t>
            </w:r>
          </w:p>
        </w:tc>
      </w:tr>
      <w:tr w14:paraId="4983BF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noWrap w:val="0"/>
            <w:vAlign w:val="center"/>
          </w:tcPr>
          <w:p w14:paraId="3AEEBCC7">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010CE1D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废包装材料、纸张边角料、印刷不合格产品</w:t>
            </w:r>
          </w:p>
        </w:tc>
        <w:tc>
          <w:tcPr>
            <w:tcW w:w="500" w:type="pct"/>
            <w:noWrap w:val="0"/>
            <w:vAlign w:val="center"/>
          </w:tcPr>
          <w:p w14:paraId="369B3246">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bCs/>
                <w:snapToGrid w:val="0"/>
                <w:color w:val="auto"/>
                <w:kern w:val="21"/>
                <w:sz w:val="21"/>
                <w:szCs w:val="21"/>
              </w:rPr>
            </w:pPr>
            <w:r>
              <w:rPr>
                <w:rFonts w:hint="eastAsia" w:ascii="Times New Roman" w:cs="Times New Roman"/>
                <w:bCs/>
                <w:snapToGrid w:val="0"/>
                <w:color w:val="auto"/>
                <w:kern w:val="21"/>
                <w:sz w:val="21"/>
                <w:szCs w:val="21"/>
                <w:lang w:val="en-US" w:eastAsia="zh-CN"/>
              </w:rPr>
              <w:t>3.192</w:t>
            </w:r>
            <w:r>
              <w:rPr>
                <w:rFonts w:hint="default" w:ascii="Times New Roman" w:hAnsi="Times New Roman" w:cs="Times New Roman"/>
                <w:bCs/>
                <w:color w:val="auto"/>
                <w:kern w:val="2"/>
                <w:sz w:val="21"/>
                <w:szCs w:val="21"/>
              </w:rPr>
              <w:t>t/a</w:t>
            </w:r>
          </w:p>
        </w:tc>
        <w:tc>
          <w:tcPr>
            <w:tcW w:w="468" w:type="pct"/>
            <w:noWrap w:val="0"/>
            <w:vAlign w:val="center"/>
          </w:tcPr>
          <w:p w14:paraId="1DD1FC9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noWrap w:val="0"/>
            <w:vAlign w:val="center"/>
          </w:tcPr>
          <w:p w14:paraId="701BE23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noWrap w:val="0"/>
            <w:vAlign w:val="center"/>
          </w:tcPr>
          <w:p w14:paraId="0778887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rPr>
            </w:pPr>
            <w:r>
              <w:rPr>
                <w:rFonts w:hint="eastAsia" w:cs="Times New Roman"/>
                <w:snapToGrid w:val="0"/>
                <w:color w:val="auto"/>
                <w:kern w:val="21"/>
                <w:sz w:val="21"/>
                <w:szCs w:val="21"/>
                <w:lang w:val="en-US" w:eastAsia="zh-CN"/>
              </w:rPr>
              <w:t>30</w:t>
            </w:r>
            <w:r>
              <w:rPr>
                <w:rFonts w:hint="default" w:ascii="Times New Roman" w:hAnsi="Times New Roman" w:cs="Times New Roman"/>
                <w:bCs/>
                <w:color w:val="auto"/>
                <w:sz w:val="21"/>
                <w:szCs w:val="21"/>
              </w:rPr>
              <w:t>t/a</w:t>
            </w:r>
          </w:p>
        </w:tc>
        <w:tc>
          <w:tcPr>
            <w:tcW w:w="562" w:type="pct"/>
            <w:noWrap w:val="0"/>
            <w:vAlign w:val="center"/>
          </w:tcPr>
          <w:p w14:paraId="301030B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eastAsia" w:ascii="Times New Roman" w:cs="Times New Roman"/>
                <w:bCs/>
                <w:snapToGrid w:val="0"/>
                <w:color w:val="auto"/>
                <w:kern w:val="21"/>
                <w:sz w:val="21"/>
                <w:szCs w:val="21"/>
                <w:lang w:val="en-US" w:eastAsia="zh-CN"/>
              </w:rPr>
              <w:t>3.192</w:t>
            </w:r>
            <w:r>
              <w:rPr>
                <w:rFonts w:hint="default" w:ascii="Times New Roman" w:hAnsi="Times New Roman" w:cs="Times New Roman"/>
                <w:bCs/>
                <w:color w:val="auto"/>
                <w:kern w:val="2"/>
                <w:sz w:val="21"/>
                <w:szCs w:val="21"/>
              </w:rPr>
              <w:t>t/a</w:t>
            </w:r>
          </w:p>
        </w:tc>
        <w:tc>
          <w:tcPr>
            <w:tcW w:w="541" w:type="pct"/>
            <w:noWrap w:val="0"/>
            <w:vAlign w:val="center"/>
          </w:tcPr>
          <w:p w14:paraId="4F8ABC34">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color w:val="auto"/>
                <w:sz w:val="21"/>
                <w:szCs w:val="21"/>
              </w:rPr>
            </w:pPr>
            <w:r>
              <w:rPr>
                <w:rFonts w:hint="eastAsia" w:ascii="Times New Roman" w:cs="Times New Roman"/>
                <w:bCs/>
                <w:snapToGrid w:val="0"/>
                <w:color w:val="auto"/>
                <w:kern w:val="21"/>
                <w:sz w:val="21"/>
                <w:szCs w:val="21"/>
                <w:lang w:val="en-US" w:eastAsia="zh-CN"/>
              </w:rPr>
              <w:t>30</w:t>
            </w:r>
            <w:r>
              <w:rPr>
                <w:rFonts w:hint="default" w:ascii="Times New Roman" w:hAnsi="Times New Roman" w:cs="Times New Roman"/>
                <w:bCs/>
                <w:color w:val="auto"/>
                <w:kern w:val="2"/>
                <w:sz w:val="21"/>
                <w:szCs w:val="21"/>
              </w:rPr>
              <w:t>t/a</w:t>
            </w:r>
          </w:p>
        </w:tc>
        <w:tc>
          <w:tcPr>
            <w:tcW w:w="494" w:type="pct"/>
            <w:noWrap w:val="0"/>
            <w:vAlign w:val="center"/>
          </w:tcPr>
          <w:p w14:paraId="79418DF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eastAsia" w:ascii="Times New Roman" w:hAnsi="Times New Roman" w:cs="Times New Roman"/>
                <w:snapToGrid w:val="0"/>
                <w:color w:val="auto"/>
                <w:kern w:val="21"/>
                <w:sz w:val="21"/>
                <w:szCs w:val="21"/>
              </w:rPr>
              <w:t>+</w:t>
            </w:r>
            <w:r>
              <w:rPr>
                <w:rFonts w:hint="eastAsia" w:cs="Times New Roman"/>
                <w:snapToGrid w:val="0"/>
                <w:color w:val="auto"/>
                <w:kern w:val="21"/>
                <w:sz w:val="21"/>
                <w:szCs w:val="21"/>
                <w:lang w:val="en-US" w:eastAsia="zh-CN"/>
              </w:rPr>
              <w:t>30</w:t>
            </w:r>
            <w:r>
              <w:rPr>
                <w:rFonts w:hint="default" w:ascii="Times New Roman" w:hAnsi="Times New Roman" w:cs="Times New Roman"/>
                <w:bCs/>
                <w:color w:val="auto"/>
                <w:sz w:val="21"/>
                <w:szCs w:val="21"/>
              </w:rPr>
              <w:t>t/a</w:t>
            </w:r>
          </w:p>
        </w:tc>
      </w:tr>
      <w:tr w14:paraId="280481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restart"/>
            <w:noWrap w:val="0"/>
            <w:vAlign w:val="center"/>
          </w:tcPr>
          <w:p w14:paraId="1D82AA5C">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危险废物</w:t>
            </w:r>
          </w:p>
        </w:tc>
        <w:tc>
          <w:tcPr>
            <w:tcW w:w="823" w:type="pct"/>
            <w:noWrap w:val="0"/>
            <w:vAlign w:val="center"/>
          </w:tcPr>
          <w:p w14:paraId="55C1988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空油墨桶</w:t>
            </w:r>
          </w:p>
        </w:tc>
        <w:tc>
          <w:tcPr>
            <w:tcW w:w="500" w:type="pct"/>
            <w:noWrap w:val="0"/>
            <w:vAlign w:val="center"/>
          </w:tcPr>
          <w:p w14:paraId="7DE92AE6">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0.64</w:t>
            </w:r>
            <w:r>
              <w:rPr>
                <w:rFonts w:hint="default" w:ascii="Times New Roman" w:hAnsi="Times New Roman" w:cs="Times New Roman"/>
                <w:bCs/>
                <w:color w:val="auto"/>
                <w:sz w:val="21"/>
                <w:szCs w:val="21"/>
              </w:rPr>
              <w:t>t/a</w:t>
            </w:r>
          </w:p>
        </w:tc>
        <w:tc>
          <w:tcPr>
            <w:tcW w:w="468" w:type="pct"/>
            <w:noWrap w:val="0"/>
            <w:vAlign w:val="center"/>
          </w:tcPr>
          <w:p w14:paraId="6978EF1A">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noWrap w:val="0"/>
            <w:vAlign w:val="center"/>
          </w:tcPr>
          <w:p w14:paraId="3A1C0219">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noWrap w:val="0"/>
            <w:vAlign w:val="center"/>
          </w:tcPr>
          <w:p w14:paraId="356C010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0.4</w:t>
            </w:r>
            <w:r>
              <w:rPr>
                <w:rFonts w:hint="default" w:ascii="Times New Roman" w:hAnsi="Times New Roman" w:cs="Times New Roman"/>
                <w:bCs/>
                <w:color w:val="auto"/>
                <w:sz w:val="21"/>
                <w:szCs w:val="21"/>
              </w:rPr>
              <w:t>t/a</w:t>
            </w:r>
          </w:p>
        </w:tc>
        <w:tc>
          <w:tcPr>
            <w:tcW w:w="562" w:type="pct"/>
            <w:noWrap w:val="0"/>
            <w:vAlign w:val="center"/>
          </w:tcPr>
          <w:p w14:paraId="4986160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0.64</w:t>
            </w:r>
            <w:r>
              <w:rPr>
                <w:rFonts w:hint="default" w:ascii="Times New Roman" w:hAnsi="Times New Roman" w:cs="Times New Roman"/>
                <w:bCs/>
                <w:color w:val="auto"/>
                <w:sz w:val="21"/>
                <w:szCs w:val="21"/>
              </w:rPr>
              <w:t>t/a</w:t>
            </w:r>
          </w:p>
        </w:tc>
        <w:tc>
          <w:tcPr>
            <w:tcW w:w="541" w:type="pct"/>
            <w:noWrap w:val="0"/>
            <w:vAlign w:val="center"/>
          </w:tcPr>
          <w:p w14:paraId="7B57081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0.4</w:t>
            </w:r>
            <w:r>
              <w:rPr>
                <w:rFonts w:hint="default" w:ascii="Times New Roman" w:hAnsi="Times New Roman" w:cs="Times New Roman"/>
                <w:bCs/>
                <w:color w:val="auto"/>
                <w:sz w:val="21"/>
                <w:szCs w:val="21"/>
              </w:rPr>
              <w:t>t/a</w:t>
            </w:r>
          </w:p>
        </w:tc>
        <w:tc>
          <w:tcPr>
            <w:tcW w:w="494" w:type="pct"/>
            <w:noWrap w:val="0"/>
            <w:vAlign w:val="center"/>
          </w:tcPr>
          <w:p w14:paraId="237A0F6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-0.24</w:t>
            </w:r>
            <w:r>
              <w:rPr>
                <w:rFonts w:hint="default" w:ascii="Times New Roman" w:hAnsi="Times New Roman" w:cs="Times New Roman"/>
                <w:bCs/>
                <w:color w:val="auto"/>
                <w:sz w:val="21"/>
                <w:szCs w:val="21"/>
              </w:rPr>
              <w:t>t/a</w:t>
            </w:r>
          </w:p>
        </w:tc>
      </w:tr>
      <w:tr w14:paraId="0628A9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8" w:type="pct"/>
            <w:vMerge w:val="continue"/>
            <w:noWrap w:val="0"/>
            <w:vAlign w:val="center"/>
          </w:tcPr>
          <w:p w14:paraId="6CB54957">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1A7A612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废含油抹布</w:t>
            </w:r>
          </w:p>
        </w:tc>
        <w:tc>
          <w:tcPr>
            <w:tcW w:w="500" w:type="pct"/>
            <w:noWrap w:val="0"/>
            <w:vAlign w:val="center"/>
          </w:tcPr>
          <w:p w14:paraId="0C9AE264">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0.001</w:t>
            </w:r>
            <w:r>
              <w:rPr>
                <w:rFonts w:hint="default" w:ascii="Times New Roman" w:hAnsi="Times New Roman" w:cs="Times New Roman"/>
                <w:bCs/>
                <w:color w:val="auto"/>
                <w:sz w:val="21"/>
                <w:szCs w:val="21"/>
              </w:rPr>
              <w:t>t/a</w:t>
            </w:r>
          </w:p>
        </w:tc>
        <w:tc>
          <w:tcPr>
            <w:tcW w:w="468" w:type="pct"/>
            <w:noWrap w:val="0"/>
            <w:vAlign w:val="center"/>
          </w:tcPr>
          <w:p w14:paraId="44C77B4E">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noWrap w:val="0"/>
            <w:vAlign w:val="center"/>
          </w:tcPr>
          <w:p w14:paraId="368C059D">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noWrap w:val="0"/>
            <w:vAlign w:val="center"/>
          </w:tcPr>
          <w:p w14:paraId="7F3CE00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0.0</w:t>
            </w:r>
            <w:r>
              <w:rPr>
                <w:rFonts w:hint="eastAsia" w:cs="Times New Roman"/>
                <w:color w:val="auto"/>
                <w:sz w:val="21"/>
                <w:szCs w:val="21"/>
                <w:lang w:val="en-US" w:eastAsia="zh-CN"/>
              </w:rPr>
              <w:t>05</w:t>
            </w:r>
            <w:r>
              <w:rPr>
                <w:rFonts w:hint="default" w:ascii="Times New Roman" w:hAnsi="Times New Roman" w:cs="Times New Roman"/>
                <w:bCs/>
                <w:color w:val="auto"/>
                <w:sz w:val="21"/>
                <w:szCs w:val="21"/>
              </w:rPr>
              <w:t>t/a</w:t>
            </w:r>
          </w:p>
        </w:tc>
        <w:tc>
          <w:tcPr>
            <w:tcW w:w="562" w:type="pct"/>
            <w:noWrap w:val="0"/>
            <w:vAlign w:val="center"/>
          </w:tcPr>
          <w:p w14:paraId="7869F18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0.001</w:t>
            </w:r>
            <w:r>
              <w:rPr>
                <w:rFonts w:hint="default" w:ascii="Times New Roman" w:hAnsi="Times New Roman" w:cs="Times New Roman"/>
                <w:bCs/>
                <w:color w:val="auto"/>
                <w:sz w:val="21"/>
                <w:szCs w:val="21"/>
              </w:rPr>
              <w:t>t/a</w:t>
            </w:r>
          </w:p>
        </w:tc>
        <w:tc>
          <w:tcPr>
            <w:tcW w:w="541" w:type="pct"/>
            <w:noWrap w:val="0"/>
            <w:vAlign w:val="center"/>
          </w:tcPr>
          <w:p w14:paraId="0F964D1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0.0</w:t>
            </w:r>
            <w:r>
              <w:rPr>
                <w:rFonts w:hint="eastAsia" w:cs="Times New Roman"/>
                <w:color w:val="auto"/>
                <w:sz w:val="21"/>
                <w:szCs w:val="21"/>
                <w:lang w:val="en-US" w:eastAsia="zh-CN"/>
              </w:rPr>
              <w:t>05</w:t>
            </w:r>
            <w:r>
              <w:rPr>
                <w:rFonts w:hint="default" w:ascii="Times New Roman" w:hAnsi="Times New Roman" w:cs="Times New Roman"/>
                <w:bCs/>
                <w:color w:val="auto"/>
                <w:sz w:val="21"/>
                <w:szCs w:val="21"/>
              </w:rPr>
              <w:t>t/a</w:t>
            </w:r>
          </w:p>
        </w:tc>
        <w:tc>
          <w:tcPr>
            <w:tcW w:w="494" w:type="pct"/>
            <w:noWrap w:val="0"/>
            <w:vAlign w:val="center"/>
          </w:tcPr>
          <w:p w14:paraId="32DDD3E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rPr>
              <w:t>0.0</w:t>
            </w:r>
            <w:r>
              <w:rPr>
                <w:rFonts w:hint="eastAsia" w:cs="Times New Roman"/>
                <w:color w:val="auto"/>
                <w:sz w:val="21"/>
                <w:szCs w:val="21"/>
                <w:lang w:val="en-US" w:eastAsia="zh-CN"/>
              </w:rPr>
              <w:t>04</w:t>
            </w:r>
            <w:r>
              <w:rPr>
                <w:rFonts w:hint="default" w:ascii="Times New Roman" w:hAnsi="Times New Roman" w:cs="Times New Roman"/>
                <w:bCs/>
                <w:color w:val="auto"/>
                <w:sz w:val="21"/>
                <w:szCs w:val="21"/>
              </w:rPr>
              <w:t>t/a</w:t>
            </w:r>
          </w:p>
        </w:tc>
      </w:tr>
      <w:tr w14:paraId="33503B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noWrap w:val="0"/>
            <w:vAlign w:val="center"/>
          </w:tcPr>
          <w:p w14:paraId="4088690E">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16EB562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废污泥</w:t>
            </w:r>
          </w:p>
        </w:tc>
        <w:tc>
          <w:tcPr>
            <w:tcW w:w="500" w:type="pct"/>
            <w:noWrap w:val="0"/>
            <w:vAlign w:val="center"/>
          </w:tcPr>
          <w:p w14:paraId="32DDCCE6">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0.1</w:t>
            </w:r>
            <w:r>
              <w:rPr>
                <w:rFonts w:hint="default" w:ascii="Times New Roman" w:hAnsi="Times New Roman" w:cs="Times New Roman"/>
                <w:bCs/>
                <w:color w:val="auto"/>
                <w:sz w:val="21"/>
                <w:szCs w:val="21"/>
              </w:rPr>
              <w:t>t/a</w:t>
            </w:r>
          </w:p>
        </w:tc>
        <w:tc>
          <w:tcPr>
            <w:tcW w:w="468" w:type="pct"/>
            <w:noWrap w:val="0"/>
            <w:vAlign w:val="center"/>
          </w:tcPr>
          <w:p w14:paraId="193C83A5">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626" w:type="pct"/>
            <w:noWrap w:val="0"/>
            <w:vAlign w:val="center"/>
          </w:tcPr>
          <w:p w14:paraId="5211E2E3">
            <w:pPr>
              <w:keepNext w:val="0"/>
              <w:keepLines w:val="0"/>
              <w:suppressLineNumbers w:val="0"/>
              <w:spacing w:before="0" w:beforeAutospacing="0" w:after="0" w:afterAutospacing="0"/>
              <w:ind w:left="0" w:right="0"/>
              <w:jc w:val="center"/>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w:t>
            </w:r>
          </w:p>
        </w:tc>
        <w:tc>
          <w:tcPr>
            <w:tcW w:w="573" w:type="pct"/>
            <w:noWrap w:val="0"/>
            <w:vAlign w:val="center"/>
          </w:tcPr>
          <w:p w14:paraId="6CE1A3C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0.</w:t>
            </w:r>
            <w:r>
              <w:rPr>
                <w:rFonts w:hint="eastAsia" w:cs="Times New Roman"/>
                <w:bCs/>
                <w:color w:val="auto"/>
                <w:sz w:val="21"/>
                <w:szCs w:val="21"/>
                <w:lang w:val="en-US" w:eastAsia="zh-CN"/>
              </w:rPr>
              <w:t>2</w:t>
            </w:r>
            <w:r>
              <w:rPr>
                <w:rFonts w:hint="default" w:ascii="Times New Roman" w:hAnsi="Times New Roman" w:cs="Times New Roman"/>
                <w:bCs/>
                <w:color w:val="auto"/>
                <w:sz w:val="21"/>
                <w:szCs w:val="21"/>
              </w:rPr>
              <w:t>t/a</w:t>
            </w:r>
          </w:p>
        </w:tc>
        <w:tc>
          <w:tcPr>
            <w:tcW w:w="562" w:type="pct"/>
            <w:noWrap w:val="0"/>
            <w:vAlign w:val="center"/>
          </w:tcPr>
          <w:p w14:paraId="31DEAC6D">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0.1</w:t>
            </w:r>
            <w:r>
              <w:rPr>
                <w:rFonts w:hint="default" w:ascii="Times New Roman" w:hAnsi="Times New Roman" w:cs="Times New Roman"/>
                <w:bCs/>
                <w:color w:val="auto"/>
                <w:sz w:val="21"/>
                <w:szCs w:val="21"/>
              </w:rPr>
              <w:t>t/a</w:t>
            </w:r>
          </w:p>
        </w:tc>
        <w:tc>
          <w:tcPr>
            <w:tcW w:w="541" w:type="pct"/>
            <w:noWrap w:val="0"/>
            <w:vAlign w:val="center"/>
          </w:tcPr>
          <w:p w14:paraId="31218D6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rPr>
              <w:t>0.</w:t>
            </w:r>
            <w:r>
              <w:rPr>
                <w:rFonts w:hint="eastAsia" w:cs="Times New Roman"/>
                <w:bCs/>
                <w:color w:val="auto"/>
                <w:sz w:val="21"/>
                <w:szCs w:val="21"/>
                <w:lang w:val="en-US" w:eastAsia="zh-CN"/>
              </w:rPr>
              <w:t>2</w:t>
            </w:r>
            <w:r>
              <w:rPr>
                <w:rFonts w:hint="default" w:ascii="Times New Roman" w:hAnsi="Times New Roman" w:cs="Times New Roman"/>
                <w:bCs/>
                <w:color w:val="auto"/>
                <w:sz w:val="21"/>
                <w:szCs w:val="21"/>
              </w:rPr>
              <w:t>t/a</w:t>
            </w:r>
          </w:p>
        </w:tc>
        <w:tc>
          <w:tcPr>
            <w:tcW w:w="494" w:type="pct"/>
            <w:noWrap w:val="0"/>
            <w:vAlign w:val="center"/>
          </w:tcPr>
          <w:p w14:paraId="7B844F11">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lang w:val="en-US" w:eastAsia="zh-CN"/>
              </w:rPr>
              <w:t>+</w:t>
            </w:r>
            <w:r>
              <w:rPr>
                <w:rFonts w:hint="default" w:ascii="Times New Roman" w:hAnsi="Times New Roman" w:cs="Times New Roman"/>
                <w:bCs/>
                <w:color w:val="auto"/>
                <w:sz w:val="21"/>
                <w:szCs w:val="21"/>
              </w:rPr>
              <w:t>0.</w:t>
            </w:r>
            <w:r>
              <w:rPr>
                <w:rFonts w:hint="eastAsia" w:cs="Times New Roman"/>
                <w:bCs/>
                <w:color w:val="auto"/>
                <w:sz w:val="21"/>
                <w:szCs w:val="21"/>
                <w:lang w:val="en-US" w:eastAsia="zh-CN"/>
              </w:rPr>
              <w:t>1</w:t>
            </w:r>
            <w:r>
              <w:rPr>
                <w:rFonts w:hint="default" w:ascii="Times New Roman" w:hAnsi="Times New Roman" w:cs="Times New Roman"/>
                <w:bCs/>
                <w:color w:val="auto"/>
                <w:sz w:val="21"/>
                <w:szCs w:val="21"/>
              </w:rPr>
              <w:t>t/a</w:t>
            </w:r>
          </w:p>
        </w:tc>
      </w:tr>
      <w:tr w14:paraId="7CD1F2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noWrap w:val="0"/>
            <w:vAlign w:val="center"/>
          </w:tcPr>
          <w:p w14:paraId="305D4CCC">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64C99827">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废空胶桶</w:t>
            </w:r>
          </w:p>
        </w:tc>
        <w:tc>
          <w:tcPr>
            <w:tcW w:w="500" w:type="pct"/>
            <w:noWrap w:val="0"/>
            <w:vAlign w:val="center"/>
          </w:tcPr>
          <w:p w14:paraId="12CB00E2">
            <w:pPr>
              <w:pStyle w:val="53"/>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w:t>
            </w:r>
          </w:p>
        </w:tc>
        <w:tc>
          <w:tcPr>
            <w:tcW w:w="468" w:type="pct"/>
            <w:noWrap w:val="0"/>
            <w:vAlign w:val="center"/>
          </w:tcPr>
          <w:p w14:paraId="66BE550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53D6A41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58C1323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rPr>
              <w:t>0.</w:t>
            </w:r>
            <w:r>
              <w:rPr>
                <w:rFonts w:hint="eastAsia" w:cs="Times New Roman"/>
                <w:bCs/>
                <w:color w:val="auto"/>
                <w:sz w:val="21"/>
                <w:szCs w:val="21"/>
                <w:lang w:val="en-US" w:eastAsia="zh-CN"/>
              </w:rPr>
              <w:t>05</w:t>
            </w:r>
            <w:r>
              <w:rPr>
                <w:rFonts w:hint="default" w:ascii="Times New Roman" w:hAnsi="Times New Roman" w:cs="Times New Roman"/>
                <w:bCs/>
                <w:color w:val="auto"/>
                <w:sz w:val="21"/>
                <w:szCs w:val="21"/>
              </w:rPr>
              <w:t>t/a</w:t>
            </w:r>
          </w:p>
        </w:tc>
        <w:tc>
          <w:tcPr>
            <w:tcW w:w="562" w:type="pct"/>
            <w:noWrap w:val="0"/>
            <w:vAlign w:val="center"/>
          </w:tcPr>
          <w:p w14:paraId="17512874">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w:t>
            </w:r>
          </w:p>
        </w:tc>
        <w:tc>
          <w:tcPr>
            <w:tcW w:w="541" w:type="pct"/>
            <w:noWrap w:val="0"/>
            <w:vAlign w:val="center"/>
          </w:tcPr>
          <w:p w14:paraId="0AF0AD5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rPr>
              <w:t>0.</w:t>
            </w:r>
            <w:r>
              <w:rPr>
                <w:rFonts w:hint="eastAsia" w:cs="Times New Roman"/>
                <w:bCs/>
                <w:color w:val="auto"/>
                <w:sz w:val="21"/>
                <w:szCs w:val="21"/>
                <w:lang w:val="en-US" w:eastAsia="zh-CN"/>
              </w:rPr>
              <w:t>05</w:t>
            </w:r>
            <w:r>
              <w:rPr>
                <w:rFonts w:hint="default" w:ascii="Times New Roman" w:hAnsi="Times New Roman" w:cs="Times New Roman"/>
                <w:bCs/>
                <w:color w:val="auto"/>
                <w:sz w:val="21"/>
                <w:szCs w:val="21"/>
              </w:rPr>
              <w:t>t/a</w:t>
            </w:r>
          </w:p>
        </w:tc>
        <w:tc>
          <w:tcPr>
            <w:tcW w:w="494" w:type="pct"/>
            <w:noWrap w:val="0"/>
            <w:vAlign w:val="center"/>
          </w:tcPr>
          <w:p w14:paraId="04D44472">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cs="Times New Roman"/>
                <w:bCs/>
                <w:color w:val="auto"/>
                <w:sz w:val="21"/>
                <w:szCs w:val="21"/>
                <w:lang w:val="en-US" w:eastAsia="zh-CN"/>
              </w:rPr>
              <w:t>+</w:t>
            </w:r>
            <w:r>
              <w:rPr>
                <w:rFonts w:hint="eastAsia" w:ascii="Times New Roman" w:hAnsi="Times New Roman" w:cs="Times New Roman"/>
                <w:bCs/>
                <w:color w:val="auto"/>
                <w:sz w:val="21"/>
                <w:szCs w:val="21"/>
              </w:rPr>
              <w:t>0.</w:t>
            </w:r>
            <w:r>
              <w:rPr>
                <w:rFonts w:hint="eastAsia" w:cs="Times New Roman"/>
                <w:bCs/>
                <w:color w:val="auto"/>
                <w:sz w:val="21"/>
                <w:szCs w:val="21"/>
                <w:lang w:val="en-US" w:eastAsia="zh-CN"/>
              </w:rPr>
              <w:t>05</w:t>
            </w:r>
            <w:r>
              <w:rPr>
                <w:rFonts w:hint="default" w:ascii="Times New Roman" w:hAnsi="Times New Roman" w:cs="Times New Roman"/>
                <w:bCs/>
                <w:color w:val="auto"/>
                <w:sz w:val="21"/>
                <w:szCs w:val="21"/>
              </w:rPr>
              <w:t>t/a</w:t>
            </w:r>
          </w:p>
        </w:tc>
      </w:tr>
      <w:tr w14:paraId="6920BD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noWrap w:val="0"/>
            <w:vAlign w:val="center"/>
          </w:tcPr>
          <w:p w14:paraId="76E38D4D">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3042C6C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废机油</w:t>
            </w:r>
          </w:p>
        </w:tc>
        <w:tc>
          <w:tcPr>
            <w:tcW w:w="500" w:type="pct"/>
            <w:noWrap w:val="0"/>
            <w:vAlign w:val="center"/>
          </w:tcPr>
          <w:p w14:paraId="4117BE3D">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0.1</w:t>
            </w:r>
            <w:r>
              <w:rPr>
                <w:rFonts w:hint="default" w:ascii="Times New Roman" w:hAnsi="Times New Roman" w:cs="Times New Roman"/>
                <w:bCs/>
                <w:color w:val="auto"/>
                <w:sz w:val="21"/>
                <w:szCs w:val="21"/>
              </w:rPr>
              <w:t>t/a</w:t>
            </w:r>
          </w:p>
        </w:tc>
        <w:tc>
          <w:tcPr>
            <w:tcW w:w="468" w:type="pct"/>
            <w:noWrap w:val="0"/>
            <w:vAlign w:val="center"/>
          </w:tcPr>
          <w:p w14:paraId="0444F6D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6576AA4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59AE683C">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0.</w:t>
            </w:r>
            <w:r>
              <w:rPr>
                <w:rFonts w:hint="eastAsia" w:cs="Times New Roman"/>
                <w:color w:val="auto"/>
                <w:sz w:val="21"/>
                <w:szCs w:val="21"/>
                <w:lang w:val="en-US" w:eastAsia="zh-CN"/>
              </w:rPr>
              <w:t>2</w:t>
            </w:r>
            <w:r>
              <w:rPr>
                <w:rFonts w:hint="default" w:ascii="Times New Roman" w:hAnsi="Times New Roman" w:cs="Times New Roman"/>
                <w:bCs/>
                <w:color w:val="auto"/>
                <w:sz w:val="21"/>
                <w:szCs w:val="21"/>
              </w:rPr>
              <w:t>t/a</w:t>
            </w:r>
          </w:p>
        </w:tc>
        <w:tc>
          <w:tcPr>
            <w:tcW w:w="562" w:type="pct"/>
            <w:noWrap w:val="0"/>
            <w:vAlign w:val="center"/>
          </w:tcPr>
          <w:p w14:paraId="0CF0953D">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0.1</w:t>
            </w:r>
            <w:r>
              <w:rPr>
                <w:rFonts w:hint="default" w:ascii="Times New Roman" w:hAnsi="Times New Roman" w:cs="Times New Roman"/>
                <w:bCs/>
                <w:color w:val="auto"/>
                <w:sz w:val="21"/>
                <w:szCs w:val="21"/>
              </w:rPr>
              <w:t>t/a</w:t>
            </w:r>
          </w:p>
        </w:tc>
        <w:tc>
          <w:tcPr>
            <w:tcW w:w="541" w:type="pct"/>
            <w:noWrap w:val="0"/>
            <w:vAlign w:val="center"/>
          </w:tcPr>
          <w:p w14:paraId="0875DB7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0.</w:t>
            </w:r>
            <w:r>
              <w:rPr>
                <w:rFonts w:hint="eastAsia" w:cs="Times New Roman"/>
                <w:color w:val="auto"/>
                <w:sz w:val="21"/>
                <w:szCs w:val="21"/>
                <w:lang w:val="en-US" w:eastAsia="zh-CN"/>
              </w:rPr>
              <w:t>2</w:t>
            </w:r>
            <w:r>
              <w:rPr>
                <w:rFonts w:hint="default" w:ascii="Times New Roman" w:hAnsi="Times New Roman" w:cs="Times New Roman"/>
                <w:bCs/>
                <w:color w:val="auto"/>
                <w:sz w:val="21"/>
                <w:szCs w:val="21"/>
              </w:rPr>
              <w:t>t/a</w:t>
            </w:r>
          </w:p>
        </w:tc>
        <w:tc>
          <w:tcPr>
            <w:tcW w:w="494" w:type="pct"/>
            <w:noWrap w:val="0"/>
            <w:vAlign w:val="center"/>
          </w:tcPr>
          <w:p w14:paraId="76C8DEE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0.</w:t>
            </w:r>
            <w:r>
              <w:rPr>
                <w:rFonts w:hint="eastAsia" w:cs="Times New Roman"/>
                <w:color w:val="auto"/>
                <w:sz w:val="21"/>
                <w:szCs w:val="21"/>
                <w:lang w:val="en-US" w:eastAsia="zh-CN"/>
              </w:rPr>
              <w:t>1</w:t>
            </w:r>
            <w:r>
              <w:rPr>
                <w:rFonts w:hint="default" w:ascii="Times New Roman" w:hAnsi="Times New Roman" w:cs="Times New Roman"/>
                <w:bCs/>
                <w:color w:val="auto"/>
                <w:sz w:val="21"/>
                <w:szCs w:val="21"/>
              </w:rPr>
              <w:t>t/a</w:t>
            </w:r>
          </w:p>
        </w:tc>
      </w:tr>
      <w:tr w14:paraId="013380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noWrap w:val="0"/>
            <w:vAlign w:val="center"/>
          </w:tcPr>
          <w:p w14:paraId="7F3FA143">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3ADC948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废显影液</w:t>
            </w:r>
          </w:p>
        </w:tc>
        <w:tc>
          <w:tcPr>
            <w:tcW w:w="500" w:type="pct"/>
            <w:noWrap w:val="0"/>
            <w:vAlign w:val="center"/>
          </w:tcPr>
          <w:p w14:paraId="638D47DB">
            <w:pPr>
              <w:pStyle w:val="53"/>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w:t>
            </w:r>
          </w:p>
        </w:tc>
        <w:tc>
          <w:tcPr>
            <w:tcW w:w="468" w:type="pct"/>
            <w:noWrap w:val="0"/>
            <w:vAlign w:val="center"/>
          </w:tcPr>
          <w:p w14:paraId="04C01FC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55DABD9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4509E9A1">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0.15</w:t>
            </w:r>
            <w:r>
              <w:rPr>
                <w:rFonts w:hint="default" w:ascii="Times New Roman" w:hAnsi="Times New Roman" w:cs="Times New Roman"/>
                <w:bCs/>
                <w:color w:val="auto"/>
                <w:sz w:val="21"/>
                <w:szCs w:val="21"/>
              </w:rPr>
              <w:t>t/a</w:t>
            </w:r>
          </w:p>
        </w:tc>
        <w:tc>
          <w:tcPr>
            <w:tcW w:w="562" w:type="pct"/>
            <w:noWrap w:val="0"/>
            <w:vAlign w:val="center"/>
          </w:tcPr>
          <w:p w14:paraId="5140CCE3">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w:t>
            </w:r>
          </w:p>
        </w:tc>
        <w:tc>
          <w:tcPr>
            <w:tcW w:w="541" w:type="pct"/>
            <w:noWrap w:val="0"/>
            <w:vAlign w:val="center"/>
          </w:tcPr>
          <w:p w14:paraId="7D199E03">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0.15</w:t>
            </w:r>
            <w:r>
              <w:rPr>
                <w:rFonts w:hint="default" w:ascii="Times New Roman" w:hAnsi="Times New Roman" w:cs="Times New Roman"/>
                <w:bCs/>
                <w:color w:val="auto"/>
                <w:sz w:val="21"/>
                <w:szCs w:val="21"/>
              </w:rPr>
              <w:t>t/a</w:t>
            </w:r>
          </w:p>
        </w:tc>
        <w:tc>
          <w:tcPr>
            <w:tcW w:w="494" w:type="pct"/>
            <w:noWrap w:val="0"/>
            <w:vAlign w:val="center"/>
          </w:tcPr>
          <w:p w14:paraId="7BD3932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+0.15</w:t>
            </w:r>
            <w:r>
              <w:rPr>
                <w:rFonts w:hint="default" w:ascii="Times New Roman" w:hAnsi="Times New Roman" w:cs="Times New Roman"/>
                <w:bCs/>
                <w:color w:val="auto"/>
                <w:sz w:val="21"/>
                <w:szCs w:val="21"/>
              </w:rPr>
              <w:t>t/a</w:t>
            </w:r>
          </w:p>
        </w:tc>
      </w:tr>
      <w:tr w14:paraId="125B86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noWrap w:val="0"/>
            <w:vAlign w:val="center"/>
          </w:tcPr>
          <w:p w14:paraId="0BBC8EED">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65787510">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废定影液</w:t>
            </w:r>
          </w:p>
        </w:tc>
        <w:tc>
          <w:tcPr>
            <w:tcW w:w="500" w:type="pct"/>
            <w:noWrap w:val="0"/>
            <w:vAlign w:val="center"/>
          </w:tcPr>
          <w:p w14:paraId="0362C6EF">
            <w:pPr>
              <w:pStyle w:val="53"/>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w:t>
            </w:r>
          </w:p>
        </w:tc>
        <w:tc>
          <w:tcPr>
            <w:tcW w:w="468" w:type="pct"/>
            <w:noWrap w:val="0"/>
            <w:vAlign w:val="center"/>
          </w:tcPr>
          <w:p w14:paraId="371195B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4368CCE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72091C3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0.15</w:t>
            </w:r>
            <w:r>
              <w:rPr>
                <w:rFonts w:hint="default" w:ascii="Times New Roman" w:hAnsi="Times New Roman" w:cs="Times New Roman"/>
                <w:bCs/>
                <w:color w:val="auto"/>
                <w:sz w:val="21"/>
                <w:szCs w:val="21"/>
              </w:rPr>
              <w:t>t/a</w:t>
            </w:r>
          </w:p>
        </w:tc>
        <w:tc>
          <w:tcPr>
            <w:tcW w:w="562" w:type="pct"/>
            <w:noWrap w:val="0"/>
            <w:vAlign w:val="center"/>
          </w:tcPr>
          <w:p w14:paraId="0FBC9BA1">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w:t>
            </w:r>
          </w:p>
        </w:tc>
        <w:tc>
          <w:tcPr>
            <w:tcW w:w="541" w:type="pct"/>
            <w:noWrap w:val="0"/>
            <w:vAlign w:val="center"/>
          </w:tcPr>
          <w:p w14:paraId="0C818AE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0.15</w:t>
            </w:r>
            <w:r>
              <w:rPr>
                <w:rFonts w:hint="default" w:ascii="Times New Roman" w:hAnsi="Times New Roman" w:cs="Times New Roman"/>
                <w:bCs/>
                <w:color w:val="auto"/>
                <w:sz w:val="21"/>
                <w:szCs w:val="21"/>
              </w:rPr>
              <w:t>t/a</w:t>
            </w:r>
          </w:p>
        </w:tc>
        <w:tc>
          <w:tcPr>
            <w:tcW w:w="494" w:type="pct"/>
            <w:noWrap w:val="0"/>
            <w:vAlign w:val="center"/>
          </w:tcPr>
          <w:p w14:paraId="6CAD053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+0.15</w:t>
            </w:r>
            <w:r>
              <w:rPr>
                <w:rFonts w:hint="default" w:ascii="Times New Roman" w:hAnsi="Times New Roman" w:cs="Times New Roman"/>
                <w:bCs/>
                <w:color w:val="auto"/>
                <w:sz w:val="21"/>
                <w:szCs w:val="21"/>
              </w:rPr>
              <w:t>t/a</w:t>
            </w:r>
          </w:p>
        </w:tc>
      </w:tr>
      <w:tr w14:paraId="0CA0B2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noWrap w:val="0"/>
            <w:vAlign w:val="center"/>
          </w:tcPr>
          <w:p w14:paraId="0FB5871E">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34B42DB2">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废活性炭</w:t>
            </w:r>
          </w:p>
        </w:tc>
        <w:tc>
          <w:tcPr>
            <w:tcW w:w="500" w:type="pct"/>
            <w:noWrap w:val="0"/>
            <w:vAlign w:val="center"/>
          </w:tcPr>
          <w:p w14:paraId="55AEADFE">
            <w:pPr>
              <w:pStyle w:val="53"/>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w:t>
            </w:r>
          </w:p>
        </w:tc>
        <w:tc>
          <w:tcPr>
            <w:tcW w:w="468" w:type="pct"/>
            <w:noWrap w:val="0"/>
            <w:vAlign w:val="center"/>
          </w:tcPr>
          <w:p w14:paraId="581B564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54C5EFA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0C4D0032">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10.29</w:t>
            </w:r>
            <w:r>
              <w:rPr>
                <w:rFonts w:hint="default" w:ascii="Times New Roman" w:hAnsi="Times New Roman" w:cs="Times New Roman"/>
                <w:bCs/>
                <w:color w:val="auto"/>
                <w:sz w:val="21"/>
                <w:szCs w:val="21"/>
              </w:rPr>
              <w:t>t/a</w:t>
            </w:r>
          </w:p>
        </w:tc>
        <w:tc>
          <w:tcPr>
            <w:tcW w:w="562" w:type="pct"/>
            <w:noWrap w:val="0"/>
            <w:vAlign w:val="center"/>
          </w:tcPr>
          <w:p w14:paraId="7BF95530">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w:t>
            </w:r>
          </w:p>
        </w:tc>
        <w:tc>
          <w:tcPr>
            <w:tcW w:w="541" w:type="pct"/>
            <w:noWrap w:val="0"/>
            <w:vAlign w:val="center"/>
          </w:tcPr>
          <w:p w14:paraId="7CA7B48D">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10.29</w:t>
            </w:r>
            <w:r>
              <w:rPr>
                <w:rFonts w:hint="default" w:ascii="Times New Roman" w:hAnsi="Times New Roman" w:cs="Times New Roman"/>
                <w:bCs/>
                <w:color w:val="auto"/>
                <w:sz w:val="21"/>
                <w:szCs w:val="21"/>
              </w:rPr>
              <w:t>t/a</w:t>
            </w:r>
          </w:p>
        </w:tc>
        <w:tc>
          <w:tcPr>
            <w:tcW w:w="494" w:type="pct"/>
            <w:noWrap w:val="0"/>
            <w:vAlign w:val="center"/>
          </w:tcPr>
          <w:p w14:paraId="025711D1">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+10.29</w:t>
            </w:r>
            <w:r>
              <w:rPr>
                <w:rFonts w:hint="default" w:ascii="Times New Roman" w:hAnsi="Times New Roman" w:cs="Times New Roman"/>
                <w:bCs/>
                <w:color w:val="auto"/>
                <w:sz w:val="21"/>
                <w:szCs w:val="21"/>
              </w:rPr>
              <w:t>t/a</w:t>
            </w:r>
          </w:p>
        </w:tc>
      </w:tr>
      <w:tr w14:paraId="60D2AF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noWrap w:val="0"/>
            <w:vAlign w:val="center"/>
          </w:tcPr>
          <w:p w14:paraId="3DCA7013">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41F2228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废擦机布</w:t>
            </w:r>
          </w:p>
        </w:tc>
        <w:tc>
          <w:tcPr>
            <w:tcW w:w="500" w:type="pct"/>
            <w:noWrap w:val="0"/>
            <w:vAlign w:val="center"/>
          </w:tcPr>
          <w:p w14:paraId="28CC4186">
            <w:pPr>
              <w:pStyle w:val="53"/>
              <w:keepNext w:val="0"/>
              <w:keepLines w:val="0"/>
              <w:suppressLineNumbers w:val="0"/>
              <w:spacing w:before="0" w:beforeLines="0" w:beforeAutospacing="0" w:after="0" w:afterLines="0" w:afterAutospacing="0" w:line="240" w:lineRule="auto"/>
              <w:ind w:left="0" w:right="0"/>
              <w:rPr>
                <w:rFonts w:hint="eastAsia" w:ascii="Times New Roman"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0.2</w:t>
            </w:r>
            <w:r>
              <w:rPr>
                <w:rFonts w:hint="default" w:ascii="Times New Roman" w:hAnsi="Times New Roman" w:cs="Times New Roman"/>
                <w:bCs/>
                <w:color w:val="auto"/>
                <w:sz w:val="21"/>
                <w:szCs w:val="21"/>
              </w:rPr>
              <w:t>t/a</w:t>
            </w:r>
          </w:p>
        </w:tc>
        <w:tc>
          <w:tcPr>
            <w:tcW w:w="468" w:type="pct"/>
            <w:noWrap w:val="0"/>
            <w:vAlign w:val="center"/>
          </w:tcPr>
          <w:p w14:paraId="0D979BD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2A4D6CA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0847CD92">
            <w:pPr>
              <w:keepNext w:val="0"/>
              <w:keepLines w:val="0"/>
              <w:suppressLineNumbers w:val="0"/>
              <w:spacing w:before="0" w:beforeAutospacing="0" w:after="0" w:afterAutospacing="0"/>
              <w:ind w:left="0" w:leftChars="0" w:right="0" w:rightChars="0"/>
              <w:jc w:val="center"/>
              <w:rPr>
                <w:rFonts w:hint="eastAsia" w:cs="Times New Roman"/>
                <w:color w:val="auto"/>
                <w:sz w:val="21"/>
                <w:szCs w:val="21"/>
                <w:lang w:val="en-US" w:eastAsia="zh-CN"/>
              </w:rPr>
            </w:pPr>
            <w:r>
              <w:rPr>
                <w:rFonts w:hint="default" w:ascii="Times New Roman" w:hAnsi="Times New Roman" w:cs="Times New Roman"/>
                <w:color w:val="auto"/>
                <w:sz w:val="21"/>
                <w:szCs w:val="21"/>
              </w:rPr>
              <w:t>0.</w:t>
            </w:r>
            <w:r>
              <w:rPr>
                <w:rFonts w:hint="eastAsia" w:cs="Times New Roman"/>
                <w:color w:val="auto"/>
                <w:sz w:val="21"/>
                <w:szCs w:val="21"/>
                <w:lang w:val="en-US" w:eastAsia="zh-CN"/>
              </w:rPr>
              <w:t>55</w:t>
            </w:r>
            <w:r>
              <w:rPr>
                <w:rFonts w:hint="default" w:ascii="Times New Roman" w:hAnsi="Times New Roman" w:cs="Times New Roman"/>
                <w:bCs/>
                <w:color w:val="auto"/>
                <w:sz w:val="21"/>
                <w:szCs w:val="21"/>
              </w:rPr>
              <w:t>t/a</w:t>
            </w:r>
          </w:p>
        </w:tc>
        <w:tc>
          <w:tcPr>
            <w:tcW w:w="562" w:type="pct"/>
            <w:noWrap w:val="0"/>
            <w:vAlign w:val="center"/>
          </w:tcPr>
          <w:p w14:paraId="05E10A97">
            <w:pPr>
              <w:keepNext w:val="0"/>
              <w:keepLines w:val="0"/>
              <w:suppressLineNumbers w:val="0"/>
              <w:spacing w:before="0" w:beforeAutospacing="0" w:after="0" w:afterAutospacing="0"/>
              <w:ind w:left="0" w:right="0"/>
              <w:jc w:val="center"/>
              <w:rPr>
                <w:rFonts w:hint="eastAsia"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0.2</w:t>
            </w:r>
            <w:r>
              <w:rPr>
                <w:rFonts w:hint="default" w:ascii="Times New Roman" w:hAnsi="Times New Roman" w:cs="Times New Roman"/>
                <w:bCs/>
                <w:color w:val="auto"/>
                <w:sz w:val="21"/>
                <w:szCs w:val="21"/>
              </w:rPr>
              <w:t>t/a</w:t>
            </w:r>
          </w:p>
        </w:tc>
        <w:tc>
          <w:tcPr>
            <w:tcW w:w="541" w:type="pct"/>
            <w:noWrap w:val="0"/>
            <w:vAlign w:val="center"/>
          </w:tcPr>
          <w:p w14:paraId="33401E84">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0.</w:t>
            </w:r>
            <w:r>
              <w:rPr>
                <w:rFonts w:hint="eastAsia" w:cs="Times New Roman"/>
                <w:color w:val="auto"/>
                <w:sz w:val="21"/>
                <w:szCs w:val="21"/>
                <w:lang w:val="en-US" w:eastAsia="zh-CN"/>
              </w:rPr>
              <w:t>55</w:t>
            </w:r>
            <w:r>
              <w:rPr>
                <w:rFonts w:hint="default" w:ascii="Times New Roman" w:hAnsi="Times New Roman" w:cs="Times New Roman"/>
                <w:bCs/>
                <w:color w:val="auto"/>
                <w:sz w:val="21"/>
                <w:szCs w:val="21"/>
              </w:rPr>
              <w:t>t/a</w:t>
            </w:r>
          </w:p>
        </w:tc>
        <w:tc>
          <w:tcPr>
            <w:tcW w:w="494" w:type="pct"/>
            <w:noWrap w:val="0"/>
            <w:vAlign w:val="center"/>
          </w:tcPr>
          <w:p w14:paraId="5AFB176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+0.35</w:t>
            </w:r>
            <w:r>
              <w:rPr>
                <w:rFonts w:hint="default" w:ascii="Times New Roman" w:hAnsi="Times New Roman" w:cs="Times New Roman"/>
                <w:bCs/>
                <w:color w:val="auto"/>
                <w:sz w:val="21"/>
                <w:szCs w:val="21"/>
              </w:rPr>
              <w:t>t/a</w:t>
            </w:r>
          </w:p>
        </w:tc>
      </w:tr>
      <w:tr w14:paraId="6FC3D2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noWrap w:val="0"/>
            <w:vAlign w:val="center"/>
          </w:tcPr>
          <w:p w14:paraId="00EA7388">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7F7ECDC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废清洗剂</w:t>
            </w:r>
          </w:p>
        </w:tc>
        <w:tc>
          <w:tcPr>
            <w:tcW w:w="500" w:type="pct"/>
            <w:noWrap w:val="0"/>
            <w:vAlign w:val="center"/>
          </w:tcPr>
          <w:p w14:paraId="70B92A02">
            <w:pPr>
              <w:pStyle w:val="53"/>
              <w:keepNext w:val="0"/>
              <w:keepLines w:val="0"/>
              <w:suppressLineNumbers w:val="0"/>
              <w:spacing w:before="0" w:beforeLines="0" w:beforeAutospacing="0" w:after="0" w:afterLines="0" w:afterAutospacing="0" w:line="240" w:lineRule="auto"/>
              <w:ind w:left="0" w:right="0"/>
              <w:rPr>
                <w:rFonts w:hint="default" w:ascii="Times New Roman"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w:t>
            </w:r>
          </w:p>
        </w:tc>
        <w:tc>
          <w:tcPr>
            <w:tcW w:w="468" w:type="pct"/>
            <w:noWrap w:val="0"/>
            <w:vAlign w:val="center"/>
          </w:tcPr>
          <w:p w14:paraId="13C40B8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626" w:type="pct"/>
            <w:noWrap w:val="0"/>
            <w:vAlign w:val="center"/>
          </w:tcPr>
          <w:p w14:paraId="7E450A3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lang w:val="en-US" w:eastAsia="zh-CN" w:bidi="ar-SA"/>
              </w:rPr>
            </w:pPr>
            <w:r>
              <w:rPr>
                <w:rFonts w:hint="default" w:ascii="Times New Roman" w:hAnsi="Times New Roman" w:cs="Times New Roman"/>
                <w:snapToGrid w:val="0"/>
                <w:color w:val="auto"/>
                <w:kern w:val="21"/>
                <w:sz w:val="21"/>
                <w:szCs w:val="21"/>
              </w:rPr>
              <w:t>/</w:t>
            </w:r>
          </w:p>
        </w:tc>
        <w:tc>
          <w:tcPr>
            <w:tcW w:w="573" w:type="pct"/>
            <w:noWrap w:val="0"/>
            <w:vAlign w:val="center"/>
          </w:tcPr>
          <w:p w14:paraId="321C6512">
            <w:pPr>
              <w:keepNext w:val="0"/>
              <w:keepLines w:val="0"/>
              <w:suppressLineNumbers w:val="0"/>
              <w:spacing w:before="0" w:beforeAutospacing="0" w:after="0" w:afterAutospacing="0"/>
              <w:ind w:left="0" w:leftChars="0" w:right="0" w:rightChars="0"/>
              <w:jc w:val="center"/>
              <w:rPr>
                <w:rFonts w:hint="eastAsia" w:cs="Times New Roman"/>
                <w:color w:val="auto"/>
                <w:sz w:val="21"/>
                <w:szCs w:val="21"/>
                <w:lang w:val="en-US" w:eastAsia="zh-CN"/>
              </w:rPr>
            </w:pPr>
            <w:r>
              <w:rPr>
                <w:rFonts w:hint="default" w:ascii="Times New Roman" w:hAnsi="Times New Roman" w:cs="Times New Roman"/>
                <w:color w:val="auto"/>
                <w:sz w:val="21"/>
                <w:szCs w:val="21"/>
              </w:rPr>
              <w:t>0.</w:t>
            </w:r>
            <w:r>
              <w:rPr>
                <w:rFonts w:hint="eastAsia" w:cs="Times New Roman"/>
                <w:color w:val="auto"/>
                <w:sz w:val="21"/>
                <w:szCs w:val="21"/>
                <w:lang w:val="en-US" w:eastAsia="zh-CN"/>
              </w:rPr>
              <w:t>5</w:t>
            </w:r>
            <w:r>
              <w:rPr>
                <w:rFonts w:hint="default" w:ascii="Times New Roman" w:hAnsi="Times New Roman" w:cs="Times New Roman"/>
                <w:bCs/>
                <w:color w:val="auto"/>
                <w:sz w:val="21"/>
                <w:szCs w:val="21"/>
              </w:rPr>
              <w:t>t/a</w:t>
            </w:r>
          </w:p>
        </w:tc>
        <w:tc>
          <w:tcPr>
            <w:tcW w:w="562" w:type="pct"/>
            <w:noWrap w:val="0"/>
            <w:vAlign w:val="center"/>
          </w:tcPr>
          <w:p w14:paraId="4AAD5EDF">
            <w:pPr>
              <w:keepNext w:val="0"/>
              <w:keepLines w:val="0"/>
              <w:suppressLineNumbers w:val="0"/>
              <w:spacing w:before="0" w:beforeAutospacing="0" w:after="0" w:afterAutospacing="0"/>
              <w:ind w:left="0" w:right="0"/>
              <w:jc w:val="center"/>
              <w:rPr>
                <w:rFonts w:hint="default"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w:t>
            </w:r>
          </w:p>
        </w:tc>
        <w:tc>
          <w:tcPr>
            <w:tcW w:w="541" w:type="pct"/>
            <w:noWrap w:val="0"/>
            <w:vAlign w:val="center"/>
          </w:tcPr>
          <w:p w14:paraId="341EA93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0.</w:t>
            </w:r>
            <w:r>
              <w:rPr>
                <w:rFonts w:hint="eastAsia" w:cs="Times New Roman"/>
                <w:color w:val="auto"/>
                <w:sz w:val="21"/>
                <w:szCs w:val="21"/>
                <w:lang w:val="en-US" w:eastAsia="zh-CN"/>
              </w:rPr>
              <w:t>5</w:t>
            </w:r>
            <w:r>
              <w:rPr>
                <w:rFonts w:hint="default" w:ascii="Times New Roman" w:hAnsi="Times New Roman" w:cs="Times New Roman"/>
                <w:bCs/>
                <w:color w:val="auto"/>
                <w:sz w:val="21"/>
                <w:szCs w:val="21"/>
              </w:rPr>
              <w:t>t/a</w:t>
            </w:r>
          </w:p>
        </w:tc>
        <w:tc>
          <w:tcPr>
            <w:tcW w:w="494" w:type="pct"/>
            <w:noWrap w:val="0"/>
            <w:vAlign w:val="center"/>
          </w:tcPr>
          <w:p w14:paraId="0671FA95">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+0.5</w:t>
            </w:r>
            <w:r>
              <w:rPr>
                <w:rFonts w:hint="default" w:ascii="Times New Roman" w:hAnsi="Times New Roman" w:cs="Times New Roman"/>
                <w:bCs/>
                <w:color w:val="auto"/>
                <w:sz w:val="21"/>
                <w:szCs w:val="21"/>
              </w:rPr>
              <w:t>t/a</w:t>
            </w:r>
          </w:p>
        </w:tc>
      </w:tr>
      <w:tr w14:paraId="7E12EE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408" w:type="pct"/>
            <w:vMerge w:val="continue"/>
            <w:noWrap w:val="0"/>
            <w:vAlign w:val="center"/>
          </w:tcPr>
          <w:p w14:paraId="79D38548">
            <w:pPr>
              <w:pStyle w:val="53"/>
              <w:keepNext w:val="0"/>
              <w:keepLines w:val="0"/>
              <w:suppressLineNumbers w:val="0"/>
              <w:spacing w:before="0" w:beforeLines="0" w:beforeAutospacing="0" w:after="0" w:afterLines="0" w:afterAutospacing="0" w:line="240" w:lineRule="auto"/>
              <w:ind w:left="0" w:right="0"/>
              <w:rPr>
                <w:rFonts w:hint="default" w:ascii="Times New Roman" w:hAnsi="Times New Roman" w:cs="Times New Roman"/>
                <w:snapToGrid w:val="0"/>
                <w:color w:val="auto"/>
                <w:kern w:val="21"/>
                <w:sz w:val="21"/>
                <w:szCs w:val="21"/>
              </w:rPr>
            </w:pPr>
          </w:p>
        </w:tc>
        <w:tc>
          <w:tcPr>
            <w:tcW w:w="823" w:type="pct"/>
            <w:noWrap w:val="0"/>
            <w:vAlign w:val="center"/>
          </w:tcPr>
          <w:p w14:paraId="12C84C6E">
            <w:pPr>
              <w:keepNext w:val="0"/>
              <w:keepLines w:val="0"/>
              <w:suppressLineNumbers w:val="0"/>
              <w:spacing w:before="0" w:beforeAutospacing="0" w:after="0" w:afterAutospacing="0"/>
              <w:ind w:left="0" w:leftChars="0" w:right="0" w:rightChars="0"/>
              <w:jc w:val="center"/>
              <w:rPr>
                <w:rFonts w:hint="default" w:cs="Times New Roman"/>
                <w:color w:val="auto"/>
                <w:sz w:val="21"/>
                <w:szCs w:val="21"/>
                <w:lang w:val="en-US" w:eastAsia="zh-CN"/>
              </w:rPr>
            </w:pPr>
            <w:r>
              <w:rPr>
                <w:rFonts w:hint="eastAsia" w:cs="Times New Roman"/>
                <w:color w:val="auto"/>
                <w:sz w:val="21"/>
                <w:szCs w:val="21"/>
                <w:lang w:val="en-US" w:eastAsia="zh-CN"/>
              </w:rPr>
              <w:t>废版</w:t>
            </w:r>
          </w:p>
        </w:tc>
        <w:tc>
          <w:tcPr>
            <w:tcW w:w="500" w:type="pct"/>
            <w:noWrap w:val="0"/>
            <w:vAlign w:val="center"/>
          </w:tcPr>
          <w:p w14:paraId="6156946A">
            <w:pPr>
              <w:pStyle w:val="53"/>
              <w:keepNext w:val="0"/>
              <w:keepLines w:val="0"/>
              <w:suppressLineNumbers w:val="0"/>
              <w:spacing w:before="0" w:beforeLines="0" w:beforeAutospacing="0" w:after="0" w:afterLines="0" w:afterAutospacing="0" w:line="240" w:lineRule="auto"/>
              <w:ind w:left="0" w:right="0"/>
              <w:rPr>
                <w:rFonts w:hint="default" w:ascii="Times New Roman" w:cs="Times New Roman"/>
                <w:snapToGrid w:val="0"/>
                <w:color w:val="auto"/>
                <w:kern w:val="21"/>
                <w:sz w:val="21"/>
                <w:szCs w:val="21"/>
                <w:lang w:val="en-US" w:eastAsia="zh-CN"/>
              </w:rPr>
            </w:pPr>
            <w:r>
              <w:rPr>
                <w:rFonts w:hint="eastAsia" w:ascii="Times New Roman" w:cs="Times New Roman"/>
                <w:snapToGrid w:val="0"/>
                <w:color w:val="auto"/>
                <w:kern w:val="21"/>
                <w:sz w:val="21"/>
                <w:szCs w:val="21"/>
                <w:lang w:val="en-US" w:eastAsia="zh-CN"/>
              </w:rPr>
              <w:t>0</w:t>
            </w:r>
          </w:p>
        </w:tc>
        <w:tc>
          <w:tcPr>
            <w:tcW w:w="468" w:type="pct"/>
            <w:noWrap w:val="0"/>
            <w:vAlign w:val="center"/>
          </w:tcPr>
          <w:p w14:paraId="4748C2EE">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w:t>
            </w:r>
          </w:p>
        </w:tc>
        <w:tc>
          <w:tcPr>
            <w:tcW w:w="626" w:type="pct"/>
            <w:noWrap w:val="0"/>
            <w:vAlign w:val="center"/>
          </w:tcPr>
          <w:p w14:paraId="0B3588CF">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w:t>
            </w:r>
          </w:p>
        </w:tc>
        <w:tc>
          <w:tcPr>
            <w:tcW w:w="573" w:type="pct"/>
            <w:noWrap w:val="0"/>
            <w:vAlign w:val="center"/>
          </w:tcPr>
          <w:p w14:paraId="584913B7">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cs="Times New Roman"/>
                <w:bCs/>
                <w:color w:val="auto"/>
                <w:sz w:val="21"/>
                <w:szCs w:val="21"/>
              </w:rPr>
              <w:t>t/a</w:t>
            </w:r>
          </w:p>
        </w:tc>
        <w:tc>
          <w:tcPr>
            <w:tcW w:w="562" w:type="pct"/>
            <w:noWrap w:val="0"/>
            <w:vAlign w:val="center"/>
          </w:tcPr>
          <w:p w14:paraId="7FFF1590">
            <w:pPr>
              <w:keepNext w:val="0"/>
              <w:keepLines w:val="0"/>
              <w:suppressLineNumbers w:val="0"/>
              <w:spacing w:before="0" w:beforeAutospacing="0" w:after="0" w:afterAutospacing="0"/>
              <w:ind w:left="0" w:right="0"/>
              <w:jc w:val="center"/>
              <w:rPr>
                <w:rFonts w:hint="default" w:cs="Times New Roman"/>
                <w:snapToGrid w:val="0"/>
                <w:color w:val="auto"/>
                <w:kern w:val="21"/>
                <w:sz w:val="21"/>
                <w:szCs w:val="21"/>
                <w:lang w:val="en-US" w:eastAsia="zh-CN"/>
              </w:rPr>
            </w:pPr>
            <w:r>
              <w:rPr>
                <w:rFonts w:hint="eastAsia" w:cs="Times New Roman"/>
                <w:snapToGrid w:val="0"/>
                <w:color w:val="auto"/>
                <w:kern w:val="21"/>
                <w:sz w:val="21"/>
                <w:szCs w:val="21"/>
                <w:lang w:val="en-US" w:eastAsia="zh-CN"/>
              </w:rPr>
              <w:t>0</w:t>
            </w:r>
          </w:p>
        </w:tc>
        <w:tc>
          <w:tcPr>
            <w:tcW w:w="541" w:type="pct"/>
            <w:noWrap w:val="0"/>
            <w:vAlign w:val="center"/>
          </w:tcPr>
          <w:p w14:paraId="0E4F1D8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2</w:t>
            </w:r>
            <w:r>
              <w:rPr>
                <w:rFonts w:hint="default" w:ascii="Times New Roman" w:hAnsi="Times New Roman" w:cs="Times New Roman"/>
                <w:bCs/>
                <w:color w:val="auto"/>
                <w:sz w:val="21"/>
                <w:szCs w:val="21"/>
              </w:rPr>
              <w:t>t/a</w:t>
            </w:r>
          </w:p>
        </w:tc>
        <w:tc>
          <w:tcPr>
            <w:tcW w:w="494" w:type="pct"/>
            <w:noWrap w:val="0"/>
            <w:vAlign w:val="center"/>
          </w:tcPr>
          <w:p w14:paraId="7A0A9CAC">
            <w:pPr>
              <w:keepNext w:val="0"/>
              <w:keepLines w:val="0"/>
              <w:suppressLineNumbers w:val="0"/>
              <w:spacing w:before="0" w:beforeAutospacing="0" w:after="0" w:afterAutospacing="0"/>
              <w:ind w:left="0" w:leftChars="0" w:right="0" w:rightChars="0"/>
              <w:jc w:val="center"/>
              <w:rPr>
                <w:rFonts w:hint="eastAsia"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cs="Times New Roman"/>
                <w:bCs/>
                <w:color w:val="auto"/>
                <w:sz w:val="21"/>
                <w:szCs w:val="21"/>
              </w:rPr>
              <w:t>t/a</w:t>
            </w:r>
          </w:p>
        </w:tc>
      </w:tr>
    </w:tbl>
    <w:p w14:paraId="5D34B9DE">
      <w:pPr>
        <w:pStyle w:val="53"/>
        <w:spacing w:beforeLines="0" w:afterLines="0"/>
        <w:jc w:val="left"/>
        <w:rPr>
          <w:color w:val="auto"/>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sectPr>
      <w:footerReference r:id="rId6" w:type="default"/>
      <w:pgSz w:w="16838" w:h="11906" w:orient="landscape"/>
      <w:pgMar w:top="1531" w:right="1701" w:bottom="1531" w:left="1701" w:header="851" w:footer="850"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楷体_GB2312">
    <w:altName w:val="楷体"/>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BF8B7">
    <w:pPr>
      <w:pStyle w:val="16"/>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BFB47">
    <w:pPr>
      <w:pStyle w:val="16"/>
      <w:framePr w:wrap="around" w:vAnchor="text" w:hAnchor="margin" w:xAlign="center" w:y="1"/>
      <w:rPr>
        <w:rStyle w:val="30"/>
      </w:rPr>
    </w:pPr>
    <w:r>
      <w:fldChar w:fldCharType="begin"/>
    </w:r>
    <w:r>
      <w:rPr>
        <w:rStyle w:val="30"/>
      </w:rPr>
      <w:instrText xml:space="preserve">PAGE  </w:instrText>
    </w:r>
    <w:r>
      <w:fldChar w:fldCharType="end"/>
    </w:r>
  </w:p>
  <w:p w14:paraId="59A8482C">
    <w:pPr>
      <w:pStyle w:val="1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4BA4A">
    <w:pPr>
      <w:pStyle w:val="16"/>
      <w:ind w:right="360" w:firstLine="360"/>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ED96513">
                          <w:pPr>
                            <w:pStyle w:val="16"/>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r>
                            <w:rPr>
                              <w:sz w:val="24"/>
                              <w:szCs w:val="24"/>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Rfx+7dAQAAvgMAAA4AAAAAAAAA&#10;AQAgAAAAHgEAAGRycy9lMm9Eb2MueG1sUEsFBgAAAAAGAAYAWQEAAG0FAAAAAA==&#10;">
              <v:fill on="f" focussize="0,0"/>
              <v:stroke on="f"/>
              <v:imagedata o:title=""/>
              <o:lock v:ext="edit" aspectratio="f"/>
              <v:textbox inset="0mm,0mm,0mm,0mm" style="mso-fit-shape-to-text:t;">
                <w:txbxContent>
                  <w:p w14:paraId="5ED96513">
                    <w:pPr>
                      <w:pStyle w:val="16"/>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r>
                      <w:rPr>
                        <w:sz w:val="24"/>
                        <w:szCs w:val="24"/>
                      </w:rPr>
                      <w:t xml:space="preserve"> —</w:t>
                    </w:r>
                  </w:p>
                </w:txbxContent>
              </v:textbox>
            </v:shape>
          </w:pict>
        </mc:Fallback>
      </mc:AlternateConten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86866">
    <w:pPr>
      <w:pStyle w:val="16"/>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82A4861">
                          <w:pPr>
                            <w:pStyle w:val="16"/>
                          </w:pPr>
                          <w:r>
                            <w:t xml:space="preserve">— </w:t>
                          </w:r>
                          <w:r>
                            <w:fldChar w:fldCharType="begin"/>
                          </w:r>
                          <w:r>
                            <w:instrText xml:space="preserve"> PAGE  \* MERGEFORMAT </w:instrText>
                          </w:r>
                          <w:r>
                            <w:fldChar w:fldCharType="separate"/>
                          </w:r>
                          <w:r>
                            <w:t>66</w:t>
                          </w:r>
                          <w:r>
                            <w:fldChar w:fldCharType="end"/>
                          </w:r>
                          <w: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GDhA/dAQAAvgMAAA4AAAAAAAAA&#10;AQAgAAAAHgEAAGRycy9lMm9Eb2MueG1sUEsFBgAAAAAGAAYAWQEAAG0FAAAAAA==&#10;">
              <v:fill on="f" focussize="0,0"/>
              <v:stroke on="f"/>
              <v:imagedata o:title=""/>
              <o:lock v:ext="edit" aspectratio="f"/>
              <v:textbox inset="0mm,0mm,0mm,0mm" style="mso-fit-shape-to-text:t;">
                <w:txbxContent>
                  <w:p w14:paraId="082A4861">
                    <w:pPr>
                      <w:pStyle w:val="16"/>
                    </w:pPr>
                    <w:r>
                      <w:t xml:space="preserve">— </w:t>
                    </w:r>
                    <w:r>
                      <w:fldChar w:fldCharType="begin"/>
                    </w:r>
                    <w:r>
                      <w:instrText xml:space="preserve"> PAGE  \* MERGEFORMAT </w:instrText>
                    </w:r>
                    <w:r>
                      <w:fldChar w:fldCharType="separate"/>
                    </w:r>
                    <w:r>
                      <w:t>66</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9ED123"/>
    <w:multiLevelType w:val="singleLevel"/>
    <w:tmpl w:val="AB9ED123"/>
    <w:lvl w:ilvl="0" w:tentative="0">
      <w:start w:val="1"/>
      <w:numFmt w:val="bullet"/>
      <w:pStyle w:val="12"/>
      <w:lvlText w:val=""/>
      <w:lvlJc w:val="left"/>
      <w:pPr>
        <w:tabs>
          <w:tab w:val="left" w:pos="2040"/>
        </w:tabs>
        <w:ind w:left="2040" w:hanging="360"/>
      </w:pPr>
      <w:rPr>
        <w:rFonts w:hint="default" w:ascii="Wingdings" w:hAnsi="Wingdings"/>
      </w:rPr>
    </w:lvl>
  </w:abstractNum>
  <w:abstractNum w:abstractNumId="1">
    <w:nsid w:val="B142385A"/>
    <w:multiLevelType w:val="singleLevel"/>
    <w:tmpl w:val="B142385A"/>
    <w:lvl w:ilvl="0" w:tentative="0">
      <w:start w:val="1"/>
      <w:numFmt w:val="decimal"/>
      <w:lvlText w:val="%1."/>
      <w:lvlJc w:val="left"/>
      <w:pPr>
        <w:tabs>
          <w:tab w:val="left" w:pos="312"/>
        </w:tabs>
      </w:pPr>
    </w:lvl>
  </w:abstractNum>
  <w:abstractNum w:abstractNumId="2">
    <w:nsid w:val="C2FABB96"/>
    <w:multiLevelType w:val="singleLevel"/>
    <w:tmpl w:val="C2FABB96"/>
    <w:lvl w:ilvl="0" w:tentative="0">
      <w:start w:val="8"/>
      <w:numFmt w:val="decimal"/>
      <w:suff w:val="nothing"/>
      <w:lvlText w:val="%1、"/>
      <w:lvlJc w:val="left"/>
    </w:lvl>
  </w:abstractNum>
  <w:abstractNum w:abstractNumId="3">
    <w:nsid w:val="CE79A483"/>
    <w:multiLevelType w:val="singleLevel"/>
    <w:tmpl w:val="CE79A483"/>
    <w:lvl w:ilvl="0" w:tentative="0">
      <w:start w:val="2"/>
      <w:numFmt w:val="decimal"/>
      <w:suff w:val="nothing"/>
      <w:lvlText w:val="（%1）"/>
      <w:lvlJc w:val="left"/>
    </w:lvl>
  </w:abstractNum>
  <w:abstractNum w:abstractNumId="4">
    <w:nsid w:val="F24BD616"/>
    <w:multiLevelType w:val="singleLevel"/>
    <w:tmpl w:val="F24BD616"/>
    <w:lvl w:ilvl="0" w:tentative="0">
      <w:start w:val="2"/>
      <w:numFmt w:val="decimal"/>
      <w:suff w:val="nothing"/>
      <w:lvlText w:val="%1、"/>
      <w:lvlJc w:val="left"/>
    </w:lvl>
  </w:abstractNum>
  <w:abstractNum w:abstractNumId="5">
    <w:nsid w:val="FBA5D9D7"/>
    <w:multiLevelType w:val="singleLevel"/>
    <w:tmpl w:val="FBA5D9D7"/>
    <w:lvl w:ilvl="0" w:tentative="0">
      <w:start w:val="1"/>
      <w:numFmt w:val="chineseCounting"/>
      <w:suff w:val="nothing"/>
      <w:lvlText w:val="%1、"/>
      <w:lvlJc w:val="left"/>
      <w:rPr>
        <w:rFonts w:hint="eastAsia"/>
      </w:rPr>
    </w:lvl>
  </w:abstractNum>
  <w:abstractNum w:abstractNumId="6">
    <w:nsid w:val="02AB6980"/>
    <w:multiLevelType w:val="singleLevel"/>
    <w:tmpl w:val="02AB6980"/>
    <w:lvl w:ilvl="0" w:tentative="0">
      <w:start w:val="1"/>
      <w:numFmt w:val="decimal"/>
      <w:suff w:val="nothing"/>
      <w:lvlText w:val="（%1）"/>
      <w:lvlJc w:val="left"/>
    </w:lvl>
  </w:abstractNum>
  <w:abstractNum w:abstractNumId="7">
    <w:nsid w:val="040B72BB"/>
    <w:multiLevelType w:val="singleLevel"/>
    <w:tmpl w:val="040B72BB"/>
    <w:lvl w:ilvl="0" w:tentative="0">
      <w:start w:val="1"/>
      <w:numFmt w:val="decimal"/>
      <w:lvlText w:val="%1."/>
      <w:lvlJc w:val="left"/>
      <w:pPr>
        <w:tabs>
          <w:tab w:val="left" w:pos="312"/>
        </w:tabs>
      </w:pPr>
    </w:lvl>
  </w:abstractNum>
  <w:abstractNum w:abstractNumId="8">
    <w:nsid w:val="1D3DF431"/>
    <w:multiLevelType w:val="singleLevel"/>
    <w:tmpl w:val="1D3DF431"/>
    <w:lvl w:ilvl="0" w:tentative="0">
      <w:start w:val="1"/>
      <w:numFmt w:val="decimal"/>
      <w:lvlText w:val="%1."/>
      <w:lvlJc w:val="left"/>
      <w:pPr>
        <w:tabs>
          <w:tab w:val="left" w:pos="312"/>
        </w:tabs>
      </w:pPr>
    </w:lvl>
  </w:abstractNum>
  <w:abstractNum w:abstractNumId="9">
    <w:nsid w:val="3860BB6B"/>
    <w:multiLevelType w:val="singleLevel"/>
    <w:tmpl w:val="3860BB6B"/>
    <w:lvl w:ilvl="0" w:tentative="0">
      <w:start w:val="4"/>
      <w:numFmt w:val="chineseCounting"/>
      <w:suff w:val="nothing"/>
      <w:lvlText w:val="（%1）"/>
      <w:lvlJc w:val="left"/>
      <w:rPr>
        <w:rFonts w:hint="eastAsia"/>
      </w:rPr>
    </w:lvl>
  </w:abstractNum>
  <w:abstractNum w:abstractNumId="10">
    <w:nsid w:val="3CBC3ECE"/>
    <w:multiLevelType w:val="singleLevel"/>
    <w:tmpl w:val="3CBC3ECE"/>
    <w:lvl w:ilvl="0" w:tentative="0">
      <w:start w:val="1"/>
      <w:numFmt w:val="decimal"/>
      <w:suff w:val="nothing"/>
      <w:lvlText w:val="%1、"/>
      <w:lvlJc w:val="left"/>
    </w:lvl>
  </w:abstractNum>
  <w:abstractNum w:abstractNumId="11">
    <w:nsid w:val="42983949"/>
    <w:multiLevelType w:val="singleLevel"/>
    <w:tmpl w:val="42983949"/>
    <w:lvl w:ilvl="0" w:tentative="0">
      <w:start w:val="1"/>
      <w:numFmt w:val="decimal"/>
      <w:lvlText w:val="%1."/>
      <w:lvlJc w:val="left"/>
      <w:pPr>
        <w:tabs>
          <w:tab w:val="left" w:pos="312"/>
        </w:tabs>
      </w:pPr>
    </w:lvl>
  </w:abstractNum>
  <w:num w:numId="1">
    <w:abstractNumId w:val="0"/>
  </w:num>
  <w:num w:numId="2">
    <w:abstractNumId w:val="11"/>
  </w:num>
  <w:num w:numId="3">
    <w:abstractNumId w:val="1"/>
  </w:num>
  <w:num w:numId="4">
    <w:abstractNumId w:val="8"/>
  </w:num>
  <w:num w:numId="5">
    <w:abstractNumId w:val="7"/>
  </w:num>
  <w:num w:numId="6">
    <w:abstractNumId w:val="4"/>
  </w:num>
  <w:num w:numId="7">
    <w:abstractNumId w:val="9"/>
  </w:num>
  <w:num w:numId="8">
    <w:abstractNumId w:val="2"/>
  </w:num>
  <w:num w:numId="9">
    <w:abstractNumId w:val="3"/>
  </w:num>
  <w:num w:numId="10">
    <w:abstractNumId w:val="5"/>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4Yjc1M2JiNjBjMjdhMzI3N2MwY2IzYWM4NDBiMGIifQ=="/>
  </w:docVars>
  <w:rsids>
    <w:rsidRoot w:val="00172A27"/>
    <w:rsid w:val="000060B3"/>
    <w:rsid w:val="0002117A"/>
    <w:rsid w:val="0004364B"/>
    <w:rsid w:val="0004388A"/>
    <w:rsid w:val="00044EF2"/>
    <w:rsid w:val="00061B1F"/>
    <w:rsid w:val="000733C4"/>
    <w:rsid w:val="00074783"/>
    <w:rsid w:val="0008070B"/>
    <w:rsid w:val="000810AC"/>
    <w:rsid w:val="00081A02"/>
    <w:rsid w:val="00082231"/>
    <w:rsid w:val="00092D38"/>
    <w:rsid w:val="0009377B"/>
    <w:rsid w:val="000A20C9"/>
    <w:rsid w:val="000B058F"/>
    <w:rsid w:val="000B4467"/>
    <w:rsid w:val="000B4DB9"/>
    <w:rsid w:val="000C09AC"/>
    <w:rsid w:val="000C767F"/>
    <w:rsid w:val="000D5A44"/>
    <w:rsid w:val="000E3ED2"/>
    <w:rsid w:val="00131F42"/>
    <w:rsid w:val="001357F1"/>
    <w:rsid w:val="00136AE5"/>
    <w:rsid w:val="00140FA8"/>
    <w:rsid w:val="00142FEB"/>
    <w:rsid w:val="00143A2D"/>
    <w:rsid w:val="00145A41"/>
    <w:rsid w:val="00151675"/>
    <w:rsid w:val="00157435"/>
    <w:rsid w:val="0017504D"/>
    <w:rsid w:val="0017671A"/>
    <w:rsid w:val="00177422"/>
    <w:rsid w:val="00177A21"/>
    <w:rsid w:val="00184590"/>
    <w:rsid w:val="001870D1"/>
    <w:rsid w:val="0018781E"/>
    <w:rsid w:val="0019262D"/>
    <w:rsid w:val="001A1B35"/>
    <w:rsid w:val="001A2968"/>
    <w:rsid w:val="001A48A2"/>
    <w:rsid w:val="001A6F61"/>
    <w:rsid w:val="001B72B8"/>
    <w:rsid w:val="001C69B3"/>
    <w:rsid w:val="001D5595"/>
    <w:rsid w:val="001D7874"/>
    <w:rsid w:val="001D7F22"/>
    <w:rsid w:val="001E2D8E"/>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2E4555"/>
    <w:rsid w:val="002E604C"/>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714FA"/>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C0647"/>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C2E19"/>
    <w:rsid w:val="005D36AB"/>
    <w:rsid w:val="00617CC3"/>
    <w:rsid w:val="006377A6"/>
    <w:rsid w:val="00637A3D"/>
    <w:rsid w:val="006411EF"/>
    <w:rsid w:val="006748B8"/>
    <w:rsid w:val="00675481"/>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6F48D7"/>
    <w:rsid w:val="00706C5D"/>
    <w:rsid w:val="007305B2"/>
    <w:rsid w:val="00732922"/>
    <w:rsid w:val="0075162E"/>
    <w:rsid w:val="00754034"/>
    <w:rsid w:val="00756556"/>
    <w:rsid w:val="007618C4"/>
    <w:rsid w:val="00765D05"/>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9F28DA"/>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10C3"/>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15234"/>
    <w:rsid w:val="00E16FE2"/>
    <w:rsid w:val="00E2656A"/>
    <w:rsid w:val="00E412D0"/>
    <w:rsid w:val="00E45164"/>
    <w:rsid w:val="00E56322"/>
    <w:rsid w:val="00E60982"/>
    <w:rsid w:val="00E62C62"/>
    <w:rsid w:val="00E654C1"/>
    <w:rsid w:val="00E65D97"/>
    <w:rsid w:val="00E72A5A"/>
    <w:rsid w:val="00E73354"/>
    <w:rsid w:val="00E91CC7"/>
    <w:rsid w:val="00E9242D"/>
    <w:rsid w:val="00EB5255"/>
    <w:rsid w:val="00EB5C47"/>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64C9A"/>
    <w:rsid w:val="010E16A7"/>
    <w:rsid w:val="01113D6B"/>
    <w:rsid w:val="011E1FE4"/>
    <w:rsid w:val="01290F7E"/>
    <w:rsid w:val="01415CD2"/>
    <w:rsid w:val="01430E25"/>
    <w:rsid w:val="01473770"/>
    <w:rsid w:val="015937D7"/>
    <w:rsid w:val="015D1E09"/>
    <w:rsid w:val="018A1427"/>
    <w:rsid w:val="019B1AE2"/>
    <w:rsid w:val="01B34E22"/>
    <w:rsid w:val="01BF53CD"/>
    <w:rsid w:val="01C20BC1"/>
    <w:rsid w:val="01C2314D"/>
    <w:rsid w:val="01E55EBE"/>
    <w:rsid w:val="01F1594A"/>
    <w:rsid w:val="020E02AA"/>
    <w:rsid w:val="021F2822"/>
    <w:rsid w:val="0224362A"/>
    <w:rsid w:val="023C5C3C"/>
    <w:rsid w:val="023F0464"/>
    <w:rsid w:val="025E1D27"/>
    <w:rsid w:val="02606FB7"/>
    <w:rsid w:val="02697903"/>
    <w:rsid w:val="02843A2D"/>
    <w:rsid w:val="02873BB9"/>
    <w:rsid w:val="02DB6532"/>
    <w:rsid w:val="02E1776D"/>
    <w:rsid w:val="02F96569"/>
    <w:rsid w:val="02FB4EAF"/>
    <w:rsid w:val="02FF0983"/>
    <w:rsid w:val="03191A60"/>
    <w:rsid w:val="033D14FE"/>
    <w:rsid w:val="03422811"/>
    <w:rsid w:val="034F0B7A"/>
    <w:rsid w:val="035D3297"/>
    <w:rsid w:val="036D4334"/>
    <w:rsid w:val="037F3816"/>
    <w:rsid w:val="03950B15"/>
    <w:rsid w:val="03AD7684"/>
    <w:rsid w:val="03B8546A"/>
    <w:rsid w:val="03D3089B"/>
    <w:rsid w:val="03EA7B21"/>
    <w:rsid w:val="03F139E0"/>
    <w:rsid w:val="04041965"/>
    <w:rsid w:val="04071455"/>
    <w:rsid w:val="041B4E07"/>
    <w:rsid w:val="041F6588"/>
    <w:rsid w:val="04754611"/>
    <w:rsid w:val="04763EE5"/>
    <w:rsid w:val="049E4A3D"/>
    <w:rsid w:val="04C9495C"/>
    <w:rsid w:val="04E26763"/>
    <w:rsid w:val="05283431"/>
    <w:rsid w:val="055F4D6E"/>
    <w:rsid w:val="05627D51"/>
    <w:rsid w:val="056439D2"/>
    <w:rsid w:val="056C683D"/>
    <w:rsid w:val="059C797B"/>
    <w:rsid w:val="05AA323A"/>
    <w:rsid w:val="05D07D2F"/>
    <w:rsid w:val="05D90BCF"/>
    <w:rsid w:val="05E36A34"/>
    <w:rsid w:val="05F83EAE"/>
    <w:rsid w:val="062C700B"/>
    <w:rsid w:val="063A3C2B"/>
    <w:rsid w:val="063E7D85"/>
    <w:rsid w:val="0650001B"/>
    <w:rsid w:val="06654211"/>
    <w:rsid w:val="067A4EE3"/>
    <w:rsid w:val="068E6BE0"/>
    <w:rsid w:val="06D50788"/>
    <w:rsid w:val="07027CB2"/>
    <w:rsid w:val="070752C8"/>
    <w:rsid w:val="07293586"/>
    <w:rsid w:val="07295285"/>
    <w:rsid w:val="074E116B"/>
    <w:rsid w:val="074E723E"/>
    <w:rsid w:val="07636392"/>
    <w:rsid w:val="07770C56"/>
    <w:rsid w:val="078E45D7"/>
    <w:rsid w:val="07D008F2"/>
    <w:rsid w:val="07DE24CD"/>
    <w:rsid w:val="07E61381"/>
    <w:rsid w:val="07E8334B"/>
    <w:rsid w:val="08205BD3"/>
    <w:rsid w:val="084538E8"/>
    <w:rsid w:val="086724C2"/>
    <w:rsid w:val="08686958"/>
    <w:rsid w:val="08743303"/>
    <w:rsid w:val="08931509"/>
    <w:rsid w:val="08990AE0"/>
    <w:rsid w:val="089B6610"/>
    <w:rsid w:val="08A2671D"/>
    <w:rsid w:val="08AC3608"/>
    <w:rsid w:val="092217DD"/>
    <w:rsid w:val="0923288D"/>
    <w:rsid w:val="09304C99"/>
    <w:rsid w:val="093A7294"/>
    <w:rsid w:val="095073FA"/>
    <w:rsid w:val="097A6225"/>
    <w:rsid w:val="09970B1D"/>
    <w:rsid w:val="09A06CC1"/>
    <w:rsid w:val="09B41187"/>
    <w:rsid w:val="09B864FF"/>
    <w:rsid w:val="09D516AE"/>
    <w:rsid w:val="09ED4C49"/>
    <w:rsid w:val="09F31ED9"/>
    <w:rsid w:val="09F76F1D"/>
    <w:rsid w:val="0A1D5F98"/>
    <w:rsid w:val="0A1F7DCE"/>
    <w:rsid w:val="0A263993"/>
    <w:rsid w:val="0A2D3AC2"/>
    <w:rsid w:val="0A5B7E05"/>
    <w:rsid w:val="0A5D5C5F"/>
    <w:rsid w:val="0A730BBA"/>
    <w:rsid w:val="0A8F3F52"/>
    <w:rsid w:val="0A9D666F"/>
    <w:rsid w:val="0AA755DF"/>
    <w:rsid w:val="0AAF1754"/>
    <w:rsid w:val="0AB85257"/>
    <w:rsid w:val="0ACE737D"/>
    <w:rsid w:val="0AEA1280"/>
    <w:rsid w:val="0AEC0016"/>
    <w:rsid w:val="0AEE5964"/>
    <w:rsid w:val="0B064214"/>
    <w:rsid w:val="0B0B182B"/>
    <w:rsid w:val="0B114967"/>
    <w:rsid w:val="0B120D44"/>
    <w:rsid w:val="0B41524D"/>
    <w:rsid w:val="0B4824BC"/>
    <w:rsid w:val="0B5E6057"/>
    <w:rsid w:val="0B725406"/>
    <w:rsid w:val="0B7D2C3D"/>
    <w:rsid w:val="0BAE0408"/>
    <w:rsid w:val="0BD27BF6"/>
    <w:rsid w:val="0BFA364D"/>
    <w:rsid w:val="0C152A04"/>
    <w:rsid w:val="0C1C6402"/>
    <w:rsid w:val="0C1E4963"/>
    <w:rsid w:val="0C3B3C7D"/>
    <w:rsid w:val="0C670CE3"/>
    <w:rsid w:val="0C6D0C00"/>
    <w:rsid w:val="0C6F7B97"/>
    <w:rsid w:val="0C9910B8"/>
    <w:rsid w:val="0CAB2EAE"/>
    <w:rsid w:val="0CAD05B9"/>
    <w:rsid w:val="0CB07E2C"/>
    <w:rsid w:val="0CB47CA0"/>
    <w:rsid w:val="0CC872A8"/>
    <w:rsid w:val="0CCD48BE"/>
    <w:rsid w:val="0CDB6D0A"/>
    <w:rsid w:val="0CEF4822"/>
    <w:rsid w:val="0CF62067"/>
    <w:rsid w:val="0D1150F2"/>
    <w:rsid w:val="0D3E799F"/>
    <w:rsid w:val="0D4728C2"/>
    <w:rsid w:val="0D5B5405"/>
    <w:rsid w:val="0D621C7D"/>
    <w:rsid w:val="0D8B2461"/>
    <w:rsid w:val="0D90229C"/>
    <w:rsid w:val="0D951880"/>
    <w:rsid w:val="0DAE649D"/>
    <w:rsid w:val="0DC12675"/>
    <w:rsid w:val="0DE22CAF"/>
    <w:rsid w:val="0E211365"/>
    <w:rsid w:val="0E297BB1"/>
    <w:rsid w:val="0E3E5A73"/>
    <w:rsid w:val="0E4E740F"/>
    <w:rsid w:val="0E5E4047"/>
    <w:rsid w:val="0E73034D"/>
    <w:rsid w:val="0E7F174D"/>
    <w:rsid w:val="0E9475C7"/>
    <w:rsid w:val="0E9C09EC"/>
    <w:rsid w:val="0E9E0CA2"/>
    <w:rsid w:val="0EC75A69"/>
    <w:rsid w:val="0ECB69C5"/>
    <w:rsid w:val="0ED0142C"/>
    <w:rsid w:val="0EDA4D25"/>
    <w:rsid w:val="0F000E93"/>
    <w:rsid w:val="0F130A0E"/>
    <w:rsid w:val="0F135A35"/>
    <w:rsid w:val="0F13775A"/>
    <w:rsid w:val="0F403A6D"/>
    <w:rsid w:val="0F52686D"/>
    <w:rsid w:val="0F5B2655"/>
    <w:rsid w:val="0F5F45FE"/>
    <w:rsid w:val="0F601A19"/>
    <w:rsid w:val="0F6132F6"/>
    <w:rsid w:val="0F7F00F1"/>
    <w:rsid w:val="0F8A3D0E"/>
    <w:rsid w:val="0F9A112B"/>
    <w:rsid w:val="0FA80874"/>
    <w:rsid w:val="0FBB36E8"/>
    <w:rsid w:val="0FD06B9F"/>
    <w:rsid w:val="0FDC03BC"/>
    <w:rsid w:val="0FDC2728"/>
    <w:rsid w:val="0FDD2E69"/>
    <w:rsid w:val="10173730"/>
    <w:rsid w:val="10195CA5"/>
    <w:rsid w:val="10523173"/>
    <w:rsid w:val="106D2F64"/>
    <w:rsid w:val="107233E8"/>
    <w:rsid w:val="109755DC"/>
    <w:rsid w:val="109C0CFF"/>
    <w:rsid w:val="10A6156E"/>
    <w:rsid w:val="10B63710"/>
    <w:rsid w:val="10B67795"/>
    <w:rsid w:val="10E00D64"/>
    <w:rsid w:val="10F10820"/>
    <w:rsid w:val="10FA5065"/>
    <w:rsid w:val="110A3DFB"/>
    <w:rsid w:val="111C1CF8"/>
    <w:rsid w:val="111C2F7A"/>
    <w:rsid w:val="11270A41"/>
    <w:rsid w:val="114977A3"/>
    <w:rsid w:val="11665CA1"/>
    <w:rsid w:val="1170063A"/>
    <w:rsid w:val="119D29D4"/>
    <w:rsid w:val="11B147AE"/>
    <w:rsid w:val="11DB1509"/>
    <w:rsid w:val="11E93EB4"/>
    <w:rsid w:val="12062D4C"/>
    <w:rsid w:val="12154D3D"/>
    <w:rsid w:val="1218738A"/>
    <w:rsid w:val="123560E6"/>
    <w:rsid w:val="12437AFC"/>
    <w:rsid w:val="12493617"/>
    <w:rsid w:val="125A5CE7"/>
    <w:rsid w:val="129E7204"/>
    <w:rsid w:val="12B32FBE"/>
    <w:rsid w:val="12E110C3"/>
    <w:rsid w:val="1307640C"/>
    <w:rsid w:val="13097E33"/>
    <w:rsid w:val="130F5C30"/>
    <w:rsid w:val="13122F09"/>
    <w:rsid w:val="13143247"/>
    <w:rsid w:val="1367781A"/>
    <w:rsid w:val="13812877"/>
    <w:rsid w:val="13916645"/>
    <w:rsid w:val="13931596"/>
    <w:rsid w:val="13951726"/>
    <w:rsid w:val="13AC347F"/>
    <w:rsid w:val="13EA2254"/>
    <w:rsid w:val="13F120CF"/>
    <w:rsid w:val="13FF33B7"/>
    <w:rsid w:val="142C4440"/>
    <w:rsid w:val="14382ADC"/>
    <w:rsid w:val="14396509"/>
    <w:rsid w:val="143F42F3"/>
    <w:rsid w:val="149044A4"/>
    <w:rsid w:val="149311DD"/>
    <w:rsid w:val="14A14FAE"/>
    <w:rsid w:val="14A97E9E"/>
    <w:rsid w:val="14CB0766"/>
    <w:rsid w:val="14D709D0"/>
    <w:rsid w:val="14DD2C3C"/>
    <w:rsid w:val="14ED452F"/>
    <w:rsid w:val="150422D9"/>
    <w:rsid w:val="15087B4C"/>
    <w:rsid w:val="151614F8"/>
    <w:rsid w:val="153100E0"/>
    <w:rsid w:val="154A2F50"/>
    <w:rsid w:val="155618F4"/>
    <w:rsid w:val="15666686"/>
    <w:rsid w:val="158619E3"/>
    <w:rsid w:val="159A5C6B"/>
    <w:rsid w:val="15A84CC8"/>
    <w:rsid w:val="15A97D82"/>
    <w:rsid w:val="15AA1C40"/>
    <w:rsid w:val="15BD1BCA"/>
    <w:rsid w:val="16087E1D"/>
    <w:rsid w:val="162030D5"/>
    <w:rsid w:val="16401B89"/>
    <w:rsid w:val="164976AB"/>
    <w:rsid w:val="16775FC6"/>
    <w:rsid w:val="16884460"/>
    <w:rsid w:val="16A44B2E"/>
    <w:rsid w:val="16CB1E6E"/>
    <w:rsid w:val="16D323CF"/>
    <w:rsid w:val="16DF3B6C"/>
    <w:rsid w:val="17017F86"/>
    <w:rsid w:val="171A77D1"/>
    <w:rsid w:val="172D20E4"/>
    <w:rsid w:val="17395CA1"/>
    <w:rsid w:val="17675381"/>
    <w:rsid w:val="176946F7"/>
    <w:rsid w:val="17701D14"/>
    <w:rsid w:val="17735226"/>
    <w:rsid w:val="17A70B2D"/>
    <w:rsid w:val="17D022BB"/>
    <w:rsid w:val="17E86A50"/>
    <w:rsid w:val="17EC02EE"/>
    <w:rsid w:val="17FD3A51"/>
    <w:rsid w:val="180A2E6A"/>
    <w:rsid w:val="181A2116"/>
    <w:rsid w:val="181D20C5"/>
    <w:rsid w:val="18334FF9"/>
    <w:rsid w:val="183771C0"/>
    <w:rsid w:val="18610CDC"/>
    <w:rsid w:val="18860743"/>
    <w:rsid w:val="18884B74"/>
    <w:rsid w:val="189F624C"/>
    <w:rsid w:val="18E94E6B"/>
    <w:rsid w:val="18EE5FC2"/>
    <w:rsid w:val="18F54CC8"/>
    <w:rsid w:val="1912263B"/>
    <w:rsid w:val="19222D40"/>
    <w:rsid w:val="192F2A82"/>
    <w:rsid w:val="1943320A"/>
    <w:rsid w:val="1963014B"/>
    <w:rsid w:val="19923117"/>
    <w:rsid w:val="19953677"/>
    <w:rsid w:val="1996351B"/>
    <w:rsid w:val="19BB0E06"/>
    <w:rsid w:val="19BF6413"/>
    <w:rsid w:val="19C72DC1"/>
    <w:rsid w:val="19EE47F1"/>
    <w:rsid w:val="19FF247C"/>
    <w:rsid w:val="1A023DF9"/>
    <w:rsid w:val="1A1B7FF8"/>
    <w:rsid w:val="1A1C66C0"/>
    <w:rsid w:val="1A274E8C"/>
    <w:rsid w:val="1A3908A8"/>
    <w:rsid w:val="1A4047B3"/>
    <w:rsid w:val="1A42393B"/>
    <w:rsid w:val="1A472952"/>
    <w:rsid w:val="1A4F55F9"/>
    <w:rsid w:val="1A6B20EE"/>
    <w:rsid w:val="1A732F49"/>
    <w:rsid w:val="1A7867B1"/>
    <w:rsid w:val="1A872550"/>
    <w:rsid w:val="1A924173"/>
    <w:rsid w:val="1A9F5AEC"/>
    <w:rsid w:val="1AAD45DE"/>
    <w:rsid w:val="1AAF2000"/>
    <w:rsid w:val="1AE3334B"/>
    <w:rsid w:val="1B0146D0"/>
    <w:rsid w:val="1B046F80"/>
    <w:rsid w:val="1B3059FE"/>
    <w:rsid w:val="1B3267B5"/>
    <w:rsid w:val="1B3C729B"/>
    <w:rsid w:val="1B40161D"/>
    <w:rsid w:val="1B410951"/>
    <w:rsid w:val="1B4205C7"/>
    <w:rsid w:val="1B441859"/>
    <w:rsid w:val="1B5B57CB"/>
    <w:rsid w:val="1B6606B1"/>
    <w:rsid w:val="1B787A2E"/>
    <w:rsid w:val="1B8912BC"/>
    <w:rsid w:val="1B9E2247"/>
    <w:rsid w:val="1BCB45CC"/>
    <w:rsid w:val="1BD21EF1"/>
    <w:rsid w:val="1BD2365C"/>
    <w:rsid w:val="1BF956CF"/>
    <w:rsid w:val="1C1461AC"/>
    <w:rsid w:val="1C1D60A7"/>
    <w:rsid w:val="1C250273"/>
    <w:rsid w:val="1C27223D"/>
    <w:rsid w:val="1C281B11"/>
    <w:rsid w:val="1C4A7CD9"/>
    <w:rsid w:val="1C5E7925"/>
    <w:rsid w:val="1C746B04"/>
    <w:rsid w:val="1C7879D5"/>
    <w:rsid w:val="1C8D76F3"/>
    <w:rsid w:val="1C8E5869"/>
    <w:rsid w:val="1CA97F07"/>
    <w:rsid w:val="1CB74E16"/>
    <w:rsid w:val="1CBC4E85"/>
    <w:rsid w:val="1CC636AD"/>
    <w:rsid w:val="1CC708DC"/>
    <w:rsid w:val="1CCD29FA"/>
    <w:rsid w:val="1CCE0005"/>
    <w:rsid w:val="1CE9533F"/>
    <w:rsid w:val="1CFD070F"/>
    <w:rsid w:val="1D061502"/>
    <w:rsid w:val="1D0E6F59"/>
    <w:rsid w:val="1D1D719C"/>
    <w:rsid w:val="1D1F1166"/>
    <w:rsid w:val="1D281406"/>
    <w:rsid w:val="1D434E54"/>
    <w:rsid w:val="1D5F6196"/>
    <w:rsid w:val="1D6132A5"/>
    <w:rsid w:val="1D6628F1"/>
    <w:rsid w:val="1D8E56D5"/>
    <w:rsid w:val="1DF82708"/>
    <w:rsid w:val="1DFB1EE3"/>
    <w:rsid w:val="1E1467F1"/>
    <w:rsid w:val="1E4F7829"/>
    <w:rsid w:val="1E501177"/>
    <w:rsid w:val="1E7461DD"/>
    <w:rsid w:val="1E7A43DA"/>
    <w:rsid w:val="1E897E41"/>
    <w:rsid w:val="1E951AA0"/>
    <w:rsid w:val="1E9D0594"/>
    <w:rsid w:val="1E9E02F4"/>
    <w:rsid w:val="1EA01E32"/>
    <w:rsid w:val="1F053CF4"/>
    <w:rsid w:val="1F334CEE"/>
    <w:rsid w:val="1F502B79"/>
    <w:rsid w:val="1F805949"/>
    <w:rsid w:val="1F841754"/>
    <w:rsid w:val="1FB97650"/>
    <w:rsid w:val="1FC55FF4"/>
    <w:rsid w:val="1FC8473F"/>
    <w:rsid w:val="1FDE4E0F"/>
    <w:rsid w:val="1FE7539E"/>
    <w:rsid w:val="1FEA1B2A"/>
    <w:rsid w:val="1FEA659C"/>
    <w:rsid w:val="20087C8F"/>
    <w:rsid w:val="20146634"/>
    <w:rsid w:val="202D5948"/>
    <w:rsid w:val="2037665B"/>
    <w:rsid w:val="204131A1"/>
    <w:rsid w:val="20671BE0"/>
    <w:rsid w:val="20743577"/>
    <w:rsid w:val="207545BF"/>
    <w:rsid w:val="20963CB8"/>
    <w:rsid w:val="20997459"/>
    <w:rsid w:val="20A81A1B"/>
    <w:rsid w:val="20A83220"/>
    <w:rsid w:val="20B07FB6"/>
    <w:rsid w:val="20B646FB"/>
    <w:rsid w:val="20CF7BED"/>
    <w:rsid w:val="20DA2DB5"/>
    <w:rsid w:val="20EF0E4F"/>
    <w:rsid w:val="20F021EA"/>
    <w:rsid w:val="21007FCB"/>
    <w:rsid w:val="212A1E87"/>
    <w:rsid w:val="212D74D2"/>
    <w:rsid w:val="21374CD0"/>
    <w:rsid w:val="213B74B1"/>
    <w:rsid w:val="21577648"/>
    <w:rsid w:val="215A2310"/>
    <w:rsid w:val="21696E53"/>
    <w:rsid w:val="219843C9"/>
    <w:rsid w:val="21BD5459"/>
    <w:rsid w:val="21DE318A"/>
    <w:rsid w:val="21E14C3C"/>
    <w:rsid w:val="21ED1832"/>
    <w:rsid w:val="21EF5B80"/>
    <w:rsid w:val="221B003E"/>
    <w:rsid w:val="223B7AD6"/>
    <w:rsid w:val="224403D4"/>
    <w:rsid w:val="22576990"/>
    <w:rsid w:val="225C1C80"/>
    <w:rsid w:val="2265580C"/>
    <w:rsid w:val="227C2F3E"/>
    <w:rsid w:val="229E507D"/>
    <w:rsid w:val="22A30143"/>
    <w:rsid w:val="22A5210D"/>
    <w:rsid w:val="22A53FD5"/>
    <w:rsid w:val="22C17957"/>
    <w:rsid w:val="22F47480"/>
    <w:rsid w:val="22F83AA2"/>
    <w:rsid w:val="23176A1F"/>
    <w:rsid w:val="23645B24"/>
    <w:rsid w:val="23706277"/>
    <w:rsid w:val="23957A8C"/>
    <w:rsid w:val="23B720F8"/>
    <w:rsid w:val="23D26F32"/>
    <w:rsid w:val="23DE1C48"/>
    <w:rsid w:val="24003A9F"/>
    <w:rsid w:val="240210CD"/>
    <w:rsid w:val="24066BDB"/>
    <w:rsid w:val="2419216E"/>
    <w:rsid w:val="24491152"/>
    <w:rsid w:val="2454396E"/>
    <w:rsid w:val="24591B8E"/>
    <w:rsid w:val="245A38EA"/>
    <w:rsid w:val="24854856"/>
    <w:rsid w:val="24B50383"/>
    <w:rsid w:val="24BF09F7"/>
    <w:rsid w:val="250D49FE"/>
    <w:rsid w:val="25186BC6"/>
    <w:rsid w:val="251B66B7"/>
    <w:rsid w:val="252D53FE"/>
    <w:rsid w:val="25341A0A"/>
    <w:rsid w:val="253D487F"/>
    <w:rsid w:val="25480F3F"/>
    <w:rsid w:val="254E25E8"/>
    <w:rsid w:val="257F27A2"/>
    <w:rsid w:val="258C23D0"/>
    <w:rsid w:val="25B04809"/>
    <w:rsid w:val="25EC2D81"/>
    <w:rsid w:val="25F34F3E"/>
    <w:rsid w:val="25FE26B3"/>
    <w:rsid w:val="261A071C"/>
    <w:rsid w:val="261D548C"/>
    <w:rsid w:val="264F6561"/>
    <w:rsid w:val="26656DEF"/>
    <w:rsid w:val="26914E82"/>
    <w:rsid w:val="2692022C"/>
    <w:rsid w:val="26931839"/>
    <w:rsid w:val="26BC332C"/>
    <w:rsid w:val="26DC45B9"/>
    <w:rsid w:val="26DD05A4"/>
    <w:rsid w:val="26F3643F"/>
    <w:rsid w:val="26F401FA"/>
    <w:rsid w:val="270A267F"/>
    <w:rsid w:val="27100E33"/>
    <w:rsid w:val="277057A2"/>
    <w:rsid w:val="278C73F8"/>
    <w:rsid w:val="27AB215B"/>
    <w:rsid w:val="27AC15FA"/>
    <w:rsid w:val="280B656E"/>
    <w:rsid w:val="282B4FF9"/>
    <w:rsid w:val="2838482E"/>
    <w:rsid w:val="283A32F8"/>
    <w:rsid w:val="285507C5"/>
    <w:rsid w:val="28640A1C"/>
    <w:rsid w:val="2874680A"/>
    <w:rsid w:val="288B2A44"/>
    <w:rsid w:val="288D0AD8"/>
    <w:rsid w:val="28A013AD"/>
    <w:rsid w:val="28AD5878"/>
    <w:rsid w:val="28B906C0"/>
    <w:rsid w:val="28BE7A85"/>
    <w:rsid w:val="28C11F57"/>
    <w:rsid w:val="28E05C4D"/>
    <w:rsid w:val="28FC05AD"/>
    <w:rsid w:val="29030993"/>
    <w:rsid w:val="29046169"/>
    <w:rsid w:val="290D7264"/>
    <w:rsid w:val="29206EB8"/>
    <w:rsid w:val="2927387C"/>
    <w:rsid w:val="294457E3"/>
    <w:rsid w:val="29595666"/>
    <w:rsid w:val="297B7724"/>
    <w:rsid w:val="29824F56"/>
    <w:rsid w:val="29874881"/>
    <w:rsid w:val="299E7401"/>
    <w:rsid w:val="299F1BE7"/>
    <w:rsid w:val="29AB2164"/>
    <w:rsid w:val="29B55DCA"/>
    <w:rsid w:val="29C65134"/>
    <w:rsid w:val="29E325E0"/>
    <w:rsid w:val="29EE6148"/>
    <w:rsid w:val="29FA3201"/>
    <w:rsid w:val="2A1060BE"/>
    <w:rsid w:val="2A452503"/>
    <w:rsid w:val="2A544E3B"/>
    <w:rsid w:val="2A6C653F"/>
    <w:rsid w:val="2A870E0B"/>
    <w:rsid w:val="2A91303E"/>
    <w:rsid w:val="2ACB21DF"/>
    <w:rsid w:val="2B117E06"/>
    <w:rsid w:val="2B1E5CB3"/>
    <w:rsid w:val="2B312862"/>
    <w:rsid w:val="2B367CA0"/>
    <w:rsid w:val="2B3E4EAD"/>
    <w:rsid w:val="2B6974E6"/>
    <w:rsid w:val="2B780C7E"/>
    <w:rsid w:val="2B7D08BC"/>
    <w:rsid w:val="2BA936A8"/>
    <w:rsid w:val="2BBD04C8"/>
    <w:rsid w:val="2BCB46B9"/>
    <w:rsid w:val="2BDF0FF1"/>
    <w:rsid w:val="2C0D23B6"/>
    <w:rsid w:val="2C315A5A"/>
    <w:rsid w:val="2C4402A1"/>
    <w:rsid w:val="2C4B1C25"/>
    <w:rsid w:val="2C9B7ED5"/>
    <w:rsid w:val="2C9F5E1F"/>
    <w:rsid w:val="2CA25CA3"/>
    <w:rsid w:val="2CA75156"/>
    <w:rsid w:val="2CD37914"/>
    <w:rsid w:val="2CE33F5E"/>
    <w:rsid w:val="2CE61358"/>
    <w:rsid w:val="2D12089C"/>
    <w:rsid w:val="2D311ABC"/>
    <w:rsid w:val="2D632D02"/>
    <w:rsid w:val="2D635F72"/>
    <w:rsid w:val="2D9B0C9F"/>
    <w:rsid w:val="2D9E56F5"/>
    <w:rsid w:val="2DA10637"/>
    <w:rsid w:val="2DA76AAC"/>
    <w:rsid w:val="2DB939BB"/>
    <w:rsid w:val="2DBE000D"/>
    <w:rsid w:val="2DF83A39"/>
    <w:rsid w:val="2E276865"/>
    <w:rsid w:val="2E667F96"/>
    <w:rsid w:val="2E770112"/>
    <w:rsid w:val="2E813A2E"/>
    <w:rsid w:val="2E8226AB"/>
    <w:rsid w:val="2E8B0409"/>
    <w:rsid w:val="2EAF37BB"/>
    <w:rsid w:val="2EC05537"/>
    <w:rsid w:val="2ED87DE1"/>
    <w:rsid w:val="2EDD678B"/>
    <w:rsid w:val="2EF04710"/>
    <w:rsid w:val="2EFB41BF"/>
    <w:rsid w:val="2EFF6701"/>
    <w:rsid w:val="2F320995"/>
    <w:rsid w:val="2F4800A8"/>
    <w:rsid w:val="2F5D6240"/>
    <w:rsid w:val="2F822456"/>
    <w:rsid w:val="2F9B0B20"/>
    <w:rsid w:val="2F9F50DC"/>
    <w:rsid w:val="2FBC2844"/>
    <w:rsid w:val="2FC71915"/>
    <w:rsid w:val="2FD065E6"/>
    <w:rsid w:val="2FD96870"/>
    <w:rsid w:val="30037365"/>
    <w:rsid w:val="30161F54"/>
    <w:rsid w:val="302428C3"/>
    <w:rsid w:val="30424851"/>
    <w:rsid w:val="30451BBC"/>
    <w:rsid w:val="304C67C6"/>
    <w:rsid w:val="30526A6B"/>
    <w:rsid w:val="30580BC9"/>
    <w:rsid w:val="3069415C"/>
    <w:rsid w:val="306D27C7"/>
    <w:rsid w:val="307764BA"/>
    <w:rsid w:val="309D4424"/>
    <w:rsid w:val="309F1C17"/>
    <w:rsid w:val="30AD6667"/>
    <w:rsid w:val="30BD5A5B"/>
    <w:rsid w:val="30C65728"/>
    <w:rsid w:val="30CF15BF"/>
    <w:rsid w:val="30D53BBD"/>
    <w:rsid w:val="30DE09A0"/>
    <w:rsid w:val="30F83C8F"/>
    <w:rsid w:val="30F92970"/>
    <w:rsid w:val="3106021B"/>
    <w:rsid w:val="311E2ED7"/>
    <w:rsid w:val="31304E28"/>
    <w:rsid w:val="31496359"/>
    <w:rsid w:val="3155560E"/>
    <w:rsid w:val="315619EE"/>
    <w:rsid w:val="315C449C"/>
    <w:rsid w:val="31813D45"/>
    <w:rsid w:val="31860EE9"/>
    <w:rsid w:val="3186135C"/>
    <w:rsid w:val="31885988"/>
    <w:rsid w:val="31B82709"/>
    <w:rsid w:val="31D05482"/>
    <w:rsid w:val="31E5120A"/>
    <w:rsid w:val="31EB1D38"/>
    <w:rsid w:val="31EC5542"/>
    <w:rsid w:val="320A7897"/>
    <w:rsid w:val="32197378"/>
    <w:rsid w:val="322C1F03"/>
    <w:rsid w:val="3233357D"/>
    <w:rsid w:val="323A2CC6"/>
    <w:rsid w:val="32400B34"/>
    <w:rsid w:val="32456B21"/>
    <w:rsid w:val="324E03D4"/>
    <w:rsid w:val="329655CE"/>
    <w:rsid w:val="329E6876"/>
    <w:rsid w:val="32A93554"/>
    <w:rsid w:val="32AC3044"/>
    <w:rsid w:val="32B9045F"/>
    <w:rsid w:val="32C043F9"/>
    <w:rsid w:val="32F01183"/>
    <w:rsid w:val="3311371E"/>
    <w:rsid w:val="333015F2"/>
    <w:rsid w:val="334B6320"/>
    <w:rsid w:val="334E68C0"/>
    <w:rsid w:val="33572FB0"/>
    <w:rsid w:val="33723946"/>
    <w:rsid w:val="33813D35"/>
    <w:rsid w:val="338A5133"/>
    <w:rsid w:val="338F56F3"/>
    <w:rsid w:val="33D26ADA"/>
    <w:rsid w:val="33D934D4"/>
    <w:rsid w:val="33ED56C2"/>
    <w:rsid w:val="33F95E15"/>
    <w:rsid w:val="33FE2F6A"/>
    <w:rsid w:val="340E07E5"/>
    <w:rsid w:val="341B1AAB"/>
    <w:rsid w:val="34235BF7"/>
    <w:rsid w:val="3431306B"/>
    <w:rsid w:val="34563E84"/>
    <w:rsid w:val="34967E3C"/>
    <w:rsid w:val="349B3370"/>
    <w:rsid w:val="34C74165"/>
    <w:rsid w:val="34E27123"/>
    <w:rsid w:val="34E56399"/>
    <w:rsid w:val="353F4B20"/>
    <w:rsid w:val="35434919"/>
    <w:rsid w:val="357276A3"/>
    <w:rsid w:val="35753BC1"/>
    <w:rsid w:val="358C5FA8"/>
    <w:rsid w:val="35A52E1A"/>
    <w:rsid w:val="35A96A55"/>
    <w:rsid w:val="35AD087B"/>
    <w:rsid w:val="35C15DF1"/>
    <w:rsid w:val="35C331CE"/>
    <w:rsid w:val="36074A7F"/>
    <w:rsid w:val="36100339"/>
    <w:rsid w:val="361C403D"/>
    <w:rsid w:val="362F4ADC"/>
    <w:rsid w:val="364E5A31"/>
    <w:rsid w:val="36610694"/>
    <w:rsid w:val="36923549"/>
    <w:rsid w:val="36B75FBF"/>
    <w:rsid w:val="36BD0C45"/>
    <w:rsid w:val="36FC1AF8"/>
    <w:rsid w:val="371A67CE"/>
    <w:rsid w:val="372E04CB"/>
    <w:rsid w:val="37335523"/>
    <w:rsid w:val="374C2700"/>
    <w:rsid w:val="377C674A"/>
    <w:rsid w:val="37942267"/>
    <w:rsid w:val="37BF2ED1"/>
    <w:rsid w:val="37E00298"/>
    <w:rsid w:val="37F323CA"/>
    <w:rsid w:val="383276D1"/>
    <w:rsid w:val="388F6A33"/>
    <w:rsid w:val="38927B5B"/>
    <w:rsid w:val="38A50319"/>
    <w:rsid w:val="38B302F9"/>
    <w:rsid w:val="38DB3D3B"/>
    <w:rsid w:val="38E2156D"/>
    <w:rsid w:val="38E6379C"/>
    <w:rsid w:val="38F12CD3"/>
    <w:rsid w:val="38F92413"/>
    <w:rsid w:val="38F94775"/>
    <w:rsid w:val="39025AD6"/>
    <w:rsid w:val="392971ED"/>
    <w:rsid w:val="39325651"/>
    <w:rsid w:val="3949339B"/>
    <w:rsid w:val="39495149"/>
    <w:rsid w:val="394B53CF"/>
    <w:rsid w:val="396C3072"/>
    <w:rsid w:val="398443D3"/>
    <w:rsid w:val="39902D77"/>
    <w:rsid w:val="39C41618"/>
    <w:rsid w:val="39DA3F44"/>
    <w:rsid w:val="39E91191"/>
    <w:rsid w:val="3A0B2CF9"/>
    <w:rsid w:val="3A173499"/>
    <w:rsid w:val="3A1E0383"/>
    <w:rsid w:val="3A5E7CBC"/>
    <w:rsid w:val="3A872856"/>
    <w:rsid w:val="3A972DD2"/>
    <w:rsid w:val="3AA54601"/>
    <w:rsid w:val="3ACF7098"/>
    <w:rsid w:val="3ADE2FAA"/>
    <w:rsid w:val="3AE55345"/>
    <w:rsid w:val="3AEA4709"/>
    <w:rsid w:val="3B0C0B24"/>
    <w:rsid w:val="3B253993"/>
    <w:rsid w:val="3B2767FC"/>
    <w:rsid w:val="3B3763D1"/>
    <w:rsid w:val="3B3B4F65"/>
    <w:rsid w:val="3B473D94"/>
    <w:rsid w:val="3B63409B"/>
    <w:rsid w:val="3B6B37DA"/>
    <w:rsid w:val="3B732261"/>
    <w:rsid w:val="3B741A56"/>
    <w:rsid w:val="3B85018E"/>
    <w:rsid w:val="3B8B3748"/>
    <w:rsid w:val="3BC7317B"/>
    <w:rsid w:val="3BD038FF"/>
    <w:rsid w:val="3BED44B1"/>
    <w:rsid w:val="3BF350F4"/>
    <w:rsid w:val="3BFD0102"/>
    <w:rsid w:val="3C0D06AF"/>
    <w:rsid w:val="3C2F6E1E"/>
    <w:rsid w:val="3C326368"/>
    <w:rsid w:val="3C371BD0"/>
    <w:rsid w:val="3C4F64BA"/>
    <w:rsid w:val="3C5A24B7"/>
    <w:rsid w:val="3C6B1A78"/>
    <w:rsid w:val="3C6B3628"/>
    <w:rsid w:val="3C786EC3"/>
    <w:rsid w:val="3C804C2E"/>
    <w:rsid w:val="3C9E7EBE"/>
    <w:rsid w:val="3CBA0813"/>
    <w:rsid w:val="3CBB0907"/>
    <w:rsid w:val="3CC75E4F"/>
    <w:rsid w:val="3CD63197"/>
    <w:rsid w:val="3CDA245A"/>
    <w:rsid w:val="3CE139AC"/>
    <w:rsid w:val="3CE93461"/>
    <w:rsid w:val="3D0C2143"/>
    <w:rsid w:val="3D103344"/>
    <w:rsid w:val="3D1B504E"/>
    <w:rsid w:val="3D1E06B7"/>
    <w:rsid w:val="3D4D2D2E"/>
    <w:rsid w:val="3D5373E0"/>
    <w:rsid w:val="3D930A30"/>
    <w:rsid w:val="3DBF3C2B"/>
    <w:rsid w:val="3DF31B27"/>
    <w:rsid w:val="3DFF49A8"/>
    <w:rsid w:val="3E111FAD"/>
    <w:rsid w:val="3E350391"/>
    <w:rsid w:val="3E5E3444"/>
    <w:rsid w:val="3E5F3BF8"/>
    <w:rsid w:val="3E6B5B61"/>
    <w:rsid w:val="3E7C3164"/>
    <w:rsid w:val="3E90168C"/>
    <w:rsid w:val="3EDA0523"/>
    <w:rsid w:val="3EEA117C"/>
    <w:rsid w:val="3F1B4E33"/>
    <w:rsid w:val="3F2A148C"/>
    <w:rsid w:val="3F366C36"/>
    <w:rsid w:val="3F391F17"/>
    <w:rsid w:val="3F3A2A51"/>
    <w:rsid w:val="3F3C12AC"/>
    <w:rsid w:val="3F4D1DA7"/>
    <w:rsid w:val="3F6C0686"/>
    <w:rsid w:val="3F6C7EC6"/>
    <w:rsid w:val="3F6F25EF"/>
    <w:rsid w:val="3F840B09"/>
    <w:rsid w:val="3FB80C5D"/>
    <w:rsid w:val="3FCE1A84"/>
    <w:rsid w:val="3FDF05B5"/>
    <w:rsid w:val="3FED0F2A"/>
    <w:rsid w:val="40034533"/>
    <w:rsid w:val="40086724"/>
    <w:rsid w:val="40093884"/>
    <w:rsid w:val="400B2868"/>
    <w:rsid w:val="40295CD4"/>
    <w:rsid w:val="405F34A4"/>
    <w:rsid w:val="40623AEA"/>
    <w:rsid w:val="40630593"/>
    <w:rsid w:val="406B3BF6"/>
    <w:rsid w:val="407A6407"/>
    <w:rsid w:val="40BC1CAC"/>
    <w:rsid w:val="40CA7B2F"/>
    <w:rsid w:val="40EF2A79"/>
    <w:rsid w:val="41045AF3"/>
    <w:rsid w:val="4110479E"/>
    <w:rsid w:val="411918A4"/>
    <w:rsid w:val="413E7B51"/>
    <w:rsid w:val="41577F58"/>
    <w:rsid w:val="415C52D1"/>
    <w:rsid w:val="416A0352"/>
    <w:rsid w:val="417A278B"/>
    <w:rsid w:val="418F5D0F"/>
    <w:rsid w:val="41B63597"/>
    <w:rsid w:val="41C94B7F"/>
    <w:rsid w:val="41D81490"/>
    <w:rsid w:val="41E376E1"/>
    <w:rsid w:val="41FF6288"/>
    <w:rsid w:val="4200449D"/>
    <w:rsid w:val="4205007B"/>
    <w:rsid w:val="42170990"/>
    <w:rsid w:val="42266404"/>
    <w:rsid w:val="42380450"/>
    <w:rsid w:val="423A3BCC"/>
    <w:rsid w:val="424E57D2"/>
    <w:rsid w:val="42784CF1"/>
    <w:rsid w:val="42892A5A"/>
    <w:rsid w:val="428D254A"/>
    <w:rsid w:val="42937D85"/>
    <w:rsid w:val="42AC04F6"/>
    <w:rsid w:val="42B26C49"/>
    <w:rsid w:val="42F55E4F"/>
    <w:rsid w:val="42F8373B"/>
    <w:rsid w:val="430345BA"/>
    <w:rsid w:val="432A382B"/>
    <w:rsid w:val="432F3601"/>
    <w:rsid w:val="433A6FE6"/>
    <w:rsid w:val="43432C09"/>
    <w:rsid w:val="43480868"/>
    <w:rsid w:val="4350713C"/>
    <w:rsid w:val="436653E0"/>
    <w:rsid w:val="43671FE0"/>
    <w:rsid w:val="436F1C50"/>
    <w:rsid w:val="438C2802"/>
    <w:rsid w:val="43C4431A"/>
    <w:rsid w:val="43CB374F"/>
    <w:rsid w:val="43D210A9"/>
    <w:rsid w:val="43E91A02"/>
    <w:rsid w:val="443639BB"/>
    <w:rsid w:val="444035EC"/>
    <w:rsid w:val="44492AC9"/>
    <w:rsid w:val="445E5CB0"/>
    <w:rsid w:val="44610641"/>
    <w:rsid w:val="447353BD"/>
    <w:rsid w:val="44811E49"/>
    <w:rsid w:val="448B4217"/>
    <w:rsid w:val="44935825"/>
    <w:rsid w:val="449F6565"/>
    <w:rsid w:val="44A616A1"/>
    <w:rsid w:val="44B951CC"/>
    <w:rsid w:val="44C32D1F"/>
    <w:rsid w:val="44C37EA1"/>
    <w:rsid w:val="44CD14E0"/>
    <w:rsid w:val="44D97CC8"/>
    <w:rsid w:val="44DE708D"/>
    <w:rsid w:val="44F20B0B"/>
    <w:rsid w:val="450B1E4C"/>
    <w:rsid w:val="452151CC"/>
    <w:rsid w:val="452E5F4C"/>
    <w:rsid w:val="453523FD"/>
    <w:rsid w:val="4540264A"/>
    <w:rsid w:val="455A248C"/>
    <w:rsid w:val="45612018"/>
    <w:rsid w:val="45701CAF"/>
    <w:rsid w:val="45790035"/>
    <w:rsid w:val="457D462B"/>
    <w:rsid w:val="45885EA9"/>
    <w:rsid w:val="458946E9"/>
    <w:rsid w:val="459070D4"/>
    <w:rsid w:val="459736E0"/>
    <w:rsid w:val="45973D1D"/>
    <w:rsid w:val="45A47C0E"/>
    <w:rsid w:val="46146ADE"/>
    <w:rsid w:val="46226F8A"/>
    <w:rsid w:val="46380A1F"/>
    <w:rsid w:val="46420213"/>
    <w:rsid w:val="464A2500"/>
    <w:rsid w:val="465655A4"/>
    <w:rsid w:val="46577FD6"/>
    <w:rsid w:val="46731A57"/>
    <w:rsid w:val="46B053A1"/>
    <w:rsid w:val="46B06807"/>
    <w:rsid w:val="46BC7362"/>
    <w:rsid w:val="46D955A7"/>
    <w:rsid w:val="46DC3AA0"/>
    <w:rsid w:val="47133957"/>
    <w:rsid w:val="4723347D"/>
    <w:rsid w:val="47236A32"/>
    <w:rsid w:val="47401E7A"/>
    <w:rsid w:val="474C38CF"/>
    <w:rsid w:val="47573126"/>
    <w:rsid w:val="478362F0"/>
    <w:rsid w:val="4794108C"/>
    <w:rsid w:val="47A0687C"/>
    <w:rsid w:val="47A07E0C"/>
    <w:rsid w:val="47B265AF"/>
    <w:rsid w:val="47BF6F89"/>
    <w:rsid w:val="48307997"/>
    <w:rsid w:val="48382F58"/>
    <w:rsid w:val="48631243"/>
    <w:rsid w:val="4870272E"/>
    <w:rsid w:val="48CE1A9E"/>
    <w:rsid w:val="48F0738F"/>
    <w:rsid w:val="4904108C"/>
    <w:rsid w:val="490E1F0B"/>
    <w:rsid w:val="49180694"/>
    <w:rsid w:val="493C188A"/>
    <w:rsid w:val="49505EAD"/>
    <w:rsid w:val="49695393"/>
    <w:rsid w:val="49793828"/>
    <w:rsid w:val="49807EB7"/>
    <w:rsid w:val="49A33B13"/>
    <w:rsid w:val="49C54500"/>
    <w:rsid w:val="49DC7715"/>
    <w:rsid w:val="49F12379"/>
    <w:rsid w:val="49F66C27"/>
    <w:rsid w:val="4A023139"/>
    <w:rsid w:val="4A032B06"/>
    <w:rsid w:val="4A1F5241"/>
    <w:rsid w:val="4A317C5F"/>
    <w:rsid w:val="4A4A0D21"/>
    <w:rsid w:val="4A7144FF"/>
    <w:rsid w:val="4A7B576F"/>
    <w:rsid w:val="4A83540F"/>
    <w:rsid w:val="4A8835F7"/>
    <w:rsid w:val="4A9621B8"/>
    <w:rsid w:val="4AB31279"/>
    <w:rsid w:val="4AB83EDC"/>
    <w:rsid w:val="4AC26B09"/>
    <w:rsid w:val="4AE36C07"/>
    <w:rsid w:val="4AF561A9"/>
    <w:rsid w:val="4B2E0642"/>
    <w:rsid w:val="4B3C56F2"/>
    <w:rsid w:val="4B481704"/>
    <w:rsid w:val="4B506A63"/>
    <w:rsid w:val="4B6D116B"/>
    <w:rsid w:val="4B703E8A"/>
    <w:rsid w:val="4B736055"/>
    <w:rsid w:val="4B83273C"/>
    <w:rsid w:val="4B8E31F1"/>
    <w:rsid w:val="4BBD5522"/>
    <w:rsid w:val="4BCC547D"/>
    <w:rsid w:val="4BFE70B6"/>
    <w:rsid w:val="4C2537F3"/>
    <w:rsid w:val="4C4A0649"/>
    <w:rsid w:val="4C4D2740"/>
    <w:rsid w:val="4C513462"/>
    <w:rsid w:val="4C5414AB"/>
    <w:rsid w:val="4C7E5ECA"/>
    <w:rsid w:val="4C876AA5"/>
    <w:rsid w:val="4C8B005F"/>
    <w:rsid w:val="4C9B5863"/>
    <w:rsid w:val="4CAA0DD8"/>
    <w:rsid w:val="4CBD57DA"/>
    <w:rsid w:val="4CC052CA"/>
    <w:rsid w:val="4CC90623"/>
    <w:rsid w:val="4CE04FDB"/>
    <w:rsid w:val="4CE90CC5"/>
    <w:rsid w:val="4D0201D0"/>
    <w:rsid w:val="4D0E00FB"/>
    <w:rsid w:val="4D176606"/>
    <w:rsid w:val="4D1B0752"/>
    <w:rsid w:val="4D4055C0"/>
    <w:rsid w:val="4D5325E2"/>
    <w:rsid w:val="4D6614CB"/>
    <w:rsid w:val="4D6C0FAE"/>
    <w:rsid w:val="4D8220AC"/>
    <w:rsid w:val="4DCD5A37"/>
    <w:rsid w:val="4DD40DC6"/>
    <w:rsid w:val="4DE153CA"/>
    <w:rsid w:val="4DEC4FB0"/>
    <w:rsid w:val="4DFE254E"/>
    <w:rsid w:val="4E075D8A"/>
    <w:rsid w:val="4E502893"/>
    <w:rsid w:val="4E532D58"/>
    <w:rsid w:val="4E7531C7"/>
    <w:rsid w:val="4E7540BA"/>
    <w:rsid w:val="4E8D6F35"/>
    <w:rsid w:val="4E944C60"/>
    <w:rsid w:val="4E9A049C"/>
    <w:rsid w:val="4EA2737D"/>
    <w:rsid w:val="4EA36C37"/>
    <w:rsid w:val="4EB34E02"/>
    <w:rsid w:val="4EB54CA5"/>
    <w:rsid w:val="4EC00FAD"/>
    <w:rsid w:val="4EE51018"/>
    <w:rsid w:val="4EE67C1A"/>
    <w:rsid w:val="4EE9281A"/>
    <w:rsid w:val="4EEF633A"/>
    <w:rsid w:val="4EF50FCB"/>
    <w:rsid w:val="4F112C81"/>
    <w:rsid w:val="4F1418FD"/>
    <w:rsid w:val="4F195A30"/>
    <w:rsid w:val="4F1A0CDA"/>
    <w:rsid w:val="4F436D2D"/>
    <w:rsid w:val="4F4C16EA"/>
    <w:rsid w:val="4F5412BD"/>
    <w:rsid w:val="4F7C5E20"/>
    <w:rsid w:val="4F8E345D"/>
    <w:rsid w:val="4F9843DC"/>
    <w:rsid w:val="4FA40ED3"/>
    <w:rsid w:val="4FAF53FC"/>
    <w:rsid w:val="4FC62A8C"/>
    <w:rsid w:val="4FCA260C"/>
    <w:rsid w:val="4FE20F0D"/>
    <w:rsid w:val="4FE51552"/>
    <w:rsid w:val="4FE80CC1"/>
    <w:rsid w:val="4FF44D7B"/>
    <w:rsid w:val="4FFA476D"/>
    <w:rsid w:val="500B0F52"/>
    <w:rsid w:val="503D72F6"/>
    <w:rsid w:val="50504C4B"/>
    <w:rsid w:val="50552435"/>
    <w:rsid w:val="506566DA"/>
    <w:rsid w:val="507414FF"/>
    <w:rsid w:val="50812FC2"/>
    <w:rsid w:val="508C257C"/>
    <w:rsid w:val="50916518"/>
    <w:rsid w:val="50924AD3"/>
    <w:rsid w:val="509C6E7C"/>
    <w:rsid w:val="509E5922"/>
    <w:rsid w:val="50AB7913"/>
    <w:rsid w:val="50EB7394"/>
    <w:rsid w:val="50F934A0"/>
    <w:rsid w:val="51152D20"/>
    <w:rsid w:val="511F2F07"/>
    <w:rsid w:val="512849B4"/>
    <w:rsid w:val="51465A67"/>
    <w:rsid w:val="515A3067"/>
    <w:rsid w:val="5162104E"/>
    <w:rsid w:val="516375F5"/>
    <w:rsid w:val="517B4996"/>
    <w:rsid w:val="518014CC"/>
    <w:rsid w:val="51A76A58"/>
    <w:rsid w:val="51B178D7"/>
    <w:rsid w:val="51B573C7"/>
    <w:rsid w:val="51C82097"/>
    <w:rsid w:val="51CF58FB"/>
    <w:rsid w:val="51D610EC"/>
    <w:rsid w:val="51D634E3"/>
    <w:rsid w:val="51E30F31"/>
    <w:rsid w:val="520E3564"/>
    <w:rsid w:val="52141EBF"/>
    <w:rsid w:val="521B19DD"/>
    <w:rsid w:val="521D148B"/>
    <w:rsid w:val="523956D4"/>
    <w:rsid w:val="525564B4"/>
    <w:rsid w:val="52A51493"/>
    <w:rsid w:val="52A7153C"/>
    <w:rsid w:val="52B57EEA"/>
    <w:rsid w:val="52F11D2A"/>
    <w:rsid w:val="52F61A70"/>
    <w:rsid w:val="53005A6E"/>
    <w:rsid w:val="53233119"/>
    <w:rsid w:val="532D7F79"/>
    <w:rsid w:val="53883955"/>
    <w:rsid w:val="5399057C"/>
    <w:rsid w:val="539C7B01"/>
    <w:rsid w:val="53A039CC"/>
    <w:rsid w:val="53A1505A"/>
    <w:rsid w:val="53B26BD2"/>
    <w:rsid w:val="53BF452D"/>
    <w:rsid w:val="53D73EA5"/>
    <w:rsid w:val="53FA6733"/>
    <w:rsid w:val="54063E08"/>
    <w:rsid w:val="543437E8"/>
    <w:rsid w:val="54454859"/>
    <w:rsid w:val="54601828"/>
    <w:rsid w:val="54662BFB"/>
    <w:rsid w:val="54776BB6"/>
    <w:rsid w:val="548B7EB9"/>
    <w:rsid w:val="54B323D7"/>
    <w:rsid w:val="54B90FC5"/>
    <w:rsid w:val="54D97871"/>
    <w:rsid w:val="54F73313"/>
    <w:rsid w:val="54F80955"/>
    <w:rsid w:val="55027729"/>
    <w:rsid w:val="55393B44"/>
    <w:rsid w:val="553A5DBC"/>
    <w:rsid w:val="55406AE0"/>
    <w:rsid w:val="555170A7"/>
    <w:rsid w:val="555563F6"/>
    <w:rsid w:val="55585BCC"/>
    <w:rsid w:val="556233C2"/>
    <w:rsid w:val="5565384F"/>
    <w:rsid w:val="557430F6"/>
    <w:rsid w:val="55824C69"/>
    <w:rsid w:val="5587536D"/>
    <w:rsid w:val="559355FF"/>
    <w:rsid w:val="559B174B"/>
    <w:rsid w:val="55AF2A34"/>
    <w:rsid w:val="55B162AC"/>
    <w:rsid w:val="55CE0CF4"/>
    <w:rsid w:val="55D10548"/>
    <w:rsid w:val="55D63DB0"/>
    <w:rsid w:val="55EF09CE"/>
    <w:rsid w:val="55FA7A9F"/>
    <w:rsid w:val="55FB55C5"/>
    <w:rsid w:val="56097C71"/>
    <w:rsid w:val="561A1EEF"/>
    <w:rsid w:val="561E5C2D"/>
    <w:rsid w:val="56220DA3"/>
    <w:rsid w:val="5637310B"/>
    <w:rsid w:val="56584FC5"/>
    <w:rsid w:val="565A22EB"/>
    <w:rsid w:val="56610120"/>
    <w:rsid w:val="568C5381"/>
    <w:rsid w:val="569577C7"/>
    <w:rsid w:val="56A30136"/>
    <w:rsid w:val="56A65531"/>
    <w:rsid w:val="56B22A9C"/>
    <w:rsid w:val="56D52F08"/>
    <w:rsid w:val="56E04EE6"/>
    <w:rsid w:val="56E10C5F"/>
    <w:rsid w:val="56E36785"/>
    <w:rsid w:val="57153B2A"/>
    <w:rsid w:val="572719D3"/>
    <w:rsid w:val="572826FA"/>
    <w:rsid w:val="57381DBB"/>
    <w:rsid w:val="573C40E7"/>
    <w:rsid w:val="576B5351"/>
    <w:rsid w:val="578A490A"/>
    <w:rsid w:val="57A70387"/>
    <w:rsid w:val="57AC4455"/>
    <w:rsid w:val="57B72A76"/>
    <w:rsid w:val="57C3426C"/>
    <w:rsid w:val="57CD116A"/>
    <w:rsid w:val="57CE1F93"/>
    <w:rsid w:val="57F97FAD"/>
    <w:rsid w:val="583D1EC5"/>
    <w:rsid w:val="586F24D7"/>
    <w:rsid w:val="588743D1"/>
    <w:rsid w:val="5887701A"/>
    <w:rsid w:val="589715D5"/>
    <w:rsid w:val="58D63CE3"/>
    <w:rsid w:val="58F212EB"/>
    <w:rsid w:val="59142C25"/>
    <w:rsid w:val="591E34A5"/>
    <w:rsid w:val="591E6BCB"/>
    <w:rsid w:val="592065EC"/>
    <w:rsid w:val="59253085"/>
    <w:rsid w:val="5930648C"/>
    <w:rsid w:val="594A67BA"/>
    <w:rsid w:val="594B2A08"/>
    <w:rsid w:val="595F352B"/>
    <w:rsid w:val="59643B25"/>
    <w:rsid w:val="59722042"/>
    <w:rsid w:val="59796F2C"/>
    <w:rsid w:val="599427CE"/>
    <w:rsid w:val="59A246D5"/>
    <w:rsid w:val="59B27F8B"/>
    <w:rsid w:val="59B35EE3"/>
    <w:rsid w:val="59C0439F"/>
    <w:rsid w:val="59C83A10"/>
    <w:rsid w:val="59CE2FAA"/>
    <w:rsid w:val="5A020049"/>
    <w:rsid w:val="5A596DE6"/>
    <w:rsid w:val="5A673229"/>
    <w:rsid w:val="5A7317BD"/>
    <w:rsid w:val="5A834F08"/>
    <w:rsid w:val="5A86096D"/>
    <w:rsid w:val="5ABE2233"/>
    <w:rsid w:val="5AC02939"/>
    <w:rsid w:val="5AD621EF"/>
    <w:rsid w:val="5AE707F0"/>
    <w:rsid w:val="5AFF52D9"/>
    <w:rsid w:val="5B022F52"/>
    <w:rsid w:val="5B3F7D02"/>
    <w:rsid w:val="5B4D241F"/>
    <w:rsid w:val="5B503CBD"/>
    <w:rsid w:val="5B877EDE"/>
    <w:rsid w:val="5B90055D"/>
    <w:rsid w:val="5BA46CE2"/>
    <w:rsid w:val="5BA940E8"/>
    <w:rsid w:val="5BB66779"/>
    <w:rsid w:val="5BB95D06"/>
    <w:rsid w:val="5BCE2C90"/>
    <w:rsid w:val="5BDF5D95"/>
    <w:rsid w:val="5BEC298C"/>
    <w:rsid w:val="5BFE7528"/>
    <w:rsid w:val="5C020F61"/>
    <w:rsid w:val="5C234E22"/>
    <w:rsid w:val="5C2A15C6"/>
    <w:rsid w:val="5C3D63E5"/>
    <w:rsid w:val="5C4E644E"/>
    <w:rsid w:val="5C5F5FDC"/>
    <w:rsid w:val="5C6323E1"/>
    <w:rsid w:val="5C757E7F"/>
    <w:rsid w:val="5C761E49"/>
    <w:rsid w:val="5C823448"/>
    <w:rsid w:val="5C8E7193"/>
    <w:rsid w:val="5C8F2147"/>
    <w:rsid w:val="5CAE553B"/>
    <w:rsid w:val="5CB201BD"/>
    <w:rsid w:val="5CCB5CF1"/>
    <w:rsid w:val="5CD831E3"/>
    <w:rsid w:val="5CF74E63"/>
    <w:rsid w:val="5D0F623A"/>
    <w:rsid w:val="5D425180"/>
    <w:rsid w:val="5D8436A5"/>
    <w:rsid w:val="5D864346"/>
    <w:rsid w:val="5DCB29F3"/>
    <w:rsid w:val="5DDE524A"/>
    <w:rsid w:val="5DE91890"/>
    <w:rsid w:val="5DF272AD"/>
    <w:rsid w:val="5E0335A2"/>
    <w:rsid w:val="5E070CBD"/>
    <w:rsid w:val="5E2467F1"/>
    <w:rsid w:val="5E705F61"/>
    <w:rsid w:val="5E737B68"/>
    <w:rsid w:val="5E8621BD"/>
    <w:rsid w:val="5EA93E10"/>
    <w:rsid w:val="5EC734A7"/>
    <w:rsid w:val="5EDD7F5D"/>
    <w:rsid w:val="5EE017FC"/>
    <w:rsid w:val="5EE35BEB"/>
    <w:rsid w:val="5EEC59BC"/>
    <w:rsid w:val="5F05442F"/>
    <w:rsid w:val="5F1A2B43"/>
    <w:rsid w:val="5F1A2F60"/>
    <w:rsid w:val="5F27133B"/>
    <w:rsid w:val="5F6E0BB6"/>
    <w:rsid w:val="5F790873"/>
    <w:rsid w:val="5F824661"/>
    <w:rsid w:val="5F8D66F8"/>
    <w:rsid w:val="5F9268DB"/>
    <w:rsid w:val="5F9C5455"/>
    <w:rsid w:val="5FB837BB"/>
    <w:rsid w:val="5FB844E9"/>
    <w:rsid w:val="5FBF2B25"/>
    <w:rsid w:val="5FE62E42"/>
    <w:rsid w:val="6002014A"/>
    <w:rsid w:val="601B6F8F"/>
    <w:rsid w:val="606F72DB"/>
    <w:rsid w:val="60762543"/>
    <w:rsid w:val="608B5AEC"/>
    <w:rsid w:val="608E7761"/>
    <w:rsid w:val="60A52CFD"/>
    <w:rsid w:val="60A9459B"/>
    <w:rsid w:val="60C11A6A"/>
    <w:rsid w:val="60CC405A"/>
    <w:rsid w:val="61630BEE"/>
    <w:rsid w:val="616E53F6"/>
    <w:rsid w:val="61707F91"/>
    <w:rsid w:val="61C84EF5"/>
    <w:rsid w:val="61D30753"/>
    <w:rsid w:val="61D753A1"/>
    <w:rsid w:val="61DF12F2"/>
    <w:rsid w:val="61E215D8"/>
    <w:rsid w:val="61ED1794"/>
    <w:rsid w:val="620F1AC6"/>
    <w:rsid w:val="621551CF"/>
    <w:rsid w:val="621B3775"/>
    <w:rsid w:val="622F2D2A"/>
    <w:rsid w:val="62364782"/>
    <w:rsid w:val="625B63C5"/>
    <w:rsid w:val="627E6541"/>
    <w:rsid w:val="62B62BAD"/>
    <w:rsid w:val="62BB6808"/>
    <w:rsid w:val="62C02E96"/>
    <w:rsid w:val="62D16199"/>
    <w:rsid w:val="62D6719E"/>
    <w:rsid w:val="62FC4477"/>
    <w:rsid w:val="630F3F38"/>
    <w:rsid w:val="63520F1A"/>
    <w:rsid w:val="63555F06"/>
    <w:rsid w:val="635D3329"/>
    <w:rsid w:val="635F3637"/>
    <w:rsid w:val="637871C7"/>
    <w:rsid w:val="6381535B"/>
    <w:rsid w:val="6384309D"/>
    <w:rsid w:val="638C3D00"/>
    <w:rsid w:val="639141AA"/>
    <w:rsid w:val="63940CAF"/>
    <w:rsid w:val="63942566"/>
    <w:rsid w:val="6394356A"/>
    <w:rsid w:val="63C61B2C"/>
    <w:rsid w:val="63CC0713"/>
    <w:rsid w:val="63D24ECA"/>
    <w:rsid w:val="63D40BE9"/>
    <w:rsid w:val="63DF2082"/>
    <w:rsid w:val="63FC132D"/>
    <w:rsid w:val="64102431"/>
    <w:rsid w:val="642E3CB8"/>
    <w:rsid w:val="642E7722"/>
    <w:rsid w:val="642F67E7"/>
    <w:rsid w:val="644520EB"/>
    <w:rsid w:val="64461AB8"/>
    <w:rsid w:val="645C7B76"/>
    <w:rsid w:val="64632349"/>
    <w:rsid w:val="646C1136"/>
    <w:rsid w:val="64916833"/>
    <w:rsid w:val="64A5243A"/>
    <w:rsid w:val="64F531DE"/>
    <w:rsid w:val="64F8164D"/>
    <w:rsid w:val="64FF3D1B"/>
    <w:rsid w:val="6502427A"/>
    <w:rsid w:val="650E7B4D"/>
    <w:rsid w:val="652778E1"/>
    <w:rsid w:val="65373578"/>
    <w:rsid w:val="653E6F19"/>
    <w:rsid w:val="653F12CB"/>
    <w:rsid w:val="6545060B"/>
    <w:rsid w:val="65605444"/>
    <w:rsid w:val="65622F6B"/>
    <w:rsid w:val="65794933"/>
    <w:rsid w:val="657C58B7"/>
    <w:rsid w:val="659D51CC"/>
    <w:rsid w:val="65BC08CD"/>
    <w:rsid w:val="65D06126"/>
    <w:rsid w:val="65EA0CC9"/>
    <w:rsid w:val="660202AA"/>
    <w:rsid w:val="660B53B0"/>
    <w:rsid w:val="661324B7"/>
    <w:rsid w:val="66235272"/>
    <w:rsid w:val="66464D7E"/>
    <w:rsid w:val="664A237C"/>
    <w:rsid w:val="664E0EA5"/>
    <w:rsid w:val="665C3E5E"/>
    <w:rsid w:val="666902A6"/>
    <w:rsid w:val="668533B4"/>
    <w:rsid w:val="66B6356E"/>
    <w:rsid w:val="66BA095E"/>
    <w:rsid w:val="66C946D9"/>
    <w:rsid w:val="66D02156"/>
    <w:rsid w:val="66EF5C92"/>
    <w:rsid w:val="66F8003A"/>
    <w:rsid w:val="66F95B50"/>
    <w:rsid w:val="67112E9A"/>
    <w:rsid w:val="671169F6"/>
    <w:rsid w:val="67135656"/>
    <w:rsid w:val="6716225F"/>
    <w:rsid w:val="67185FD7"/>
    <w:rsid w:val="671F124A"/>
    <w:rsid w:val="67271640"/>
    <w:rsid w:val="674A015A"/>
    <w:rsid w:val="67656D42"/>
    <w:rsid w:val="677A33C6"/>
    <w:rsid w:val="67A71109"/>
    <w:rsid w:val="67B46B65"/>
    <w:rsid w:val="681A3FD0"/>
    <w:rsid w:val="681D7C60"/>
    <w:rsid w:val="681F6961"/>
    <w:rsid w:val="6828172D"/>
    <w:rsid w:val="684739A8"/>
    <w:rsid w:val="68582403"/>
    <w:rsid w:val="68610A2F"/>
    <w:rsid w:val="687A681D"/>
    <w:rsid w:val="68805514"/>
    <w:rsid w:val="68DE3D33"/>
    <w:rsid w:val="690B4CFB"/>
    <w:rsid w:val="690D143F"/>
    <w:rsid w:val="690F3409"/>
    <w:rsid w:val="691C7D63"/>
    <w:rsid w:val="69215CB8"/>
    <w:rsid w:val="69316E2F"/>
    <w:rsid w:val="693E77B0"/>
    <w:rsid w:val="694E2071"/>
    <w:rsid w:val="69531548"/>
    <w:rsid w:val="6957358A"/>
    <w:rsid w:val="696B5589"/>
    <w:rsid w:val="69766163"/>
    <w:rsid w:val="697A3B33"/>
    <w:rsid w:val="697C3B65"/>
    <w:rsid w:val="6988406D"/>
    <w:rsid w:val="699F653B"/>
    <w:rsid w:val="69BD2E65"/>
    <w:rsid w:val="69D44760"/>
    <w:rsid w:val="69EB1780"/>
    <w:rsid w:val="69F72936"/>
    <w:rsid w:val="69F80BFC"/>
    <w:rsid w:val="6A0746BF"/>
    <w:rsid w:val="6A2922A9"/>
    <w:rsid w:val="6A3F7D1E"/>
    <w:rsid w:val="6A4913B5"/>
    <w:rsid w:val="6A520EC7"/>
    <w:rsid w:val="6AA67D9D"/>
    <w:rsid w:val="6AA70E28"/>
    <w:rsid w:val="6AA875F7"/>
    <w:rsid w:val="6AAD2DB2"/>
    <w:rsid w:val="6AAE27AE"/>
    <w:rsid w:val="6ABE3B1C"/>
    <w:rsid w:val="6AD06466"/>
    <w:rsid w:val="6AD918C3"/>
    <w:rsid w:val="6AF87E20"/>
    <w:rsid w:val="6B014FD4"/>
    <w:rsid w:val="6B1765E4"/>
    <w:rsid w:val="6B1C774A"/>
    <w:rsid w:val="6B27067A"/>
    <w:rsid w:val="6B322639"/>
    <w:rsid w:val="6B3F49C8"/>
    <w:rsid w:val="6B5477F9"/>
    <w:rsid w:val="6B5C220A"/>
    <w:rsid w:val="6B607066"/>
    <w:rsid w:val="6BA240C1"/>
    <w:rsid w:val="6BA738D4"/>
    <w:rsid w:val="6BA73E6E"/>
    <w:rsid w:val="6BC168B5"/>
    <w:rsid w:val="6BC77FCB"/>
    <w:rsid w:val="6BCA111F"/>
    <w:rsid w:val="6BDE3DB5"/>
    <w:rsid w:val="6C044D7B"/>
    <w:rsid w:val="6C184383"/>
    <w:rsid w:val="6C5279B2"/>
    <w:rsid w:val="6C636C38"/>
    <w:rsid w:val="6C700663"/>
    <w:rsid w:val="6C811FFD"/>
    <w:rsid w:val="6C8163CC"/>
    <w:rsid w:val="6CF15220"/>
    <w:rsid w:val="6D031B69"/>
    <w:rsid w:val="6D100720"/>
    <w:rsid w:val="6D2677FC"/>
    <w:rsid w:val="6D2D20B0"/>
    <w:rsid w:val="6D43230F"/>
    <w:rsid w:val="6D623811"/>
    <w:rsid w:val="6D656628"/>
    <w:rsid w:val="6D6E6B6B"/>
    <w:rsid w:val="6D714693"/>
    <w:rsid w:val="6D8617C0"/>
    <w:rsid w:val="6D8B6BE4"/>
    <w:rsid w:val="6D964144"/>
    <w:rsid w:val="6DAD4F9F"/>
    <w:rsid w:val="6DB34098"/>
    <w:rsid w:val="6DB52698"/>
    <w:rsid w:val="6DB545B6"/>
    <w:rsid w:val="6DD90715"/>
    <w:rsid w:val="6DE02FB4"/>
    <w:rsid w:val="6DE63302"/>
    <w:rsid w:val="6E012965"/>
    <w:rsid w:val="6E041063"/>
    <w:rsid w:val="6E0E2143"/>
    <w:rsid w:val="6E2378C1"/>
    <w:rsid w:val="6E257913"/>
    <w:rsid w:val="6E2A4841"/>
    <w:rsid w:val="6E2E7ECC"/>
    <w:rsid w:val="6E4C2FBA"/>
    <w:rsid w:val="6E514CED"/>
    <w:rsid w:val="6E5518BE"/>
    <w:rsid w:val="6E7C42C8"/>
    <w:rsid w:val="6E843F52"/>
    <w:rsid w:val="6EB563D5"/>
    <w:rsid w:val="6EB94E6D"/>
    <w:rsid w:val="6ECE341F"/>
    <w:rsid w:val="6ED5421A"/>
    <w:rsid w:val="6ED749C9"/>
    <w:rsid w:val="6ED92677"/>
    <w:rsid w:val="6EF0248F"/>
    <w:rsid w:val="6F0A3AFB"/>
    <w:rsid w:val="6F225983"/>
    <w:rsid w:val="6F2A6F6F"/>
    <w:rsid w:val="6F566D49"/>
    <w:rsid w:val="6F5A2DFE"/>
    <w:rsid w:val="6F5F4A4D"/>
    <w:rsid w:val="6F6049BF"/>
    <w:rsid w:val="6F991C7F"/>
    <w:rsid w:val="6F9E212C"/>
    <w:rsid w:val="6FAA5C3A"/>
    <w:rsid w:val="6FD43436"/>
    <w:rsid w:val="6FD52F5C"/>
    <w:rsid w:val="6FE43808"/>
    <w:rsid w:val="6FF34176"/>
    <w:rsid w:val="6FFC5590"/>
    <w:rsid w:val="70022B97"/>
    <w:rsid w:val="700A0487"/>
    <w:rsid w:val="701F501C"/>
    <w:rsid w:val="702E23C7"/>
    <w:rsid w:val="70540C83"/>
    <w:rsid w:val="70561CBC"/>
    <w:rsid w:val="70616401"/>
    <w:rsid w:val="70696A50"/>
    <w:rsid w:val="706D1DD0"/>
    <w:rsid w:val="70856B87"/>
    <w:rsid w:val="70AE52B6"/>
    <w:rsid w:val="70B9041F"/>
    <w:rsid w:val="70BD6212"/>
    <w:rsid w:val="70D527EE"/>
    <w:rsid w:val="70D90117"/>
    <w:rsid w:val="70E64A50"/>
    <w:rsid w:val="7104581E"/>
    <w:rsid w:val="713F014B"/>
    <w:rsid w:val="71587CD3"/>
    <w:rsid w:val="715B5300"/>
    <w:rsid w:val="715F2A54"/>
    <w:rsid w:val="719764F7"/>
    <w:rsid w:val="71B72890"/>
    <w:rsid w:val="71BF2CC8"/>
    <w:rsid w:val="71C46393"/>
    <w:rsid w:val="71C84F54"/>
    <w:rsid w:val="71CA611F"/>
    <w:rsid w:val="71CC77C2"/>
    <w:rsid w:val="71D27F8A"/>
    <w:rsid w:val="72194E0E"/>
    <w:rsid w:val="722E5DA3"/>
    <w:rsid w:val="72553024"/>
    <w:rsid w:val="7265409A"/>
    <w:rsid w:val="72936E59"/>
    <w:rsid w:val="729E6109"/>
    <w:rsid w:val="72BD0483"/>
    <w:rsid w:val="72CB65F3"/>
    <w:rsid w:val="72FF0741"/>
    <w:rsid w:val="73122968"/>
    <w:rsid w:val="731F5D5E"/>
    <w:rsid w:val="732C4E8C"/>
    <w:rsid w:val="735164BE"/>
    <w:rsid w:val="738C041D"/>
    <w:rsid w:val="73A261DE"/>
    <w:rsid w:val="73B471FE"/>
    <w:rsid w:val="73B5320B"/>
    <w:rsid w:val="73C038AB"/>
    <w:rsid w:val="73C51AD5"/>
    <w:rsid w:val="73C53042"/>
    <w:rsid w:val="73DC213A"/>
    <w:rsid w:val="7410704F"/>
    <w:rsid w:val="74147B26"/>
    <w:rsid w:val="741E793C"/>
    <w:rsid w:val="74294AF6"/>
    <w:rsid w:val="74341F76"/>
    <w:rsid w:val="745E3944"/>
    <w:rsid w:val="74850A24"/>
    <w:rsid w:val="749B1FF5"/>
    <w:rsid w:val="74A4534E"/>
    <w:rsid w:val="74A92964"/>
    <w:rsid w:val="74AA5C83"/>
    <w:rsid w:val="74BC52A1"/>
    <w:rsid w:val="74E97D07"/>
    <w:rsid w:val="74F3598D"/>
    <w:rsid w:val="74FE2C3F"/>
    <w:rsid w:val="75027F24"/>
    <w:rsid w:val="7513394F"/>
    <w:rsid w:val="75377F70"/>
    <w:rsid w:val="754D6FE3"/>
    <w:rsid w:val="755651FF"/>
    <w:rsid w:val="7589772A"/>
    <w:rsid w:val="75AA6994"/>
    <w:rsid w:val="75B07F1D"/>
    <w:rsid w:val="75D91D6C"/>
    <w:rsid w:val="75F2770C"/>
    <w:rsid w:val="761D64FD"/>
    <w:rsid w:val="762B6E04"/>
    <w:rsid w:val="7635099D"/>
    <w:rsid w:val="765F1B8F"/>
    <w:rsid w:val="768C7E47"/>
    <w:rsid w:val="7690626B"/>
    <w:rsid w:val="76946CFC"/>
    <w:rsid w:val="769E2278"/>
    <w:rsid w:val="76A50F09"/>
    <w:rsid w:val="76AF6EA2"/>
    <w:rsid w:val="76B11D32"/>
    <w:rsid w:val="76BD0D38"/>
    <w:rsid w:val="76D11659"/>
    <w:rsid w:val="76F854DD"/>
    <w:rsid w:val="76FB3C64"/>
    <w:rsid w:val="772207AC"/>
    <w:rsid w:val="77271B0C"/>
    <w:rsid w:val="77762421"/>
    <w:rsid w:val="777B359A"/>
    <w:rsid w:val="777D1E86"/>
    <w:rsid w:val="778D2B00"/>
    <w:rsid w:val="779C40BA"/>
    <w:rsid w:val="77B56B1F"/>
    <w:rsid w:val="77E53A25"/>
    <w:rsid w:val="780F09F4"/>
    <w:rsid w:val="78104AA8"/>
    <w:rsid w:val="781147CB"/>
    <w:rsid w:val="782F3180"/>
    <w:rsid w:val="783A38D3"/>
    <w:rsid w:val="783C3F1A"/>
    <w:rsid w:val="78462278"/>
    <w:rsid w:val="78826582"/>
    <w:rsid w:val="788C6DD5"/>
    <w:rsid w:val="788F5DDA"/>
    <w:rsid w:val="789E7F82"/>
    <w:rsid w:val="78A82F32"/>
    <w:rsid w:val="78A90480"/>
    <w:rsid w:val="78A956BE"/>
    <w:rsid w:val="78AC1A52"/>
    <w:rsid w:val="78C93BB8"/>
    <w:rsid w:val="78EF295D"/>
    <w:rsid w:val="78F978E5"/>
    <w:rsid w:val="78FE33A1"/>
    <w:rsid w:val="79033EDA"/>
    <w:rsid w:val="79221ACD"/>
    <w:rsid w:val="79230AF6"/>
    <w:rsid w:val="793A229D"/>
    <w:rsid w:val="793B7903"/>
    <w:rsid w:val="795523FC"/>
    <w:rsid w:val="79764DDF"/>
    <w:rsid w:val="798E2128"/>
    <w:rsid w:val="799F60E4"/>
    <w:rsid w:val="79A33E26"/>
    <w:rsid w:val="79A454A8"/>
    <w:rsid w:val="79E903F0"/>
    <w:rsid w:val="7A036672"/>
    <w:rsid w:val="7A0D74F1"/>
    <w:rsid w:val="7A144135"/>
    <w:rsid w:val="7A2B3F6A"/>
    <w:rsid w:val="7A2B76DE"/>
    <w:rsid w:val="7A364017"/>
    <w:rsid w:val="7A4A24F3"/>
    <w:rsid w:val="7A552C46"/>
    <w:rsid w:val="7A770E0E"/>
    <w:rsid w:val="7A8265E1"/>
    <w:rsid w:val="7A862E00"/>
    <w:rsid w:val="7AA023F3"/>
    <w:rsid w:val="7AAC5F98"/>
    <w:rsid w:val="7AB71B55"/>
    <w:rsid w:val="7ACA7190"/>
    <w:rsid w:val="7ACC043A"/>
    <w:rsid w:val="7AD24297"/>
    <w:rsid w:val="7AD5601C"/>
    <w:rsid w:val="7AE55D78"/>
    <w:rsid w:val="7B1B5C3E"/>
    <w:rsid w:val="7B2D1C44"/>
    <w:rsid w:val="7B384BC8"/>
    <w:rsid w:val="7B566C76"/>
    <w:rsid w:val="7B686D42"/>
    <w:rsid w:val="7B841746"/>
    <w:rsid w:val="7B95154C"/>
    <w:rsid w:val="7BA45C33"/>
    <w:rsid w:val="7BBA1D07"/>
    <w:rsid w:val="7BC71071"/>
    <w:rsid w:val="7BE16FCA"/>
    <w:rsid w:val="7BE67FFA"/>
    <w:rsid w:val="7BF85F7F"/>
    <w:rsid w:val="7C1D7794"/>
    <w:rsid w:val="7C211032"/>
    <w:rsid w:val="7C2C1579"/>
    <w:rsid w:val="7C2D10C0"/>
    <w:rsid w:val="7C340E4C"/>
    <w:rsid w:val="7C4A0507"/>
    <w:rsid w:val="7C5C305D"/>
    <w:rsid w:val="7C6C5AC7"/>
    <w:rsid w:val="7CA9128F"/>
    <w:rsid w:val="7CB974BC"/>
    <w:rsid w:val="7CC40763"/>
    <w:rsid w:val="7CC6544B"/>
    <w:rsid w:val="7D0239FF"/>
    <w:rsid w:val="7D0C7D89"/>
    <w:rsid w:val="7D24527D"/>
    <w:rsid w:val="7D5B2A8C"/>
    <w:rsid w:val="7D5E40CD"/>
    <w:rsid w:val="7D670B0E"/>
    <w:rsid w:val="7D8F646F"/>
    <w:rsid w:val="7D983576"/>
    <w:rsid w:val="7DA0242A"/>
    <w:rsid w:val="7DAA5CD3"/>
    <w:rsid w:val="7DB06B11"/>
    <w:rsid w:val="7DC12B60"/>
    <w:rsid w:val="7DC51FA1"/>
    <w:rsid w:val="7DCD56F2"/>
    <w:rsid w:val="7DD63DE7"/>
    <w:rsid w:val="7DE4195C"/>
    <w:rsid w:val="7E064983"/>
    <w:rsid w:val="7E3C65F7"/>
    <w:rsid w:val="7E7B3392"/>
    <w:rsid w:val="7E8B30DA"/>
    <w:rsid w:val="7E9401E1"/>
    <w:rsid w:val="7E9A5639"/>
    <w:rsid w:val="7EAA3560"/>
    <w:rsid w:val="7EAB4931"/>
    <w:rsid w:val="7EC16584"/>
    <w:rsid w:val="7EC357BF"/>
    <w:rsid w:val="7EDC7492"/>
    <w:rsid w:val="7EDE145C"/>
    <w:rsid w:val="7EE227C2"/>
    <w:rsid w:val="7EFC18E2"/>
    <w:rsid w:val="7F001CE7"/>
    <w:rsid w:val="7F204B4A"/>
    <w:rsid w:val="7F3F3880"/>
    <w:rsid w:val="7F605CD2"/>
    <w:rsid w:val="7F7304EC"/>
    <w:rsid w:val="7F747428"/>
    <w:rsid w:val="7F7829FC"/>
    <w:rsid w:val="7F855D7C"/>
    <w:rsid w:val="7F9A0C15"/>
    <w:rsid w:val="7FBD72C3"/>
    <w:rsid w:val="7FE47E50"/>
    <w:rsid w:val="7FEE1B73"/>
    <w:rsid w:val="7FF4131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35" w:semiHidden="0" w:name="caption" w:locked="1"/>
    <w:lsdException w:qFormat="1"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99" w:semiHidden="0" w:name="Body Text Indent 2" w:locked="1"/>
    <w:lsdException w:qFormat="1" w:uiPriority="0" w:semiHidden="0" w:name="Body Text Indent 3" w:locked="1"/>
    <w:lsdException w:qFormat="1"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2"/>
    <w:basedOn w:val="1"/>
    <w:next w:val="1"/>
    <w:qFormat/>
    <w:locked/>
    <w:uiPriority w:val="99"/>
    <w:pPr>
      <w:keepNext/>
      <w:keepLines/>
      <w:spacing w:before="260" w:after="260" w:line="416" w:lineRule="auto"/>
      <w:jc w:val="center"/>
      <w:outlineLvl w:val="1"/>
    </w:pPr>
    <w:rPr>
      <w:rFonts w:ascii="Arial" w:hAnsi="Arial" w:eastAsia="黑体" w:cs="Arial"/>
      <w:sz w:val="32"/>
      <w:szCs w:val="32"/>
    </w:rPr>
  </w:style>
  <w:style w:type="character" w:default="1" w:styleId="28">
    <w:name w:val="Default Paragraph Font"/>
    <w:semiHidden/>
    <w:qFormat/>
    <w:uiPriority w:val="0"/>
  </w:style>
  <w:style w:type="table" w:default="1" w:styleId="2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unhideWhenUsed/>
    <w:qFormat/>
    <w:locked/>
    <w:uiPriority w:val="0"/>
    <w:pPr>
      <w:ind w:firstLine="420" w:firstLineChars="200"/>
    </w:pPr>
    <w:rPr>
      <w:kern w:val="2"/>
      <w:sz w:val="28"/>
    </w:rPr>
  </w:style>
  <w:style w:type="paragraph" w:styleId="3">
    <w:name w:val="Body Text Indent"/>
    <w:basedOn w:val="1"/>
    <w:link w:val="36"/>
    <w:qFormat/>
    <w:uiPriority w:val="0"/>
    <w:pPr>
      <w:spacing w:after="120"/>
      <w:ind w:left="420" w:leftChars="200"/>
    </w:pPr>
    <w:rPr>
      <w:kern w:val="0"/>
      <w:sz w:val="24"/>
      <w:szCs w:val="20"/>
    </w:rPr>
  </w:style>
  <w:style w:type="paragraph" w:styleId="6">
    <w:name w:val="Normal Indent"/>
    <w:basedOn w:val="1"/>
    <w:next w:val="1"/>
    <w:qFormat/>
    <w:locked/>
    <w:uiPriority w:val="0"/>
    <w:pPr>
      <w:ind w:firstLine="420" w:firstLineChars="200"/>
    </w:pPr>
    <w:rPr>
      <w:sz w:val="21"/>
    </w:rPr>
  </w:style>
  <w:style w:type="paragraph" w:styleId="7">
    <w:name w:val="caption"/>
    <w:basedOn w:val="1"/>
    <w:next w:val="1"/>
    <w:qFormat/>
    <w:locked/>
    <w:uiPriority w:val="35"/>
    <w:rPr>
      <w:rFonts w:ascii="Arial" w:hAnsi="Arial" w:eastAsia="黑体"/>
      <w:sz w:val="20"/>
    </w:rPr>
  </w:style>
  <w:style w:type="paragraph" w:styleId="8">
    <w:name w:val="annotation text"/>
    <w:basedOn w:val="1"/>
    <w:link w:val="34"/>
    <w:semiHidden/>
    <w:qFormat/>
    <w:uiPriority w:val="0"/>
    <w:pPr>
      <w:jc w:val="left"/>
    </w:pPr>
    <w:rPr>
      <w:kern w:val="0"/>
      <w:sz w:val="24"/>
      <w:szCs w:val="20"/>
    </w:rPr>
  </w:style>
  <w:style w:type="paragraph" w:styleId="9">
    <w:name w:val="Body Text"/>
    <w:basedOn w:val="1"/>
    <w:link w:val="35"/>
    <w:qFormat/>
    <w:uiPriority w:val="0"/>
    <w:pPr>
      <w:widowControl/>
      <w:snapToGrid w:val="0"/>
      <w:spacing w:before="60" w:after="160" w:line="259" w:lineRule="auto"/>
      <w:ind w:right="113"/>
    </w:pPr>
    <w:rPr>
      <w:kern w:val="0"/>
      <w:sz w:val="18"/>
      <w:szCs w:val="20"/>
    </w:rPr>
  </w:style>
  <w:style w:type="paragraph" w:styleId="10">
    <w:name w:val="Block Text"/>
    <w:basedOn w:val="1"/>
    <w:qFormat/>
    <w:locked/>
    <w:uiPriority w:val="0"/>
    <w:pPr>
      <w:adjustRightInd w:val="0"/>
      <w:snapToGrid w:val="0"/>
      <w:spacing w:line="300" w:lineRule="atLeast"/>
      <w:ind w:left="420" w:leftChars="200" w:right="-336" w:rightChars="-160"/>
    </w:pPr>
    <w:rPr>
      <w:szCs w:val="24"/>
    </w:rPr>
  </w:style>
  <w:style w:type="paragraph" w:styleId="11">
    <w:name w:val="Plain Text"/>
    <w:basedOn w:val="1"/>
    <w:qFormat/>
    <w:locked/>
    <w:uiPriority w:val="0"/>
    <w:rPr>
      <w:rFonts w:ascii="宋体" w:hAnsi="Courier New" w:cs="Courier New"/>
      <w:szCs w:val="21"/>
    </w:rPr>
  </w:style>
  <w:style w:type="paragraph" w:styleId="12">
    <w:name w:val="List Bullet 5"/>
    <w:basedOn w:val="1"/>
    <w:qFormat/>
    <w:locked/>
    <w:uiPriority w:val="0"/>
    <w:pPr>
      <w:numPr>
        <w:ilvl w:val="0"/>
        <w:numId w:val="1"/>
      </w:numPr>
    </w:pPr>
  </w:style>
  <w:style w:type="paragraph" w:styleId="13">
    <w:name w:val="Date"/>
    <w:basedOn w:val="1"/>
    <w:next w:val="1"/>
    <w:link w:val="37"/>
    <w:qFormat/>
    <w:uiPriority w:val="0"/>
    <w:pPr>
      <w:ind w:left="100" w:leftChars="2500"/>
    </w:pPr>
    <w:rPr>
      <w:kern w:val="0"/>
      <w:sz w:val="24"/>
      <w:szCs w:val="20"/>
    </w:rPr>
  </w:style>
  <w:style w:type="paragraph" w:styleId="14">
    <w:name w:val="Body Text Indent 2"/>
    <w:basedOn w:val="1"/>
    <w:next w:val="2"/>
    <w:qFormat/>
    <w:locked/>
    <w:uiPriority w:val="99"/>
    <w:pPr>
      <w:spacing w:line="360" w:lineRule="auto"/>
      <w:ind w:left="560"/>
    </w:pPr>
  </w:style>
  <w:style w:type="paragraph" w:styleId="15">
    <w:name w:val="Balloon Text"/>
    <w:basedOn w:val="1"/>
    <w:link w:val="38"/>
    <w:semiHidden/>
    <w:qFormat/>
    <w:uiPriority w:val="0"/>
    <w:rPr>
      <w:kern w:val="0"/>
      <w:sz w:val="18"/>
      <w:szCs w:val="20"/>
    </w:rPr>
  </w:style>
  <w:style w:type="paragraph" w:styleId="16">
    <w:name w:val="footer"/>
    <w:basedOn w:val="1"/>
    <w:link w:val="39"/>
    <w:qFormat/>
    <w:uiPriority w:val="99"/>
    <w:pPr>
      <w:tabs>
        <w:tab w:val="center" w:pos="4153"/>
        <w:tab w:val="right" w:pos="8306"/>
      </w:tabs>
      <w:snapToGrid w:val="0"/>
      <w:jc w:val="left"/>
    </w:pPr>
    <w:rPr>
      <w:kern w:val="0"/>
      <w:sz w:val="18"/>
      <w:szCs w:val="20"/>
    </w:rPr>
  </w:style>
  <w:style w:type="paragraph" w:styleId="17">
    <w:name w:val="header"/>
    <w:basedOn w:val="1"/>
    <w:next w:val="18"/>
    <w:link w:val="40"/>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8">
    <w:name w:val="样式5"/>
    <w:basedOn w:val="19"/>
    <w:next w:val="1"/>
    <w:qFormat/>
    <w:uiPriority w:val="0"/>
    <w:pPr>
      <w:adjustRightInd/>
      <w:spacing w:before="120" w:after="120" w:line="400" w:lineRule="exact"/>
      <w:ind w:firstLine="480"/>
    </w:pPr>
    <w:rPr>
      <w:iCs/>
    </w:rPr>
  </w:style>
  <w:style w:type="paragraph" w:customStyle="1" w:styleId="19">
    <w:name w:val="样式3"/>
    <w:basedOn w:val="20"/>
    <w:qFormat/>
    <w:uiPriority w:val="0"/>
    <w:pPr>
      <w:keepNext/>
      <w:spacing w:after="60" w:line="600" w:lineRule="exact"/>
      <w:ind w:right="-193" w:firstLine="624"/>
      <w:jc w:val="center"/>
    </w:pPr>
    <w:rPr>
      <w:spacing w:val="10"/>
    </w:rPr>
  </w:style>
  <w:style w:type="paragraph" w:styleId="20">
    <w:name w:val="List"/>
    <w:basedOn w:val="1"/>
    <w:qFormat/>
    <w:locked/>
    <w:uiPriority w:val="0"/>
    <w:pPr>
      <w:snapToGrid/>
      <w:spacing w:before="60" w:after="240" w:line="240" w:lineRule="atLeast"/>
      <w:ind w:left="360" w:hanging="360" w:firstLineChars="0"/>
      <w:textAlignment w:val="baseline"/>
    </w:pPr>
    <w:rPr>
      <w:b/>
      <w:spacing w:val="20"/>
      <w:kern w:val="0"/>
      <w:sz w:val="28"/>
      <w:szCs w:val="20"/>
    </w:rPr>
  </w:style>
  <w:style w:type="paragraph" w:styleId="21">
    <w:name w:val="Body Text Indent 3"/>
    <w:basedOn w:val="1"/>
    <w:unhideWhenUsed/>
    <w:qFormat/>
    <w:locked/>
    <w:uiPriority w:val="0"/>
    <w:pPr>
      <w:spacing w:after="120"/>
      <w:ind w:left="420" w:leftChars="200"/>
    </w:pPr>
    <w:rPr>
      <w:sz w:val="16"/>
    </w:rPr>
  </w:style>
  <w:style w:type="paragraph" w:styleId="22">
    <w:name w:val="table of figures"/>
    <w:basedOn w:val="1"/>
    <w:next w:val="1"/>
    <w:qFormat/>
    <w:locked/>
    <w:uiPriority w:val="0"/>
    <w:pPr>
      <w:ind w:leftChars="200" w:hanging="200" w:hangingChars="200"/>
    </w:pPr>
  </w:style>
  <w:style w:type="paragraph" w:styleId="23">
    <w:name w:val="Normal (Web)"/>
    <w:basedOn w:val="1"/>
    <w:link w:val="41"/>
    <w:qFormat/>
    <w:uiPriority w:val="0"/>
    <w:pPr>
      <w:widowControl/>
      <w:spacing w:before="100" w:beforeAutospacing="1" w:after="100" w:afterAutospacing="1"/>
      <w:jc w:val="left"/>
    </w:pPr>
    <w:rPr>
      <w:rFonts w:ascii="宋体" w:hAnsi="宋体"/>
      <w:kern w:val="0"/>
      <w:sz w:val="24"/>
      <w:szCs w:val="20"/>
    </w:rPr>
  </w:style>
  <w:style w:type="paragraph" w:styleId="24">
    <w:name w:val="annotation subject"/>
    <w:basedOn w:val="8"/>
    <w:next w:val="8"/>
    <w:link w:val="42"/>
    <w:semiHidden/>
    <w:qFormat/>
    <w:uiPriority w:val="0"/>
    <w:rPr>
      <w:b/>
      <w:sz w:val="24"/>
      <w:szCs w:val="20"/>
    </w:rPr>
  </w:style>
  <w:style w:type="paragraph" w:styleId="25">
    <w:name w:val="Body Text First Indent"/>
    <w:basedOn w:val="9"/>
    <w:next w:val="1"/>
    <w:qFormat/>
    <w:locked/>
    <w:uiPriority w:val="0"/>
    <w:pPr>
      <w:ind w:firstLine="420" w:firstLineChars="100"/>
    </w:pPr>
  </w:style>
  <w:style w:type="table" w:styleId="27">
    <w:name w:val="Table Grid"/>
    <w:basedOn w:val="26"/>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locked/>
    <w:uiPriority w:val="0"/>
    <w:rPr>
      <w:b/>
    </w:rPr>
  </w:style>
  <w:style w:type="character" w:styleId="30">
    <w:name w:val="page number"/>
    <w:qFormat/>
    <w:locked/>
    <w:uiPriority w:val="0"/>
  </w:style>
  <w:style w:type="character" w:styleId="31">
    <w:name w:val="Emphasis"/>
    <w:qFormat/>
    <w:locked/>
    <w:uiPriority w:val="0"/>
    <w:rPr>
      <w:i/>
    </w:rPr>
  </w:style>
  <w:style w:type="character" w:styleId="32">
    <w:name w:val="Hyperlink"/>
    <w:qFormat/>
    <w:locked/>
    <w:uiPriority w:val="0"/>
    <w:rPr>
      <w:color w:val="0000FF"/>
      <w:u w:val="single"/>
    </w:rPr>
  </w:style>
  <w:style w:type="character" w:styleId="33">
    <w:name w:val="annotation reference"/>
    <w:semiHidden/>
    <w:qFormat/>
    <w:uiPriority w:val="0"/>
    <w:rPr>
      <w:sz w:val="21"/>
    </w:rPr>
  </w:style>
  <w:style w:type="character" w:customStyle="1" w:styleId="34">
    <w:name w:val="批注文字 字符"/>
    <w:link w:val="8"/>
    <w:qFormat/>
    <w:locked/>
    <w:uiPriority w:val="0"/>
    <w:rPr>
      <w:rFonts w:ascii="Times New Roman" w:hAnsi="Times New Roman" w:eastAsia="宋体"/>
      <w:sz w:val="24"/>
    </w:rPr>
  </w:style>
  <w:style w:type="character" w:customStyle="1" w:styleId="35">
    <w:name w:val="正文文本 字符"/>
    <w:link w:val="9"/>
    <w:qFormat/>
    <w:locked/>
    <w:uiPriority w:val="0"/>
    <w:rPr>
      <w:sz w:val="18"/>
    </w:rPr>
  </w:style>
  <w:style w:type="character" w:customStyle="1" w:styleId="36">
    <w:name w:val="正文文本缩进 字符"/>
    <w:link w:val="3"/>
    <w:semiHidden/>
    <w:qFormat/>
    <w:locked/>
    <w:uiPriority w:val="0"/>
    <w:rPr>
      <w:rFonts w:ascii="Times New Roman" w:hAnsi="Times New Roman" w:eastAsia="宋体"/>
      <w:sz w:val="24"/>
    </w:rPr>
  </w:style>
  <w:style w:type="character" w:customStyle="1" w:styleId="37">
    <w:name w:val="日期 字符1"/>
    <w:link w:val="13"/>
    <w:qFormat/>
    <w:locked/>
    <w:uiPriority w:val="0"/>
    <w:rPr>
      <w:rFonts w:ascii="Times New Roman" w:hAnsi="Times New Roman" w:eastAsia="宋体"/>
      <w:sz w:val="24"/>
    </w:rPr>
  </w:style>
  <w:style w:type="character" w:customStyle="1" w:styleId="38">
    <w:name w:val="批注框文本 字符"/>
    <w:link w:val="15"/>
    <w:semiHidden/>
    <w:qFormat/>
    <w:locked/>
    <w:uiPriority w:val="0"/>
    <w:rPr>
      <w:rFonts w:ascii="Times New Roman" w:hAnsi="Times New Roman" w:eastAsia="宋体"/>
      <w:sz w:val="18"/>
    </w:rPr>
  </w:style>
  <w:style w:type="character" w:customStyle="1" w:styleId="39">
    <w:name w:val="页脚 字符1"/>
    <w:link w:val="16"/>
    <w:qFormat/>
    <w:locked/>
    <w:uiPriority w:val="99"/>
    <w:rPr>
      <w:sz w:val="18"/>
    </w:rPr>
  </w:style>
  <w:style w:type="character" w:customStyle="1" w:styleId="40">
    <w:name w:val="页眉 字符"/>
    <w:link w:val="17"/>
    <w:qFormat/>
    <w:locked/>
    <w:uiPriority w:val="0"/>
    <w:rPr>
      <w:sz w:val="18"/>
    </w:rPr>
  </w:style>
  <w:style w:type="character" w:customStyle="1" w:styleId="41">
    <w:name w:val="普通(网站) 字符"/>
    <w:link w:val="23"/>
    <w:qFormat/>
    <w:locked/>
    <w:uiPriority w:val="0"/>
    <w:rPr>
      <w:rFonts w:ascii="宋体" w:hAnsi="宋体" w:eastAsia="宋体"/>
      <w:sz w:val="24"/>
    </w:rPr>
  </w:style>
  <w:style w:type="character" w:customStyle="1" w:styleId="42">
    <w:name w:val="批注主题 字符"/>
    <w:link w:val="24"/>
    <w:semiHidden/>
    <w:qFormat/>
    <w:locked/>
    <w:uiPriority w:val="0"/>
    <w:rPr>
      <w:rFonts w:ascii="Times New Roman" w:hAnsi="Times New Roman" w:eastAsia="宋体"/>
      <w:b/>
      <w:kern w:val="2"/>
      <w:sz w:val="24"/>
    </w:rPr>
  </w:style>
  <w:style w:type="paragraph" w:customStyle="1" w:styleId="43">
    <w:name w:val="Default1"/>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4">
    <w:name w:val="Default"/>
    <w:basedOn w:val="45"/>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5">
    <w:name w:val="纯文本1"/>
    <w:basedOn w:val="1"/>
    <w:qFormat/>
    <w:uiPriority w:val="99"/>
    <w:pPr>
      <w:autoSpaceDE w:val="0"/>
      <w:autoSpaceDN w:val="0"/>
      <w:adjustRightInd w:val="0"/>
      <w:textAlignment w:val="baseline"/>
    </w:pPr>
    <w:rPr>
      <w:rFonts w:ascii="宋体"/>
      <w:szCs w:val="20"/>
    </w:rPr>
  </w:style>
  <w:style w:type="paragraph" w:customStyle="1" w:styleId="46">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47">
    <w:name w:val="样式 标题 1一级标题 + 段前: 0.5 行 段后: 0.5 行"/>
    <w:basedOn w:val="4"/>
    <w:qFormat/>
    <w:uiPriority w:val="99"/>
    <w:pPr>
      <w:spacing w:line="320" w:lineRule="exact"/>
      <w:outlineLvl w:val="9"/>
    </w:pPr>
    <w:rPr>
      <w:spacing w:val="-6"/>
      <w:sz w:val="21"/>
      <w:szCs w:val="21"/>
    </w:rPr>
  </w:style>
  <w:style w:type="character" w:customStyle="1" w:styleId="48">
    <w:name w:val="批注文字 字符1"/>
    <w:semiHidden/>
    <w:qFormat/>
    <w:uiPriority w:val="0"/>
    <w:rPr>
      <w:rFonts w:ascii="Times New Roman" w:hAnsi="Times New Roman" w:eastAsia="宋体"/>
      <w:sz w:val="24"/>
    </w:rPr>
  </w:style>
  <w:style w:type="character" w:customStyle="1" w:styleId="49">
    <w:name w:val="页脚 字符"/>
    <w:qFormat/>
    <w:uiPriority w:val="99"/>
  </w:style>
  <w:style w:type="character" w:customStyle="1" w:styleId="50">
    <w:name w:val="正文文本 字符1"/>
    <w:semiHidden/>
    <w:qFormat/>
    <w:uiPriority w:val="0"/>
    <w:rPr>
      <w:rFonts w:ascii="Times New Roman" w:hAnsi="Times New Roman" w:eastAsia="宋体"/>
      <w:sz w:val="24"/>
    </w:rPr>
  </w:style>
  <w:style w:type="character" w:customStyle="1" w:styleId="51">
    <w:name w:val="日期 字符"/>
    <w:semiHidden/>
    <w:qFormat/>
    <w:uiPriority w:val="0"/>
    <w:rPr>
      <w:rFonts w:ascii="Times New Roman" w:hAnsi="Times New Roman" w:eastAsia="宋体"/>
      <w:sz w:val="24"/>
    </w:rPr>
  </w:style>
  <w:style w:type="character" w:customStyle="1" w:styleId="52">
    <w:name w:val="表格 Char"/>
    <w:link w:val="53"/>
    <w:qFormat/>
    <w:locked/>
    <w:uiPriority w:val="0"/>
    <w:rPr>
      <w:rFonts w:ascii="宋体"/>
      <w:sz w:val="21"/>
    </w:rPr>
  </w:style>
  <w:style w:type="paragraph" w:customStyle="1" w:styleId="53">
    <w:name w:val="表格"/>
    <w:basedOn w:val="1"/>
    <w:next w:val="1"/>
    <w:link w:val="52"/>
    <w:qFormat/>
    <w:uiPriority w:val="0"/>
    <w:pPr>
      <w:adjustRightInd w:val="0"/>
      <w:snapToGrid w:val="0"/>
      <w:spacing w:beforeLines="10" w:afterLines="10" w:line="259" w:lineRule="auto"/>
      <w:jc w:val="center"/>
    </w:pPr>
    <w:rPr>
      <w:rFonts w:ascii="宋体"/>
      <w:kern w:val="0"/>
      <w:szCs w:val="20"/>
    </w:rPr>
  </w:style>
  <w:style w:type="paragraph" w:customStyle="1" w:styleId="54">
    <w:name w:val="表格文字"/>
    <w:basedOn w:val="1"/>
    <w:qFormat/>
    <w:uiPriority w:val="0"/>
    <w:pPr>
      <w:jc w:val="center"/>
    </w:pPr>
    <w:rPr>
      <w:rFonts w:ascii="仿宋_GB2312" w:hAnsi="Arial Black" w:eastAsia="仿宋_GB2312"/>
      <w:kern w:val="44"/>
      <w:sz w:val="24"/>
    </w:rPr>
  </w:style>
  <w:style w:type="paragraph" w:customStyle="1" w:styleId="55">
    <w:name w:val="正文缩进1"/>
    <w:basedOn w:val="1"/>
    <w:qFormat/>
    <w:uiPriority w:val="99"/>
    <w:pPr>
      <w:ind w:firstLine="200" w:firstLineChars="200"/>
    </w:pPr>
    <w:rPr>
      <w:rFonts w:eastAsia="楷体_GB2312"/>
    </w:rPr>
  </w:style>
  <w:style w:type="paragraph" w:customStyle="1" w:styleId="56">
    <w:name w:val="惠泽正文"/>
    <w:basedOn w:val="1"/>
    <w:qFormat/>
    <w:uiPriority w:val="0"/>
    <w:pPr>
      <w:spacing w:line="480" w:lineRule="exact"/>
      <w:ind w:firstLine="480" w:firstLineChars="200"/>
    </w:pPr>
    <w:rPr>
      <w:rFonts w:hAnsi="宋体" w:cs="宋体"/>
      <w:sz w:val="24"/>
      <w:szCs w:val="20"/>
    </w:rPr>
  </w:style>
  <w:style w:type="paragraph" w:customStyle="1" w:styleId="57">
    <w:name w:val="标准段落"/>
    <w:basedOn w:val="1"/>
    <w:next w:val="1"/>
    <w:qFormat/>
    <w:uiPriority w:val="0"/>
    <w:pPr>
      <w:spacing w:line="360" w:lineRule="auto"/>
      <w:ind w:firstLine="480" w:firstLineChars="200"/>
    </w:pPr>
    <w:rPr>
      <w:kern w:val="0"/>
      <w:sz w:val="24"/>
    </w:rPr>
  </w:style>
  <w:style w:type="paragraph" w:customStyle="1" w:styleId="58">
    <w:name w:val="报告表正文"/>
    <w:basedOn w:val="1"/>
    <w:qFormat/>
    <w:uiPriority w:val="99"/>
    <w:pPr>
      <w:adjustRightInd w:val="0"/>
      <w:spacing w:line="312" w:lineRule="auto"/>
      <w:ind w:left="113" w:right="113" w:firstLine="482"/>
      <w:jc w:val="left"/>
    </w:pPr>
    <w:rPr>
      <w:kern w:val="0"/>
      <w:sz w:val="24"/>
      <w:szCs w:val="21"/>
    </w:rPr>
  </w:style>
  <w:style w:type="paragraph" w:customStyle="1" w:styleId="59">
    <w:name w:val="应填表格"/>
    <w:basedOn w:val="1"/>
    <w:qFormat/>
    <w:uiPriority w:val="0"/>
    <w:pPr>
      <w:adjustRightInd w:val="0"/>
      <w:spacing w:before="40" w:after="40"/>
      <w:jc w:val="left"/>
      <w:textAlignment w:val="baseline"/>
    </w:pPr>
    <w:rPr>
      <w:kern w:val="0"/>
      <w:sz w:val="24"/>
      <w:szCs w:val="20"/>
    </w:rPr>
  </w:style>
  <w:style w:type="paragraph" w:customStyle="1" w:styleId="6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1">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2">
    <w:name w:val="小四正文格式"/>
    <w:basedOn w:val="1"/>
    <w:qFormat/>
    <w:uiPriority w:val="0"/>
    <w:pPr>
      <w:spacing w:line="360" w:lineRule="auto"/>
      <w:ind w:firstLine="200" w:firstLineChars="200"/>
    </w:pPr>
    <w:rPr>
      <w:rFonts w:ascii="宋体" w:hAnsi="宋体"/>
      <w:sz w:val="24"/>
    </w:rPr>
  </w:style>
  <w:style w:type="paragraph" w:customStyle="1" w:styleId="63">
    <w:name w:val="图表文字"/>
    <w:qFormat/>
    <w:uiPriority w:val="0"/>
    <w:pPr>
      <w:adjustRightInd w:val="0"/>
      <w:snapToGrid w:val="0"/>
      <w:jc w:val="center"/>
    </w:pPr>
    <w:rPr>
      <w:rFonts w:ascii="Times New Roman" w:hAnsi="Times New Roman" w:eastAsia="宋体" w:cs="Times New Roman"/>
      <w:kern w:val="2"/>
      <w:sz w:val="21"/>
      <w:szCs w:val="21"/>
      <w:lang w:val="en-US" w:eastAsia="zh-CN" w:bidi="ar-SA"/>
    </w:rPr>
  </w:style>
  <w:style w:type="paragraph" w:customStyle="1" w:styleId="64">
    <w:name w:val="0正文"/>
    <w:basedOn w:val="1"/>
    <w:qFormat/>
    <w:uiPriority w:val="0"/>
    <w:pPr>
      <w:ind w:firstLine="480"/>
    </w:pPr>
    <w:rPr>
      <w:color w:val="0000FF"/>
      <w:kern w:val="0"/>
      <w:szCs w:val="24"/>
    </w:rPr>
  </w:style>
  <w:style w:type="paragraph" w:customStyle="1" w:styleId="65">
    <w:name w:val="报告表格"/>
    <w:qFormat/>
    <w:uiPriority w:val="0"/>
    <w:pPr>
      <w:autoSpaceDE w:val="0"/>
      <w:autoSpaceDN w:val="0"/>
      <w:adjustRightInd w:val="0"/>
      <w:jc w:val="center"/>
      <w:textAlignment w:val="bottom"/>
    </w:pPr>
    <w:rPr>
      <w:rFonts w:ascii="Times New Roman" w:hAnsi="Times New Roman" w:eastAsia="宋体" w:cs="Times New Roman"/>
      <w:sz w:val="21"/>
      <w:lang w:val="en-US" w:eastAsia="zh-CN" w:bidi="ar-SA"/>
    </w:rPr>
  </w:style>
  <w:style w:type="paragraph" w:customStyle="1" w:styleId="66">
    <w:name w:val="22222"/>
    <w:basedOn w:val="1"/>
    <w:qFormat/>
    <w:uiPriority w:val="0"/>
    <w:pPr>
      <w:spacing w:line="480" w:lineRule="exact"/>
      <w:ind w:firstLine="480" w:firstLineChars="200"/>
    </w:pPr>
    <w:rPr>
      <w:rFonts w:hAnsi="宋体"/>
      <w:sz w:val="24"/>
    </w:rPr>
  </w:style>
  <w:style w:type="paragraph" w:customStyle="1" w:styleId="67">
    <w:name w:val="图表标题"/>
    <w:basedOn w:val="1"/>
    <w:qFormat/>
    <w:uiPriority w:val="0"/>
    <w:pPr>
      <w:spacing w:before="50" w:beforeLines="50" w:line="360" w:lineRule="auto"/>
      <w:jc w:val="center"/>
    </w:pPr>
    <w:rPr>
      <w:rFonts w:eastAsia="黑体"/>
      <w:sz w:val="24"/>
      <w:szCs w:val="22"/>
    </w:rPr>
  </w:style>
  <w:style w:type="paragraph" w:customStyle="1" w:styleId="68">
    <w:name w:val="Normal (Web)1"/>
    <w:basedOn w:val="1"/>
    <w:next w:val="69"/>
    <w:qFormat/>
    <w:uiPriority w:val="0"/>
    <w:pPr>
      <w:widowControl/>
      <w:kinsoku w:val="0"/>
      <w:autoSpaceDE w:val="0"/>
      <w:autoSpaceDN w:val="0"/>
      <w:adjustRightInd w:val="0"/>
      <w:snapToGrid w:val="0"/>
      <w:jc w:val="left"/>
      <w:textAlignment w:val="baseline"/>
    </w:pPr>
    <w:rPr>
      <w:rFonts w:hAnsi="Arial" w:cs="Arial"/>
      <w:snapToGrid w:val="0"/>
      <w:color w:val="000000"/>
      <w:kern w:val="0"/>
      <w:sz w:val="24"/>
      <w:szCs w:val="21"/>
    </w:rPr>
  </w:style>
  <w:style w:type="paragraph" w:customStyle="1" w:styleId="69">
    <w:name w:val="Date1"/>
    <w:basedOn w:val="1"/>
    <w:next w:val="1"/>
    <w:qFormat/>
    <w:uiPriority w:val="0"/>
    <w:pPr>
      <w:widowControl/>
      <w:kinsoku w:val="0"/>
      <w:autoSpaceDE w:val="0"/>
      <w:autoSpaceDN w:val="0"/>
      <w:adjustRightInd w:val="0"/>
      <w:snapToGrid w:val="0"/>
      <w:ind w:left="2500" w:leftChars="2500"/>
      <w:jc w:val="left"/>
      <w:textAlignment w:val="baseline"/>
    </w:pPr>
    <w:rPr>
      <w:rFonts w:ascii="Arial" w:hAnsi="Arial" w:eastAsia="Arial" w:cs="Arial"/>
      <w:snapToGrid w:val="0"/>
      <w:color w:val="000000"/>
      <w:kern w:val="0"/>
      <w:szCs w:val="21"/>
    </w:rPr>
  </w:style>
  <w:style w:type="paragraph" w:customStyle="1" w:styleId="70">
    <w:name w:val="Char"/>
    <w:basedOn w:val="1"/>
    <w:qFormat/>
    <w:uiPriority w:val="0"/>
  </w:style>
  <w:style w:type="paragraph" w:customStyle="1" w:styleId="71">
    <w:name w:val="样式 正文文本缩进 + 行距: 1.5 倍行距"/>
    <w:basedOn w:val="72"/>
    <w:next w:val="17"/>
    <w:qFormat/>
    <w:uiPriority w:val="0"/>
    <w:pPr>
      <w:snapToGrid/>
      <w:spacing w:before="0" w:after="120" w:line="360" w:lineRule="auto"/>
      <w:ind w:left="90" w:leftChars="32" w:firstLine="560" w:firstLineChars="200"/>
    </w:pPr>
    <w:rPr>
      <w:rFonts w:ascii="Times New Roman" w:eastAsia="宋体" w:cs="宋体"/>
    </w:rPr>
  </w:style>
  <w:style w:type="paragraph" w:customStyle="1" w:styleId="72">
    <w:name w:val="正文文本缩进1"/>
    <w:basedOn w:val="1"/>
    <w:next w:val="71"/>
    <w:qFormat/>
    <w:uiPriority w:val="0"/>
    <w:pPr>
      <w:spacing w:after="120"/>
      <w:ind w:left="420" w:leftChars="200"/>
    </w:pPr>
    <w:rPr>
      <w:sz w:val="24"/>
    </w:rPr>
  </w:style>
  <w:style w:type="paragraph" w:customStyle="1" w:styleId="73">
    <w:name w:val="p0"/>
    <w:basedOn w:val="1"/>
    <w:qFormat/>
    <w:uiPriority w:val="0"/>
    <w:pPr>
      <w:widowControl/>
    </w:pPr>
    <w:rPr>
      <w:kern w:val="0"/>
      <w:szCs w:val="21"/>
    </w:rPr>
  </w:style>
  <w:style w:type="paragraph" w:customStyle="1" w:styleId="74">
    <w:name w:val="君邦正文"/>
    <w:qFormat/>
    <w:uiPriority w:val="0"/>
    <w:pPr>
      <w:spacing w:after="60" w:line="360" w:lineRule="auto"/>
      <w:ind w:firstLine="480" w:firstLineChars="200"/>
      <w:jc w:val="both"/>
    </w:pPr>
    <w:rPr>
      <w:rFonts w:ascii="Times New Roman" w:hAnsi="Times New Roman" w:eastAsia="宋体" w:cs="Times New Roman"/>
      <w:bCs/>
      <w:snapToGrid w:val="0"/>
      <w:sz w:val="24"/>
      <w:lang w:val="en-US" w:eastAsia="zh-CN" w:bidi="ar-SA"/>
    </w:rPr>
  </w:style>
  <w:style w:type="paragraph" w:customStyle="1" w:styleId="75">
    <w:name w:val="Table Paragraph"/>
    <w:basedOn w:val="1"/>
    <w:qFormat/>
    <w:uiPriority w:val="0"/>
    <w:pPr>
      <w:keepNext w:val="0"/>
      <w:keepLines w:val="0"/>
      <w:widowControl/>
      <w:suppressLineNumbers w:val="0"/>
      <w:spacing w:before="0" w:beforeAutospacing="0" w:after="0" w:afterAutospacing="0"/>
      <w:ind w:left="0" w:right="0"/>
      <w:jc w:val="left"/>
    </w:pPr>
    <w:rPr>
      <w:rFonts w:hint="default" w:ascii="Calibri" w:hAnsi="Calibri" w:eastAsia="宋体" w:cs="宋体"/>
      <w:kern w:val="0"/>
      <w:sz w:val="22"/>
      <w:szCs w:val="22"/>
      <w:lang w:val="en-US" w:eastAsia="zh-CN" w:bidi="ar"/>
    </w:rPr>
  </w:style>
  <w:style w:type="table" w:customStyle="1" w:styleId="76">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77">
    <w:name w:val="表格文字2"/>
    <w:basedOn w:val="1"/>
    <w:qFormat/>
    <w:uiPriority w:val="0"/>
    <w:pPr>
      <w:tabs>
        <w:tab w:val="left" w:pos="277"/>
        <w:tab w:val="left" w:pos="600"/>
        <w:tab w:val="left" w:pos="780"/>
        <w:tab w:val="left" w:pos="2517"/>
      </w:tabs>
      <w:adjustRightInd w:val="0"/>
      <w:snapToGrid w:val="0"/>
      <w:spacing w:line="240" w:lineRule="auto"/>
      <w:ind w:firstLine="0" w:firstLineChars="0"/>
      <w:jc w:val="center"/>
      <w:textAlignment w:val="baseline"/>
    </w:pPr>
    <w:rPr>
      <w:kern w:val="0"/>
      <w:sz w:val="21"/>
      <w:szCs w:val="21"/>
    </w:rPr>
  </w:style>
  <w:style w:type="paragraph" w:customStyle="1" w:styleId="78">
    <w:name w:val="Table Text"/>
    <w:basedOn w:val="1"/>
    <w:semiHidden/>
    <w:qFormat/>
    <w:uiPriority w:val="0"/>
    <w:rPr>
      <w:rFonts w:ascii="宋体" w:hAnsi="宋体" w:eastAsia="宋体" w:cs="宋体"/>
      <w:sz w:val="20"/>
      <w:szCs w:val="20"/>
      <w:lang w:val="en-US" w:eastAsia="en-US" w:bidi="ar-SA"/>
    </w:rPr>
  </w:style>
  <w:style w:type="paragraph" w:customStyle="1" w:styleId="79">
    <w:name w:val="首行缩进"/>
    <w:basedOn w:val="1"/>
    <w:qFormat/>
    <w:uiPriority w:val="0"/>
    <w:pPr>
      <w:adjustRightInd w:val="0"/>
      <w:snapToGrid w:val="0"/>
      <w:ind w:firstLine="480"/>
    </w:pPr>
    <w:rPr>
      <w:szCs w:val="24"/>
    </w:rPr>
  </w:style>
  <w:style w:type="paragraph" w:customStyle="1" w:styleId="80">
    <w:name w:val="样式1"/>
    <w:basedOn w:val="1"/>
    <w:qFormat/>
    <w:uiPriority w:val="0"/>
    <w:pPr>
      <w:spacing w:after="40" w:line="300" w:lineRule="atLeast"/>
      <w:jc w:val="center"/>
      <w:outlineLvl w:val="2"/>
    </w:pPr>
    <w:rPr>
      <w:rFonts w:eastAsia="楷体_GB2312"/>
    </w:rPr>
  </w:style>
  <w:style w:type="paragraph" w:customStyle="1" w:styleId="81">
    <w:name w:val="惠泽表格"/>
    <w:basedOn w:val="1"/>
    <w:qFormat/>
    <w:uiPriority w:val="0"/>
    <w:pPr>
      <w:spacing w:line="480" w:lineRule="exact"/>
      <w:jc w:val="center"/>
    </w:pPr>
    <w:rPr>
      <w:rFonts w:ascii="黑体" w:hAnsi="黑体" w:eastAsia="黑体" w:cs="宋体"/>
      <w:sz w:val="24"/>
      <w:szCs w:val="20"/>
    </w:rPr>
  </w:style>
  <w:style w:type="paragraph" w:customStyle="1" w:styleId="82">
    <w:name w:val="样式 样式 样式 首行缩进:  1 字符 + 首行缩进:  2 字符2 + 首行缩进:  2 字符"/>
    <w:basedOn w:val="1"/>
    <w:qFormat/>
    <w:uiPriority w:val="99"/>
    <w:pPr>
      <w:spacing w:line="360" w:lineRule="auto"/>
      <w:ind w:firstLine="480" w:firstLineChars="200"/>
    </w:pPr>
    <w:rPr>
      <w:rFonts w:ascii="宋体" w:hAnsi="宋体" w:eastAsia="宋体" w:cs="宋体"/>
      <w:kern w:val="2"/>
      <w:sz w:val="24"/>
      <w:lang w:val="en-US" w:eastAsia="zh-CN" w:bidi="ar-SA"/>
    </w:rPr>
  </w:style>
  <w:style w:type="paragraph" w:customStyle="1" w:styleId="83">
    <w:name w:val="报告书正文"/>
    <w:basedOn w:val="1"/>
    <w:qFormat/>
    <w:uiPriority w:val="0"/>
    <w:pPr>
      <w:adjustRightInd/>
      <w:snapToGrid/>
      <w:spacing w:line="300" w:lineRule="auto"/>
      <w:ind w:firstLine="480"/>
    </w:pPr>
    <w:rPr>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"/>
    </extobj>
    <extobj name="F360BE8B-6686-4F3D-AEAF-501FE73E4058-2">
      <extobjdata type="F360BE8B-6686-4F3D-AEAF-501FE73E4058" data="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"/>
    </extobj>
    <extobj name="F360BE8B-6686-4F3D-AEAF-501FE73E4058-3">
      <extobjdata type="F360BE8B-6686-4F3D-AEAF-501FE73E4058" data="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"/>
    </extobj>
    <extobj name="F360BE8B-6686-4F3D-AEAF-501FE73E4058-4">
      <extobjdata type="F360BE8B-6686-4F3D-AEAF-501FE73E4058" data="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66</Pages>
  <Words>36581</Words>
  <Characters>43039</Characters>
  <Lines>406</Lines>
  <Paragraphs>114</Paragraphs>
  <TotalTime>131</TotalTime>
  <ScaleCrop>false</ScaleCrop>
  <LinksUpToDate>false</LinksUpToDate>
  <CharactersWithSpaces>43387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Lenovo</cp:lastModifiedBy>
  <cp:lastPrinted>2024-09-02T06:30:00Z</cp:lastPrinted>
  <dcterms:modified xsi:type="dcterms:W3CDTF">2024-09-04T07:05:54Z</dcterms:modified>
  <dc:title>附件2</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D88B6B3CFFEE4F909E1A3A37EFF9F528_13</vt:lpwstr>
  </property>
</Properties>
</file>