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AA854">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eastAsia="zh-CN"/>
          <w14:textFill>
            <w14:solidFill>
              <w14:schemeClr w14:val="tx1"/>
            </w14:solidFill>
          </w14:textFill>
        </w:rPr>
      </w:pPr>
    </w:p>
    <w:p w14:paraId="2C58772C">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14:textFill>
            <w14:solidFill>
              <w14:schemeClr w14:val="tx1"/>
            </w14:solidFill>
          </w14:textFill>
        </w:rPr>
      </w:pPr>
    </w:p>
    <w:p w14:paraId="3DB73165">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14:textFill>
            <w14:solidFill>
              <w14:schemeClr w14:val="tx1"/>
            </w14:solidFill>
          </w14:textFill>
        </w:rPr>
      </w:pPr>
    </w:p>
    <w:p w14:paraId="4BF436C6">
      <w:pPr>
        <w:keepNext w:val="0"/>
        <w:keepLines w:val="0"/>
        <w:widowControl w:val="0"/>
        <w:suppressLineNumbers w:val="0"/>
        <w:adjustRightInd w:val="0"/>
        <w:snapToGrid w:val="0"/>
        <w:spacing w:before="0" w:beforeAutospacing="0" w:after="0" w:afterAutospacing="0"/>
        <w:ind w:left="0" w:right="0"/>
        <w:jc w:val="center"/>
        <w:outlineLvl w:val="0"/>
        <w:rPr>
          <w:rFonts w:hint="eastAsia" w:ascii="方正小标宋_GBK" w:hAnsi="方正小标宋_GBK" w:eastAsia="方正小标宋_GBK" w:cs="方正小标宋_GBK"/>
          <w:bCs/>
          <w:color w:val="000000" w:themeColor="text1"/>
          <w:sz w:val="72"/>
          <w:szCs w:val="72"/>
          <w:lang w:val="en-US"/>
          <w14:textFill>
            <w14:solidFill>
              <w14:schemeClr w14:val="tx1"/>
            </w14:solidFill>
          </w14:textFill>
        </w:rPr>
      </w:pPr>
      <w:r>
        <w:rPr>
          <w:rFonts w:hint="eastAsia" w:ascii="方正小标宋_GBK" w:hAnsi="方正小标宋_GBK" w:eastAsia="方正小标宋_GBK" w:cs="方正小标宋_GBK"/>
          <w:bCs/>
          <w:color w:val="000000" w:themeColor="text1"/>
          <w:kern w:val="2"/>
          <w:sz w:val="72"/>
          <w:szCs w:val="72"/>
          <w:lang w:val="en-US" w:eastAsia="zh-CN" w:bidi="ar"/>
          <w14:textFill>
            <w14:solidFill>
              <w14:schemeClr w14:val="tx1"/>
            </w14:solidFill>
          </w14:textFill>
        </w:rPr>
        <w:t>建设项目环境影响报告表</w:t>
      </w:r>
    </w:p>
    <w:p w14:paraId="42A78733">
      <w:pPr>
        <w:spacing w:before="149"/>
        <w:jc w:val="center"/>
        <w:rPr>
          <w:rFonts w:ascii="楷体" w:eastAsia="楷体"/>
          <w:color w:val="000000" w:themeColor="text1"/>
          <w:sz w:val="48"/>
          <w14:textFill>
            <w14:solidFill>
              <w14:schemeClr w14:val="tx1"/>
            </w14:solidFill>
          </w14:textFill>
        </w:rPr>
      </w:pPr>
      <w:r>
        <w:rPr>
          <w:rFonts w:hint="eastAsia" w:ascii="楷体" w:eastAsia="楷体"/>
          <w:color w:val="000000" w:themeColor="text1"/>
          <w:sz w:val="48"/>
          <w14:textFill>
            <w14:solidFill>
              <w14:schemeClr w14:val="tx1"/>
            </w14:solidFill>
          </w14:textFill>
        </w:rPr>
        <w:t>（污染影响类）</w:t>
      </w:r>
    </w:p>
    <w:p w14:paraId="77DA5F7E">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16909036">
      <w:pPr>
        <w:keepNext w:val="0"/>
        <w:keepLines w:val="0"/>
        <w:widowControl w:val="0"/>
        <w:suppressLineNumbers w:val="0"/>
        <w:spacing w:before="0" w:beforeAutospacing="0" w:after="0" w:afterAutospacing="0"/>
        <w:ind w:left="0" w:right="0"/>
        <w:jc w:val="both"/>
        <w:rPr>
          <w:rFonts w:hint="default" w:eastAsia="仿宋"/>
          <w:color w:val="000000" w:themeColor="text1"/>
          <w:sz w:val="52"/>
          <w:szCs w:val="52"/>
          <w:lang w:val="en-US" w:eastAsia="zh-CN"/>
          <w14:textFill>
            <w14:solidFill>
              <w14:schemeClr w14:val="tx1"/>
            </w14:solidFill>
          </w14:textFill>
        </w:rPr>
      </w:pPr>
    </w:p>
    <w:p w14:paraId="3745E1A9">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4D020947">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D7F8516">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CCBE949">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302713A1">
      <w:pPr>
        <w:keepNext w:val="0"/>
        <w:keepLines w:val="0"/>
        <w:widowControl/>
        <w:suppressLineNumbers w:val="0"/>
        <w:ind w:firstLine="643" w:firstLineChars="200"/>
        <w:jc w:val="left"/>
        <w:rPr>
          <w:rFonts w:hint="default" w:ascii="Times New Roman" w:hAnsi="Times New Roman" w:eastAsia="宋体" w:cs="Times New Roman"/>
          <w:bCs/>
          <w:color w:val="000000" w:themeColor="text1"/>
          <w:sz w:val="30"/>
          <w:szCs w:val="30"/>
          <w:highlight w:val="none"/>
          <w:lang w:val="en-US"/>
          <w14:textFill>
            <w14:solidFill>
              <w14:schemeClr w14:val="tx1"/>
            </w14:solidFill>
          </w14:textFill>
        </w:rPr>
      </w:pPr>
      <w:r>
        <w:rPr>
          <w:rFonts w:hint="eastAsia" w:ascii="仿宋_GB2312" w:hAnsi="Times New Roman" w:eastAsia="仿宋_GB2312" w:cs="Times New Roman"/>
          <w:b/>
          <w:bCs/>
          <w:color w:val="000000" w:themeColor="text1"/>
          <w:sz w:val="32"/>
          <w:szCs w:val="32"/>
          <w:lang w:val="en-US" w:eastAsia="zh-CN"/>
          <w14:textFill>
            <w14:solidFill>
              <w14:schemeClr w14:val="tx1"/>
            </w14:solidFill>
          </w14:textFill>
        </w:rPr>
        <w:t>项目名称：</w:t>
      </w:r>
      <w:r>
        <w:rPr>
          <w:rFonts w:hint="eastAsia" w:ascii="Times New Roman" w:hAnsi="Times New Roman" w:eastAsia="宋体" w:cs="Times New Roman"/>
          <w:bCs/>
          <w:color w:val="000000" w:themeColor="text1"/>
          <w:sz w:val="30"/>
          <w:szCs w:val="30"/>
          <w:highlight w:val="none"/>
          <w:u w:val="single"/>
          <w:lang w:val="en-US" w:eastAsia="zh-CN"/>
          <w14:textFill>
            <w14:solidFill>
              <w14:schemeClr w14:val="tx1"/>
            </w14:solidFill>
          </w14:textFill>
        </w:rPr>
        <w:t xml:space="preserve">  </w:t>
      </w:r>
      <w:r>
        <w:rPr>
          <w:rFonts w:hint="eastAsia" w:ascii="仿宋_GB2312" w:hAnsi="Times New Roman" w:eastAsia="仿宋_GB2312" w:cs="Times New Roman"/>
          <w:b w:val="0"/>
          <w:bCs w:val="0"/>
          <w:color w:val="000000" w:themeColor="text1"/>
          <w:sz w:val="28"/>
          <w:szCs w:val="28"/>
          <w:u w:val="single"/>
          <w:lang w:val="en-US" w:eastAsia="zh-CN"/>
          <w14:textFill>
            <w14:solidFill>
              <w14:schemeClr w14:val="tx1"/>
            </w14:solidFill>
          </w14:textFill>
        </w:rPr>
        <w:t>未央经典（西旅逸都）小区供热中心</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宋体" w:cs="Times New Roman"/>
          <w:bCs/>
          <w:color w:val="000000" w:themeColor="text1"/>
          <w:sz w:val="30"/>
          <w:szCs w:val="30"/>
          <w:highlight w:val="none"/>
          <w:u w:val="single"/>
          <w:lang w:val="en-US" w:eastAsia="zh-CN"/>
          <w14:textFill>
            <w14:solidFill>
              <w14:schemeClr w14:val="tx1"/>
            </w14:solidFill>
          </w14:textFill>
        </w:rPr>
        <w:t xml:space="preserve"> </w:t>
      </w:r>
    </w:p>
    <w:p w14:paraId="4B965570">
      <w:pPr>
        <w:keepNext w:val="0"/>
        <w:keepLines w:val="0"/>
        <w:widowControl/>
        <w:suppressLineNumbers w:val="0"/>
        <w:ind w:firstLine="643" w:firstLineChars="200"/>
        <w:jc w:val="left"/>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pPr>
      <w:r>
        <w:rPr>
          <w:rFonts w:hint="eastAsia" w:ascii="仿宋_GB2312" w:hAnsi="Times New Roman" w:eastAsia="仿宋_GB2312" w:cs="Times New Roman"/>
          <w:b/>
          <w:bCs/>
          <w:color w:val="000000" w:themeColor="text1"/>
          <w:sz w:val="32"/>
          <w:szCs w:val="32"/>
          <w:lang w:val="en-US" w:eastAsia="zh-CN"/>
          <w14:textFill>
            <w14:solidFill>
              <w14:schemeClr w14:val="tx1"/>
            </w14:solidFill>
          </w14:textFill>
        </w:rPr>
        <w:t>建设单位（盖章）：</w:t>
      </w:r>
      <w:r>
        <w:rPr>
          <w:rFonts w:hint="eastAsia" w:ascii="仿宋_GB2312" w:hAnsi="Times New Roman" w:eastAsia="仿宋_GB2312" w:cs="Times New Roman"/>
          <w:b w:val="0"/>
          <w:bCs w:val="0"/>
          <w:color w:val="000000" w:themeColor="text1"/>
          <w:sz w:val="28"/>
          <w:szCs w:val="28"/>
          <w:u w:val="single"/>
          <w:lang w:val="en-US" w:eastAsia="zh-CN"/>
          <w14:textFill>
            <w14:solidFill>
              <w14:schemeClr w14:val="tx1"/>
            </w14:solidFill>
          </w14:textFill>
        </w:rPr>
        <w:t>陕西阳光供热运营有限公司</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p>
    <w:p w14:paraId="7A2F5B14">
      <w:pPr>
        <w:spacing w:before="120" w:beforeLines="50" w:after="120" w:afterLines="50" w:line="360" w:lineRule="auto"/>
        <w:ind w:firstLine="643" w:firstLineChars="200"/>
        <w:jc w:val="both"/>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pPr>
      <w:r>
        <w:rPr>
          <w:rFonts w:hint="eastAsia" w:ascii="仿宋_GB2312" w:hAnsi="Times New Roman" w:eastAsia="仿宋_GB2312" w:cs="Times New Roman"/>
          <w:b/>
          <w:bCs/>
          <w:color w:val="000000" w:themeColor="text1"/>
          <w:sz w:val="32"/>
          <w:szCs w:val="32"/>
          <w:lang w:val="en-US" w:eastAsia="zh-CN"/>
          <w14:textFill>
            <w14:solidFill>
              <w14:schemeClr w14:val="tx1"/>
            </w14:solidFill>
          </w14:textFill>
        </w:rPr>
        <w:t>编制日期：</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bookmarkStart w:id="0" w:name="_Hlk57884087"/>
      <w:r>
        <w:rPr>
          <w:rFonts w:hint="eastAsia" w:ascii="仿宋_GB2312" w:hAnsi="Times New Roman" w:eastAsia="仿宋_GB2312" w:cs="Times New Roman"/>
          <w:b w:val="0"/>
          <w:bCs w:val="0"/>
          <w:color w:val="000000" w:themeColor="text1"/>
          <w:sz w:val="28"/>
          <w:szCs w:val="28"/>
          <w:u w:val="single"/>
          <w:lang w:val="en-US" w:eastAsia="zh-CN"/>
          <w14:textFill>
            <w14:solidFill>
              <w14:schemeClr w14:val="tx1"/>
            </w14:solidFill>
          </w14:textFill>
        </w:rPr>
        <w:t>二零二四年十二月</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p>
    <w:p w14:paraId="417C5E88">
      <w:pPr>
        <w:keepNext w:val="0"/>
        <w:keepLines w:val="0"/>
        <w:widowControl w:val="0"/>
        <w:suppressLineNumbers w:val="0"/>
        <w:adjustRightInd w:val="0"/>
        <w:snapToGrid w:val="0"/>
        <w:spacing w:before="0" w:beforeAutospacing="0" w:after="0" w:afterAutospacing="0" w:line="288" w:lineRule="auto"/>
        <w:ind w:right="0"/>
        <w:jc w:val="both"/>
        <w:rPr>
          <w:rFonts w:hint="eastAsia" w:ascii="仿宋_GB2312" w:eastAsia="仿宋_GB2312" w:cs="仿宋_GB2312"/>
          <w:color w:val="000000" w:themeColor="text1"/>
          <w:sz w:val="36"/>
          <w:szCs w:val="36"/>
          <w:lang w:val="en-US"/>
          <w14:textFill>
            <w14:solidFill>
              <w14:schemeClr w14:val="tx1"/>
            </w14:solidFill>
          </w14:textFill>
        </w:rPr>
      </w:pPr>
    </w:p>
    <w:bookmarkEnd w:id="0"/>
    <w:p w14:paraId="4A545932">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楷体_GB2312" w:hAnsi="Times New Roman" w:eastAsia="楷体_GB2312" w:cs="楷体_GB2312"/>
          <w:color w:val="000000" w:themeColor="text1"/>
          <w:kern w:val="2"/>
          <w:sz w:val="36"/>
          <w:szCs w:val="36"/>
          <w:lang w:val="en-US" w:eastAsia="zh-CN" w:bidi="ar"/>
          <w14:textFill>
            <w14:solidFill>
              <w14:schemeClr w14:val="tx1"/>
            </w14:solidFill>
          </w14:textFill>
        </w:rPr>
      </w:pPr>
      <w:r>
        <w:rPr>
          <w:rFonts w:hint="eastAsia" w:ascii="楷体_GB2312" w:hAnsi="Times New Roman" w:eastAsia="楷体_GB2312" w:cs="楷体_GB2312"/>
          <w:color w:val="000000" w:themeColor="text1"/>
          <w:kern w:val="2"/>
          <w:sz w:val="36"/>
          <w:szCs w:val="36"/>
          <w:lang w:val="en-US" w:eastAsia="zh-CN" w:bidi="ar"/>
          <w14:textFill>
            <w14:solidFill>
              <w14:schemeClr w14:val="tx1"/>
            </w14:solidFill>
          </w14:textFill>
        </w:rPr>
        <w:t>中华人民共和国生态环境部制</w:t>
      </w:r>
    </w:p>
    <w:p w14:paraId="5A387842">
      <w:pPr>
        <w:bidi w:val="0"/>
        <w:rPr>
          <w:rFonts w:hint="eastAsia"/>
          <w:color w:val="000000" w:themeColor="text1"/>
          <w:lang w:val="en-US"/>
          <w14:textFill>
            <w14:solidFill>
              <w14:schemeClr w14:val="tx1"/>
            </w14:solidFill>
          </w14:textFill>
        </w:rPr>
      </w:pPr>
    </w:p>
    <w:p w14:paraId="4FDA53C4">
      <w:pPr>
        <w:spacing w:line="288" w:lineRule="auto"/>
        <w:rPr>
          <w:rFonts w:hint="eastAsia" w:ascii="仿宋_GB2312" w:hAnsi="Times New Roman" w:eastAsia="仿宋_GB2312" w:cs="Times New Roman"/>
          <w:color w:val="000000" w:themeColor="text1"/>
          <w:kern w:val="2"/>
          <w:sz w:val="36"/>
          <w:szCs w:val="36"/>
          <w:lang w:val="en-US" w:eastAsia="zh-CN" w:bidi="ar"/>
          <w14:textFill>
            <w14:solidFill>
              <w14:schemeClr w14:val="tx1"/>
            </w14:solidFill>
          </w14:textFill>
        </w:rPr>
        <w:sectPr>
          <w:pgSz w:w="11906" w:h="16838"/>
          <w:pgMar w:top="1440" w:right="1803" w:bottom="1440" w:left="1803" w:header="851" w:footer="1077" w:gutter="0"/>
          <w:pgBorders>
            <w:top w:val="none" w:sz="0" w:space="0"/>
            <w:left w:val="none" w:sz="0" w:space="0"/>
            <w:bottom w:val="none" w:sz="0" w:space="0"/>
            <w:right w:val="none" w:sz="0" w:space="0"/>
          </w:pgBorders>
          <w:pgNumType w:start="3"/>
          <w:cols w:space="425" w:num="1"/>
          <w:docGrid w:type="lines" w:linePitch="312" w:charSpace="0"/>
        </w:sectPr>
      </w:pPr>
    </w:p>
    <w:p w14:paraId="4AA01D91">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default" w:ascii="Times New Roman" w:hAnsi="Times New Roman" w:eastAsia="宋体" w:cs="Times New Roman"/>
          <w:b/>
          <w:bCs/>
          <w:color w:val="000000" w:themeColor="text1"/>
          <w:sz w:val="30"/>
          <w:szCs w:val="30"/>
          <w:lang w:val="en-US"/>
          <w14:textFill>
            <w14:solidFill>
              <w14:schemeClr w14:val="tx1"/>
            </w14:solidFill>
          </w14:textFill>
        </w:rPr>
      </w:pPr>
      <w:r>
        <w:rPr>
          <w:rFonts w:hint="default" w:ascii="Times New Roman" w:hAnsi="Times New Roman" w:eastAsia="宋体" w:cs="Times New Roman"/>
          <w:b/>
          <w:bCs/>
          <w:snapToGrid w:val="0"/>
          <w:color w:val="000000" w:themeColor="text1"/>
          <w:sz w:val="30"/>
          <w:szCs w:val="30"/>
          <w:lang w:eastAsia="zh-CN"/>
          <w14:textFill>
            <w14:solidFill>
              <w14:schemeClr w14:val="tx1"/>
            </w14:solidFill>
          </w14:textFill>
        </w:rPr>
        <w:t>一、建设项目基本情况</w:t>
      </w:r>
    </w:p>
    <w:tbl>
      <w:tblPr>
        <w:tblStyle w:val="26"/>
        <w:tblW w:w="94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152"/>
        <w:gridCol w:w="2450"/>
        <w:gridCol w:w="1869"/>
        <w:gridCol w:w="2959"/>
      </w:tblGrid>
      <w:tr w14:paraId="5BE40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672299ED">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建设项目名称</w:t>
            </w:r>
          </w:p>
        </w:tc>
        <w:tc>
          <w:tcPr>
            <w:tcW w:w="7278" w:type="dxa"/>
            <w:gridSpan w:val="3"/>
            <w:tcBorders>
              <w:tl2br w:val="nil"/>
              <w:tr2bl w:val="nil"/>
            </w:tcBorders>
            <w:shd w:val="clear" w:color="auto" w:fill="auto"/>
            <w:vAlign w:val="center"/>
          </w:tcPr>
          <w:p w14:paraId="68CE7301">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未央经典（西旅逸都）小区供热中心</w:t>
            </w:r>
          </w:p>
        </w:tc>
      </w:tr>
      <w:tr w14:paraId="361506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1FF0ED47">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项目代码</w:t>
            </w:r>
          </w:p>
        </w:tc>
        <w:tc>
          <w:tcPr>
            <w:tcW w:w="7278" w:type="dxa"/>
            <w:gridSpan w:val="3"/>
            <w:tcBorders>
              <w:tl2br w:val="nil"/>
              <w:tr2bl w:val="nil"/>
            </w:tcBorders>
            <w:shd w:val="clear" w:color="auto" w:fill="auto"/>
            <w:vAlign w:val="center"/>
          </w:tcPr>
          <w:p w14:paraId="07465758">
            <w:pPr>
              <w:keepNext w:val="0"/>
              <w:keepLines w:val="0"/>
              <w:widowControl/>
              <w:suppressLineNumbers w:val="0"/>
              <w:spacing w:before="0" w:beforeAutospacing="0" w:after="0" w:afterAutospacing="0"/>
              <w:ind w:left="0" w:right="0"/>
              <w:jc w:val="center"/>
              <w:rPr>
                <w:rFonts w:hint="default" w:ascii="宋体" w:hAnsi="宋体" w:eastAsia="宋体" w:cs="宋体"/>
                <w:color w:val="000000" w:themeColor="text1"/>
                <w:kern w:val="2"/>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2018-611203-44-03-050511</w:t>
            </w:r>
          </w:p>
        </w:tc>
      </w:tr>
      <w:tr w14:paraId="79E3D2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531F20D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建设单位联系人</w:t>
            </w:r>
          </w:p>
        </w:tc>
        <w:tc>
          <w:tcPr>
            <w:tcW w:w="2450" w:type="dxa"/>
            <w:tcBorders>
              <w:tl2br w:val="nil"/>
              <w:tr2bl w:val="nil"/>
            </w:tcBorders>
            <w:shd w:val="clear" w:color="auto" w:fill="auto"/>
            <w:vAlign w:val="center"/>
          </w:tcPr>
          <w:p w14:paraId="11FF33C3">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药天宸</w:t>
            </w:r>
          </w:p>
        </w:tc>
        <w:tc>
          <w:tcPr>
            <w:tcW w:w="1869" w:type="dxa"/>
            <w:tcBorders>
              <w:tl2br w:val="nil"/>
              <w:tr2bl w:val="nil"/>
            </w:tcBorders>
            <w:shd w:val="clear" w:color="auto" w:fill="auto"/>
            <w:vAlign w:val="center"/>
          </w:tcPr>
          <w:p w14:paraId="747A689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联系方式</w:t>
            </w:r>
          </w:p>
        </w:tc>
        <w:tc>
          <w:tcPr>
            <w:tcW w:w="2959" w:type="dxa"/>
            <w:tcBorders>
              <w:tl2br w:val="nil"/>
              <w:tr2bl w:val="nil"/>
            </w:tcBorders>
            <w:shd w:val="clear" w:color="auto" w:fill="auto"/>
            <w:vAlign w:val="center"/>
          </w:tcPr>
          <w:p w14:paraId="4AEC3C9E">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13484614306</w:t>
            </w:r>
          </w:p>
        </w:tc>
      </w:tr>
      <w:tr w14:paraId="5B5F1C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1" w:hRule="atLeast"/>
          <w:jc w:val="center"/>
        </w:trPr>
        <w:tc>
          <w:tcPr>
            <w:tcW w:w="2152" w:type="dxa"/>
            <w:tcBorders>
              <w:tl2br w:val="nil"/>
              <w:tr2bl w:val="nil"/>
            </w:tcBorders>
            <w:shd w:val="clear" w:color="auto" w:fill="auto"/>
            <w:tcMar>
              <w:top w:w="16" w:type="dxa"/>
              <w:left w:w="16" w:type="dxa"/>
              <w:right w:w="16" w:type="dxa"/>
            </w:tcMar>
            <w:vAlign w:val="center"/>
          </w:tcPr>
          <w:p w14:paraId="54F487D2">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建设地点</w:t>
            </w:r>
          </w:p>
        </w:tc>
        <w:tc>
          <w:tcPr>
            <w:tcW w:w="7278" w:type="dxa"/>
            <w:gridSpan w:val="3"/>
            <w:tcBorders>
              <w:tl2br w:val="nil"/>
              <w:tr2bl w:val="nil"/>
            </w:tcBorders>
            <w:shd w:val="clear" w:color="auto" w:fill="auto"/>
            <w:vAlign w:val="center"/>
          </w:tcPr>
          <w:p w14:paraId="570B7C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u w:val="single"/>
                <w14:textFill>
                  <w14:solidFill>
                    <w14:schemeClr w14:val="tx1"/>
                  </w14:solidFill>
                </w14:textFill>
              </w:rPr>
              <w:t>陕西省</w:t>
            </w:r>
            <w:r>
              <w:rPr>
                <w:rFonts w:hint="default" w:ascii="Times New Roman" w:hAnsi="Times New Roman" w:cs="Times New Roman"/>
                <w:color w:val="000000" w:themeColor="text1"/>
                <w:sz w:val="24"/>
                <w:szCs w:val="24"/>
                <w14:textFill>
                  <w14:solidFill>
                    <w14:schemeClr w14:val="tx1"/>
                  </w14:solidFill>
                </w14:textFill>
              </w:rPr>
              <w:t>（自治区）</w:t>
            </w:r>
            <w:r>
              <w:rPr>
                <w:rFonts w:hint="eastAsia" w:ascii="Times New Roman" w:hAnsi="Times New Roman" w:cs="Times New Roman"/>
                <w:color w:val="000000" w:themeColor="text1"/>
                <w:sz w:val="24"/>
                <w:szCs w:val="24"/>
                <w:u w:val="single"/>
                <w:lang w:eastAsia="zh-CN"/>
                <w14:textFill>
                  <w14:solidFill>
                    <w14:schemeClr w14:val="tx1"/>
                  </w14:solidFill>
                </w14:textFill>
              </w:rPr>
              <w:t>西安</w:t>
            </w:r>
            <w:r>
              <w:rPr>
                <w:rFonts w:hint="eastAsia" w:ascii="Times New Roman" w:hAnsi="Times New Roman" w:cs="Times New Roman"/>
                <w:color w:val="000000" w:themeColor="text1"/>
                <w:sz w:val="24"/>
                <w:szCs w:val="24"/>
                <w:lang w:eastAsia="zh-CN"/>
                <w14:textFill>
                  <w14:solidFill>
                    <w14:schemeClr w14:val="tx1"/>
                  </w14:solidFill>
                </w14:textFill>
              </w:rPr>
              <w:t>（市）</w:t>
            </w:r>
            <w:r>
              <w:rPr>
                <w:rFonts w:hint="eastAsia" w:cs="Times New Roman"/>
                <w:color w:val="000000" w:themeColor="text1"/>
                <w:sz w:val="24"/>
                <w:szCs w:val="24"/>
                <w:u w:val="single"/>
                <w:lang w:eastAsia="zh-CN"/>
                <w14:textFill>
                  <w14:solidFill>
                    <w14:schemeClr w14:val="tx1"/>
                  </w14:solidFill>
                </w14:textFill>
              </w:rPr>
              <w:t>西咸新区</w:t>
            </w:r>
            <w:r>
              <w:rPr>
                <w:rFonts w:hint="default" w:ascii="Times New Roman" w:hAnsi="Times New Roman" w:cs="Times New Roman"/>
                <w:color w:val="000000" w:themeColor="text1"/>
                <w:sz w:val="24"/>
                <w:szCs w:val="24"/>
                <w:highlight w:val="none"/>
                <w14:textFill>
                  <w14:solidFill>
                    <w14:schemeClr w14:val="tx1"/>
                  </w14:solidFill>
                </w14:textFill>
              </w:rPr>
              <w:t>（区）</w:t>
            </w:r>
            <w:r>
              <w:rPr>
                <w:rFonts w:hint="eastAsia"/>
                <w:color w:val="000000" w:themeColor="text1"/>
                <w:sz w:val="24"/>
                <w:szCs w:val="24"/>
                <w:u w:val="single"/>
                <w:lang w:val="en-US" w:eastAsia="zh-CN"/>
                <w14:textFill>
                  <w14:solidFill>
                    <w14:schemeClr w14:val="tx1"/>
                  </w14:solidFill>
                </w14:textFill>
              </w:rPr>
              <w:t>沣东新城</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三桥路399号未央经典</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西旅逸都</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小区地下一层设备间</w:t>
            </w:r>
          </w:p>
        </w:tc>
      </w:tr>
      <w:tr w14:paraId="636399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0B6B0359">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地理坐标</w:t>
            </w:r>
          </w:p>
        </w:tc>
        <w:tc>
          <w:tcPr>
            <w:tcW w:w="7278" w:type="dxa"/>
            <w:gridSpan w:val="3"/>
            <w:tcBorders>
              <w:tl2br w:val="nil"/>
              <w:tr2bl w:val="nil"/>
            </w:tcBorders>
            <w:shd w:val="clear" w:color="auto" w:fill="auto"/>
            <w:vAlign w:val="center"/>
          </w:tcPr>
          <w:p w14:paraId="4B86011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10</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8</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50</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37.900</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r>
              <w:rPr>
                <w:rFonts w:hint="default" w:ascii="Times New Roman" w:hAnsi="Times New Roman" w:cs="Times New Roman"/>
                <w:color w:val="000000" w:themeColor="text1"/>
                <w:sz w:val="24"/>
                <w:szCs w:val="24"/>
                <w:u w:val="single"/>
                <w14:textFill>
                  <w14:solidFill>
                    <w14:schemeClr w14:val="tx1"/>
                  </w14:solidFill>
                </w14:textFill>
              </w:rPr>
              <w:t xml:space="preserve"> 3</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4</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17</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28.074</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p>
        </w:tc>
      </w:tr>
      <w:tr w14:paraId="362D43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429571AC">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国民经济</w:t>
            </w:r>
          </w:p>
          <w:p w14:paraId="2C52AEA0">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行业类别</w:t>
            </w:r>
          </w:p>
        </w:tc>
        <w:tc>
          <w:tcPr>
            <w:tcW w:w="2450" w:type="dxa"/>
            <w:tcBorders>
              <w:tl2br w:val="nil"/>
              <w:tr2bl w:val="nil"/>
            </w:tcBorders>
            <w:shd w:val="clear" w:color="auto" w:fill="auto"/>
            <w:vAlign w:val="center"/>
          </w:tcPr>
          <w:p w14:paraId="6C320AA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D4430热力生产和供应</w:t>
            </w:r>
          </w:p>
        </w:tc>
        <w:tc>
          <w:tcPr>
            <w:tcW w:w="1869" w:type="dxa"/>
            <w:tcBorders>
              <w:tl2br w:val="nil"/>
              <w:tr2bl w:val="nil"/>
            </w:tcBorders>
            <w:shd w:val="clear" w:color="auto" w:fill="auto"/>
            <w:vAlign w:val="center"/>
          </w:tcPr>
          <w:p w14:paraId="49259057">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pPr>
            <w:bookmarkStart w:id="1" w:name="_Hlk49843745"/>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建设项目</w:t>
            </w:r>
          </w:p>
          <w:p w14:paraId="2B89BD7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行业类别</w:t>
            </w:r>
            <w:bookmarkEnd w:id="1"/>
          </w:p>
        </w:tc>
        <w:tc>
          <w:tcPr>
            <w:tcW w:w="2959" w:type="dxa"/>
            <w:tcBorders>
              <w:tl2br w:val="nil"/>
              <w:tr2bl w:val="nil"/>
            </w:tcBorders>
            <w:shd w:val="clear" w:color="auto" w:fill="auto"/>
            <w:vAlign w:val="center"/>
          </w:tcPr>
          <w:p w14:paraId="4A536EA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9</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热力生产和供应工程</w:t>
            </w:r>
          </w:p>
        </w:tc>
      </w:tr>
      <w:tr w14:paraId="63C2EC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467F7ADC">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建设性质</w:t>
            </w:r>
          </w:p>
        </w:tc>
        <w:tc>
          <w:tcPr>
            <w:tcW w:w="2450" w:type="dxa"/>
            <w:tcBorders>
              <w:tl2br w:val="nil"/>
              <w:tr2bl w:val="nil"/>
            </w:tcBorders>
            <w:shd w:val="clear" w:color="auto" w:fill="auto"/>
            <w:vAlign w:val="center"/>
          </w:tcPr>
          <w:p w14:paraId="1B05727F">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eastAsia" w:ascii="宋体" w:hAnsi="宋体" w:eastAsia="宋体" w:cs="宋体"/>
                <w:color w:val="000000" w:themeColor="text1"/>
                <w:kern w:val="2"/>
                <w:sz w:val="24"/>
                <w:szCs w:val="24"/>
                <w:lang w:val="en-US" w:eastAsia="zh-CN" w:bidi="ar"/>
                <w14:textFill>
                  <w14:solidFill>
                    <w14:schemeClr w14:val="tx1"/>
                  </w14:solidFill>
                </w14:textFill>
              </w:rPr>
              <w:t>新建（迁建）</w:t>
            </w:r>
          </w:p>
          <w:p w14:paraId="47B709B3">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改建</w:t>
            </w:r>
          </w:p>
          <w:p w14:paraId="2F920538">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扩建</w:t>
            </w:r>
          </w:p>
          <w:p w14:paraId="77C666E0">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技术改造</w:t>
            </w:r>
          </w:p>
        </w:tc>
        <w:tc>
          <w:tcPr>
            <w:tcW w:w="1869" w:type="dxa"/>
            <w:tcBorders>
              <w:tl2br w:val="nil"/>
              <w:tr2bl w:val="nil"/>
            </w:tcBorders>
            <w:shd w:val="clear" w:color="auto" w:fill="auto"/>
            <w:vAlign w:val="center"/>
          </w:tcPr>
          <w:p w14:paraId="673584F4">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建设项目</w:t>
            </w:r>
          </w:p>
          <w:p w14:paraId="5266697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申报情形</w:t>
            </w:r>
          </w:p>
        </w:tc>
        <w:tc>
          <w:tcPr>
            <w:tcW w:w="2959" w:type="dxa"/>
            <w:tcBorders>
              <w:tl2br w:val="nil"/>
              <w:tr2bl w:val="nil"/>
            </w:tcBorders>
            <w:shd w:val="clear" w:color="auto" w:fill="auto"/>
            <w:vAlign w:val="center"/>
          </w:tcPr>
          <w:p w14:paraId="3D4967C1">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eastAsia" w:ascii="宋体" w:hAnsi="宋体" w:eastAsia="宋体" w:cs="宋体"/>
                <w:color w:val="000000" w:themeColor="text1"/>
                <w:kern w:val="2"/>
                <w:sz w:val="24"/>
                <w:szCs w:val="24"/>
                <w:lang w:val="en-US" w:eastAsia="zh-CN" w:bidi="ar"/>
                <w14:textFill>
                  <w14:solidFill>
                    <w14:schemeClr w14:val="tx1"/>
                  </w14:solidFill>
                </w14:textFill>
              </w:rPr>
              <w:t>首次申报项目</w:t>
            </w:r>
          </w:p>
          <w:p w14:paraId="18AF51F9">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□不予批准后再次申报项目</w:t>
            </w:r>
          </w:p>
          <w:p w14:paraId="226D6B88">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□超五年重新审核项目</w:t>
            </w:r>
          </w:p>
          <w:p w14:paraId="1328FB15">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□重大变动重新报批项目</w:t>
            </w:r>
          </w:p>
        </w:tc>
      </w:tr>
      <w:tr w14:paraId="7A921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0E48D1EF">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项目审批（核准/</w:t>
            </w:r>
          </w:p>
          <w:p w14:paraId="48633F25">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备案）部门（选填）</w:t>
            </w:r>
          </w:p>
        </w:tc>
        <w:tc>
          <w:tcPr>
            <w:tcW w:w="2450" w:type="dxa"/>
            <w:tcBorders>
              <w:tl2br w:val="nil"/>
              <w:tr2bl w:val="nil"/>
            </w:tcBorders>
            <w:shd w:val="clear" w:color="auto" w:fill="auto"/>
            <w:vAlign w:val="center"/>
          </w:tcPr>
          <w:p w14:paraId="4E05276E">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沣东新城行政审批与政务服务局</w:t>
            </w:r>
          </w:p>
        </w:tc>
        <w:tc>
          <w:tcPr>
            <w:tcW w:w="1869" w:type="dxa"/>
            <w:tcBorders>
              <w:tl2br w:val="nil"/>
              <w:tr2bl w:val="nil"/>
            </w:tcBorders>
            <w:shd w:val="clear" w:color="auto" w:fill="auto"/>
            <w:vAlign w:val="center"/>
          </w:tcPr>
          <w:p w14:paraId="08B9EFC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项目审批（核准/备案）文号（选填）</w:t>
            </w:r>
          </w:p>
        </w:tc>
        <w:tc>
          <w:tcPr>
            <w:tcW w:w="2959" w:type="dxa"/>
            <w:tcBorders>
              <w:tl2br w:val="nil"/>
              <w:tr2bl w:val="nil"/>
            </w:tcBorders>
            <w:shd w:val="clear" w:color="auto" w:fill="auto"/>
            <w:vAlign w:val="center"/>
          </w:tcPr>
          <w:p w14:paraId="4FA2CAC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5FCA8E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6B66E744">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总投资（万元）</w:t>
            </w:r>
          </w:p>
        </w:tc>
        <w:tc>
          <w:tcPr>
            <w:tcW w:w="2450" w:type="dxa"/>
            <w:tcBorders>
              <w:tl2br w:val="nil"/>
              <w:tr2bl w:val="nil"/>
            </w:tcBorders>
            <w:shd w:val="clear" w:color="auto" w:fill="auto"/>
            <w:vAlign w:val="center"/>
          </w:tcPr>
          <w:p w14:paraId="79F5767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126</w:t>
            </w:r>
          </w:p>
        </w:tc>
        <w:tc>
          <w:tcPr>
            <w:tcW w:w="1869" w:type="dxa"/>
            <w:tcBorders>
              <w:tl2br w:val="nil"/>
              <w:tr2bl w:val="nil"/>
            </w:tcBorders>
            <w:shd w:val="clear" w:color="auto" w:fill="auto"/>
            <w:tcMar>
              <w:top w:w="16" w:type="dxa"/>
              <w:left w:w="16" w:type="dxa"/>
              <w:right w:w="16" w:type="dxa"/>
            </w:tcMar>
            <w:vAlign w:val="center"/>
          </w:tcPr>
          <w:p w14:paraId="207E2EA4">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环保投资（万元）</w:t>
            </w:r>
          </w:p>
        </w:tc>
        <w:tc>
          <w:tcPr>
            <w:tcW w:w="2959" w:type="dxa"/>
            <w:tcBorders>
              <w:tl2br w:val="nil"/>
              <w:tr2bl w:val="nil"/>
            </w:tcBorders>
            <w:shd w:val="clear" w:color="auto" w:fill="auto"/>
            <w:vAlign w:val="center"/>
          </w:tcPr>
          <w:p w14:paraId="0521F49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9.6</w:t>
            </w:r>
          </w:p>
        </w:tc>
      </w:tr>
      <w:tr w14:paraId="6BD40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7FDB0EF3">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环保投资占比（</w:t>
            </w: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w:t>
            </w:r>
          </w:p>
        </w:tc>
        <w:tc>
          <w:tcPr>
            <w:tcW w:w="2450" w:type="dxa"/>
            <w:tcBorders>
              <w:tl2br w:val="nil"/>
              <w:tr2bl w:val="nil"/>
            </w:tcBorders>
            <w:shd w:val="clear" w:color="auto" w:fill="auto"/>
            <w:vAlign w:val="center"/>
          </w:tcPr>
          <w:p w14:paraId="735946AB">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7.6</w:t>
            </w:r>
          </w:p>
        </w:tc>
        <w:tc>
          <w:tcPr>
            <w:tcW w:w="1869" w:type="dxa"/>
            <w:tcBorders>
              <w:tl2br w:val="nil"/>
              <w:tr2bl w:val="nil"/>
            </w:tcBorders>
            <w:shd w:val="clear" w:color="auto" w:fill="auto"/>
            <w:tcMar>
              <w:top w:w="16" w:type="dxa"/>
              <w:left w:w="16" w:type="dxa"/>
              <w:right w:w="16" w:type="dxa"/>
            </w:tcMar>
            <w:vAlign w:val="center"/>
          </w:tcPr>
          <w:p w14:paraId="452E681B">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施工工期</w:t>
            </w:r>
          </w:p>
        </w:tc>
        <w:tc>
          <w:tcPr>
            <w:tcW w:w="2959" w:type="dxa"/>
            <w:tcBorders>
              <w:tl2br w:val="nil"/>
              <w:tr2bl w:val="nil"/>
            </w:tcBorders>
            <w:shd w:val="clear" w:color="auto" w:fill="auto"/>
            <w:vAlign w:val="center"/>
          </w:tcPr>
          <w:p w14:paraId="6EACCF5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562053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056A1F55">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是否开工建设</w:t>
            </w:r>
          </w:p>
        </w:tc>
        <w:tc>
          <w:tcPr>
            <w:tcW w:w="2450" w:type="dxa"/>
            <w:tcBorders>
              <w:tl2br w:val="nil"/>
              <w:tr2bl w:val="nil"/>
            </w:tcBorders>
            <w:shd w:val="clear" w:color="auto" w:fill="auto"/>
            <w:vAlign w:val="center"/>
          </w:tcPr>
          <w:p w14:paraId="33E1364A">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Wingdings 2" w:cs="Times New Roman"/>
                <w:color w:val="000000" w:themeColor="text1"/>
                <w:kern w:val="2"/>
                <w:sz w:val="24"/>
                <w:szCs w:val="24"/>
                <w:lang w:val="en-US" w:eastAsia="zh-CN" w:bidi="ar"/>
                <w14:textFill>
                  <w14:solidFill>
                    <w14:schemeClr w14:val="tx1"/>
                  </w14:solidFill>
                </w14:textFill>
              </w:rPr>
              <w:sym w:font="Wingdings 2" w:char="00A3"/>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否</w:t>
            </w:r>
          </w:p>
          <w:p w14:paraId="383551D4">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Wingdings 2" w:cs="Times New Roman"/>
                <w:color w:val="000000" w:themeColor="text1"/>
                <w:kern w:val="2"/>
                <w:sz w:val="24"/>
                <w:szCs w:val="24"/>
                <w:lang w:val="en-US" w:eastAsia="zh-CN" w:bidi="ar"/>
                <w14:textFill>
                  <w14:solidFill>
                    <w14:schemeClr w14:val="tx1"/>
                  </w14:solidFill>
                </w14:textFill>
              </w:rPr>
              <w:sym w:font="Wingdings 2" w:char="0052"/>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是：</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本项目在未央经典（西旅逸都）小区地下一层建设供热中心，安装5台1.4MW燃气真空热水锅炉；</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本项目</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于2018年11月15日</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建成并</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投入使用，为未央经典</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小区</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居民在采暖季</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供热</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；本项目“未批先建”处罚已完成，详见附件9</w:t>
            </w:r>
            <w:r>
              <w:rPr>
                <w:rFonts w:hint="default" w:ascii="Times New Roman" w:hAnsi="Times New Roman" w:eastAsia="宋体" w:cs="Times New Roman"/>
                <w:color w:val="000000" w:themeColor="text1"/>
                <w:kern w:val="0"/>
                <w:sz w:val="24"/>
                <w:szCs w:val="24"/>
                <w:u w:val="none"/>
                <w:lang w:val="en-US" w:eastAsia="zh-CN" w:bidi="ar"/>
                <w14:textFill>
                  <w14:solidFill>
                    <w14:schemeClr w14:val="tx1"/>
                  </w14:solidFill>
                </w14:textFill>
              </w:rPr>
              <w:t>。</w:t>
            </w:r>
          </w:p>
        </w:tc>
        <w:tc>
          <w:tcPr>
            <w:tcW w:w="1869" w:type="dxa"/>
            <w:tcBorders>
              <w:tl2br w:val="nil"/>
              <w:tr2bl w:val="nil"/>
            </w:tcBorders>
            <w:shd w:val="clear" w:color="auto" w:fill="auto"/>
            <w:tcMar>
              <w:top w:w="16" w:type="dxa"/>
              <w:left w:w="16" w:type="dxa"/>
              <w:right w:w="16" w:type="dxa"/>
            </w:tcMar>
            <w:vAlign w:val="center"/>
          </w:tcPr>
          <w:p w14:paraId="736A650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pacing w:val="-6"/>
                <w:sz w:val="24"/>
                <w:szCs w:val="24"/>
                <w:lang w:val="en-US"/>
                <w14:textFill>
                  <w14:solidFill>
                    <w14:schemeClr w14:val="tx1"/>
                  </w14:solidFill>
                </w14:textFill>
              </w:rPr>
            </w:pP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用地（用海）</w:t>
            </w:r>
          </w:p>
          <w:p w14:paraId="53EB9CB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面积（m</w:t>
            </w:r>
            <w:r>
              <w:rPr>
                <w:rFonts w:hint="default" w:ascii="Times New Roman" w:hAnsi="Times New Roman" w:eastAsia="宋体" w:cs="Times New Roman"/>
                <w:b/>
                <w:bCs/>
                <w:color w:val="000000" w:themeColor="text1"/>
                <w:spacing w:val="-6"/>
                <w:kern w:val="2"/>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w:t>
            </w:r>
          </w:p>
        </w:tc>
        <w:tc>
          <w:tcPr>
            <w:tcW w:w="2959" w:type="dxa"/>
            <w:tcBorders>
              <w:tl2br w:val="nil"/>
              <w:tr2bl w:val="nil"/>
            </w:tcBorders>
            <w:shd w:val="clear" w:color="auto" w:fill="auto"/>
            <w:vAlign w:val="center"/>
          </w:tcPr>
          <w:p w14:paraId="3DF1B936">
            <w:pPr>
              <w:keepNext w:val="0"/>
              <w:keepLines w:val="0"/>
              <w:widowControl w:val="0"/>
              <w:suppressLineNumbers w:val="0"/>
              <w:adjustRightInd w:val="0"/>
              <w:snapToGrid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210</w:t>
            </w:r>
          </w:p>
        </w:tc>
      </w:tr>
      <w:tr w14:paraId="7DD298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left w:w="108" w:type="dxa"/>
              <w:right w:w="108" w:type="dxa"/>
            </w:tcMar>
            <w:vAlign w:val="center"/>
          </w:tcPr>
          <w:p w14:paraId="24E00CCC">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专项评价设置情况</w:t>
            </w:r>
          </w:p>
        </w:tc>
        <w:tc>
          <w:tcPr>
            <w:tcW w:w="7278" w:type="dxa"/>
            <w:gridSpan w:val="3"/>
            <w:tcBorders>
              <w:tl2br w:val="nil"/>
              <w:tr2bl w:val="nil"/>
            </w:tcBorders>
            <w:shd w:val="clear" w:color="auto" w:fill="auto"/>
            <w:tcMar>
              <w:left w:w="108" w:type="dxa"/>
              <w:right w:w="108" w:type="dxa"/>
            </w:tcMar>
            <w:vAlign w:val="center"/>
          </w:tcPr>
          <w:p w14:paraId="46219CA7">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无</w:t>
            </w:r>
          </w:p>
        </w:tc>
      </w:tr>
      <w:tr w14:paraId="11F8AB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492" w:hRule="atLeast"/>
          <w:jc w:val="center"/>
        </w:trPr>
        <w:tc>
          <w:tcPr>
            <w:tcW w:w="2152" w:type="dxa"/>
            <w:tcBorders>
              <w:tl2br w:val="nil"/>
              <w:tr2bl w:val="nil"/>
            </w:tcBorders>
            <w:shd w:val="clear" w:color="auto" w:fill="auto"/>
            <w:tcMar>
              <w:left w:w="108" w:type="dxa"/>
              <w:right w:w="108" w:type="dxa"/>
            </w:tcMar>
            <w:vAlign w:val="center"/>
          </w:tcPr>
          <w:p w14:paraId="1CD16B93">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规划情况</w:t>
            </w:r>
          </w:p>
        </w:tc>
        <w:tc>
          <w:tcPr>
            <w:tcW w:w="7278" w:type="dxa"/>
            <w:gridSpan w:val="3"/>
            <w:tcBorders>
              <w:tl2br w:val="nil"/>
              <w:tr2bl w:val="nil"/>
            </w:tcBorders>
            <w:shd w:val="clear" w:color="auto" w:fill="auto"/>
            <w:tcMar>
              <w:left w:w="108" w:type="dxa"/>
              <w:right w:w="108" w:type="dxa"/>
            </w:tcMar>
            <w:vAlign w:val="center"/>
          </w:tcPr>
          <w:p w14:paraId="61584FAA">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240" w:lineRule="auto"/>
              <w:ind w:left="0" w:right="0"/>
              <w:textAlignment w:val="baseline"/>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1.规划名称：</w:t>
            </w:r>
            <w:r>
              <w:rPr>
                <w:rFonts w:hint="eastAsia"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西咸新区-沣东新城分区规划（2010-2020）</w:t>
            </w:r>
            <w:r>
              <w:rPr>
                <w:rFonts w:hint="eastAsia"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w:t>
            </w:r>
          </w:p>
          <w:p w14:paraId="59538D57">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Autospacing="0" w:line="240" w:lineRule="auto"/>
              <w:ind w:left="0" w:right="0"/>
              <w:textAlignment w:val="baseline"/>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2.审查机关：</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w:t>
            </w:r>
          </w:p>
          <w:p w14:paraId="680BAAB7">
            <w:pPr>
              <w:keepNext w:val="0"/>
              <w:keepLines w:val="0"/>
              <w:pageBreakBefore w:val="0"/>
              <w:suppressLineNumbers w:val="0"/>
              <w:kinsoku/>
              <w:wordWrap/>
              <w:overflowPunct/>
              <w:topLinePunct w:val="0"/>
              <w:bidi w:val="0"/>
              <w:spacing w:before="0" w:beforeAutospacing="0" w:after="0" w:afterAutospacing="0" w:line="240" w:lineRule="auto"/>
              <w:ind w:left="0" w:right="0"/>
              <w:jc w:val="both"/>
              <w:textAlignment w:val="auto"/>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3.审查文件名称及文号：</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陕西省人民政府关于《西咸新区总体规划》的批复（陕政函（2011）110号）；</w:t>
            </w:r>
          </w:p>
        </w:tc>
      </w:tr>
      <w:tr w14:paraId="3840C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994" w:hRule="atLeast"/>
          <w:jc w:val="center"/>
        </w:trPr>
        <w:tc>
          <w:tcPr>
            <w:tcW w:w="2152" w:type="dxa"/>
            <w:tcBorders>
              <w:tl2br w:val="nil"/>
              <w:tr2bl w:val="nil"/>
            </w:tcBorders>
            <w:shd w:val="clear" w:color="auto" w:fill="auto"/>
            <w:tcMar>
              <w:left w:w="108" w:type="dxa"/>
              <w:right w:w="108" w:type="dxa"/>
            </w:tcMar>
            <w:vAlign w:val="center"/>
          </w:tcPr>
          <w:p w14:paraId="636B8F2E">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规划环境影响</w:t>
            </w:r>
          </w:p>
          <w:p w14:paraId="26CD856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评价情况</w:t>
            </w:r>
          </w:p>
        </w:tc>
        <w:tc>
          <w:tcPr>
            <w:tcW w:w="7278" w:type="dxa"/>
            <w:gridSpan w:val="3"/>
            <w:tcBorders>
              <w:tl2br w:val="nil"/>
              <w:tr2bl w:val="nil"/>
            </w:tcBorders>
            <w:shd w:val="clear" w:color="auto" w:fill="auto"/>
            <w:tcMar>
              <w:left w:w="108" w:type="dxa"/>
              <w:right w:w="108" w:type="dxa"/>
            </w:tcMar>
            <w:vAlign w:val="center"/>
          </w:tcPr>
          <w:p w14:paraId="544E8C4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1.</w:t>
            </w:r>
            <w:r>
              <w:rPr>
                <w:rFonts w:hint="default" w:ascii="Times New Roman" w:hAnsi="Times New Roman" w:cs="Times New Roman"/>
                <w:b/>
                <w:bCs/>
                <w:color w:val="000000" w:themeColor="text1"/>
                <w:sz w:val="24"/>
                <w:szCs w:val="24"/>
                <w14:textFill>
                  <w14:solidFill>
                    <w14:schemeClr w14:val="tx1"/>
                  </w14:solidFill>
                </w14:textFill>
              </w:rPr>
              <w:t>规划环评文件名称：</w:t>
            </w:r>
            <w:r>
              <w:rPr>
                <w:rFonts w:hint="default" w:ascii="Times New Roman" w:hAnsi="Times New Roman" w:cs="Times New Roman"/>
                <w:color w:val="000000" w:themeColor="text1"/>
                <w:sz w:val="24"/>
                <w:szCs w:val="24"/>
                <w14:textFill>
                  <w14:solidFill>
                    <w14:schemeClr w14:val="tx1"/>
                  </w14:solidFill>
                </w14:textFill>
              </w:rPr>
              <w:t>《西咸新区</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沣东新城分区规划（2010-2020）环境影响报告书》；</w:t>
            </w:r>
          </w:p>
          <w:p w14:paraId="58A30B8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b/>
                <w:bCs/>
                <w:color w:val="000000" w:themeColor="text1"/>
                <w:sz w:val="24"/>
                <w:szCs w:val="24"/>
                <w14:textFill>
                  <w14:solidFill>
                    <w14:schemeClr w14:val="tx1"/>
                  </w14:solidFill>
                </w14:textFill>
              </w:rPr>
              <w:t>审查机关</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原</w:t>
            </w:r>
            <w:r>
              <w:rPr>
                <w:rFonts w:hint="default" w:ascii="Times New Roman" w:hAnsi="Times New Roman" w:cs="Times New Roman"/>
                <w:color w:val="000000" w:themeColor="text1"/>
                <w:sz w:val="24"/>
                <w:szCs w:val="24"/>
                <w14:textFill>
                  <w14:solidFill>
                    <w14:schemeClr w14:val="tx1"/>
                  </w14:solidFill>
                </w14:textFill>
              </w:rPr>
              <w:t>西安市环境保护局；</w:t>
            </w:r>
          </w:p>
          <w:p w14:paraId="0F4F31D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3.审查文件名称及文号：</w:t>
            </w:r>
            <w:r>
              <w:rPr>
                <w:rFonts w:hint="default" w:ascii="Times New Roman" w:hAnsi="Times New Roman" w:cs="Times New Roman"/>
                <w:color w:val="000000" w:themeColor="text1"/>
                <w:sz w:val="24"/>
                <w:szCs w:val="24"/>
                <w:lang w:val="en-US" w:eastAsia="zh-CN"/>
                <w14:textFill>
                  <w14:solidFill>
                    <w14:schemeClr w14:val="tx1"/>
                  </w14:solidFill>
                </w14:textFill>
              </w:rPr>
              <w:t>西安市环境保护局关于《西咸新区-沣东新城分区规划（2010-2020）环境影响报告书的审查意见》（市环函[2014]20号）。</w:t>
            </w:r>
          </w:p>
        </w:tc>
      </w:tr>
    </w:tbl>
    <w:p w14:paraId="0D987D1B">
      <w:pPr>
        <w:spacing w:line="360" w:lineRule="auto"/>
        <w:rPr>
          <w:rFonts w:hint="default" w:ascii="Times New Roman" w:hAnsi="Times New Roman" w:eastAsia="黑体" w:cs="Times New Roman"/>
          <w:color w:val="000000" w:themeColor="text1"/>
          <w:kern w:val="2"/>
          <w:sz w:val="30"/>
          <w:szCs w:val="24"/>
          <w:lang w:val="en-US" w:eastAsia="zh-CN" w:bidi="ar"/>
          <w14:textFill>
            <w14:solidFill>
              <w14:schemeClr w14:val="tx1"/>
            </w14:solidFill>
          </w14:textFill>
        </w:rPr>
        <w:sectPr>
          <w:footerReference r:id="rId3" w:type="default"/>
          <w:pgSz w:w="11906" w:h="16838"/>
          <w:pgMar w:top="1383" w:right="1803" w:bottom="1440" w:left="1803" w:header="850" w:footer="680" w:gutter="0"/>
          <w:pgBorders>
            <w:top w:val="none" w:sz="0" w:space="0"/>
            <w:left w:val="none" w:sz="0" w:space="0"/>
            <w:bottom w:val="none" w:sz="0" w:space="0"/>
            <w:right w:val="none" w:sz="0" w:space="0"/>
          </w:pgBorders>
          <w:pgNumType w:fmt="numberInDash" w:start="1"/>
          <w:cols w:space="425" w:num="1"/>
          <w:docGrid w:type="lines" w:linePitch="312" w:charSpace="0"/>
        </w:sectPr>
      </w:pPr>
    </w:p>
    <w:tbl>
      <w:tblPr>
        <w:tblStyle w:val="26"/>
        <w:tblW w:w="893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215"/>
        <w:gridCol w:w="7718"/>
      </w:tblGrid>
      <w:tr w14:paraId="0A7294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79" w:hRule="atLeast"/>
          <w:jc w:val="center"/>
        </w:trPr>
        <w:tc>
          <w:tcPr>
            <w:tcW w:w="1215" w:type="dxa"/>
            <w:tcBorders>
              <w:tl2br w:val="nil"/>
              <w:tr2bl w:val="nil"/>
            </w:tcBorders>
            <w:shd w:val="clear" w:color="auto" w:fill="auto"/>
            <w:tcMar>
              <w:left w:w="108" w:type="dxa"/>
              <w:right w:w="108" w:type="dxa"/>
            </w:tcMar>
            <w:vAlign w:val="center"/>
          </w:tcPr>
          <w:p w14:paraId="1E2BC15A">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规划及规划环境影响评价符合性分析</w:t>
            </w:r>
          </w:p>
        </w:tc>
        <w:tc>
          <w:tcPr>
            <w:tcW w:w="7718" w:type="dxa"/>
            <w:tcBorders>
              <w:tl2br w:val="nil"/>
              <w:tr2bl w:val="nil"/>
            </w:tcBorders>
            <w:shd w:val="clear" w:color="auto" w:fill="auto"/>
            <w:tcMar>
              <w:left w:w="108" w:type="dxa"/>
              <w:right w:w="108" w:type="dxa"/>
            </w:tcMar>
            <w:vAlign w:val="center"/>
          </w:tcPr>
          <w:p w14:paraId="5A27A6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1.与西咸新</w:t>
            </w:r>
            <w:r>
              <w:rPr>
                <w:rFonts w:hint="default" w:ascii="Times New Roman" w:hAnsi="Times New Roman" w:cs="Times New Roman"/>
                <w:b/>
                <w:bCs/>
                <w:color w:val="000000" w:themeColor="text1"/>
                <w:sz w:val="24"/>
                <w:lang w:eastAsia="zh-CN"/>
                <w14:textFill>
                  <w14:solidFill>
                    <w14:schemeClr w14:val="tx1"/>
                  </w14:solidFill>
                </w14:textFill>
              </w:rPr>
              <w:t>区</w:t>
            </w:r>
            <w:r>
              <w:rPr>
                <w:rFonts w:hint="default" w:ascii="Times New Roman" w:hAnsi="Times New Roman" w:cs="Times New Roman"/>
                <w:b/>
                <w:bCs/>
                <w:color w:val="000000" w:themeColor="text1"/>
                <w:sz w:val="24"/>
                <w14:textFill>
                  <w14:solidFill>
                    <w14:schemeClr w14:val="tx1"/>
                  </w14:solidFill>
                </w14:textFill>
              </w:rPr>
              <w:t>-沣东新城</w:t>
            </w:r>
            <w:r>
              <w:rPr>
                <w:rFonts w:hint="default" w:ascii="Times New Roman" w:hAnsi="Times New Roman" w:cs="Times New Roman"/>
                <w:b/>
                <w:bCs/>
                <w:color w:val="000000" w:themeColor="text1"/>
                <w:sz w:val="24"/>
                <w:lang w:eastAsia="zh-CN"/>
                <w14:textFill>
                  <w14:solidFill>
                    <w14:schemeClr w14:val="tx1"/>
                  </w14:solidFill>
                </w14:textFill>
              </w:rPr>
              <w:t>分区</w:t>
            </w:r>
            <w:r>
              <w:rPr>
                <w:rFonts w:hint="default" w:ascii="Times New Roman" w:hAnsi="Times New Roman" w:cs="Times New Roman"/>
                <w:b/>
                <w:bCs/>
                <w:color w:val="000000" w:themeColor="text1"/>
                <w:sz w:val="24"/>
                <w14:textFill>
                  <w14:solidFill>
                    <w14:schemeClr w14:val="tx1"/>
                  </w14:solidFill>
                </w14:textFill>
              </w:rPr>
              <w:t>规划（2010-2020）规划符合性分析</w:t>
            </w:r>
          </w:p>
          <w:p w14:paraId="7DDCD94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本项目与</w:t>
            </w:r>
            <w:r>
              <w:rPr>
                <w:rFonts w:hint="default" w:ascii="Times New Roman" w:hAnsi="Times New Roman" w:cs="Times New Roman"/>
                <w:color w:val="000000" w:themeColor="text1"/>
                <w:sz w:val="24"/>
                <w:szCs w:val="24"/>
                <w14:textFill>
                  <w14:solidFill>
                    <w14:schemeClr w14:val="tx1"/>
                  </w14:solidFill>
                </w14:textFill>
              </w:rPr>
              <w:t>西咸新</w:t>
            </w:r>
            <w:r>
              <w:rPr>
                <w:rFonts w:hint="default" w:ascii="Times New Roman" w:hAnsi="Times New Roman" w:cs="Times New Roman"/>
                <w:color w:val="000000" w:themeColor="text1"/>
                <w:sz w:val="24"/>
                <w:szCs w:val="24"/>
                <w:lang w:eastAsia="zh-CN"/>
                <w14:textFill>
                  <w14:solidFill>
                    <w14:schemeClr w14:val="tx1"/>
                  </w14:solidFill>
                </w14:textFill>
              </w:rPr>
              <w:t>区</w:t>
            </w:r>
            <w:r>
              <w:rPr>
                <w:rFonts w:hint="default" w:ascii="Times New Roman" w:hAnsi="Times New Roman" w:cs="Times New Roman"/>
                <w:color w:val="000000" w:themeColor="text1"/>
                <w:sz w:val="24"/>
                <w:szCs w:val="24"/>
                <w14:textFill>
                  <w14:solidFill>
                    <w14:schemeClr w14:val="tx1"/>
                  </w14:solidFill>
                </w14:textFill>
              </w:rPr>
              <w:t>-沣东新城</w:t>
            </w:r>
            <w:r>
              <w:rPr>
                <w:rFonts w:hint="default" w:ascii="Times New Roman" w:hAnsi="Times New Roman" w:cs="Times New Roman"/>
                <w:color w:val="000000" w:themeColor="text1"/>
                <w:sz w:val="24"/>
                <w:szCs w:val="24"/>
                <w:lang w:eastAsia="zh-CN"/>
                <w14:textFill>
                  <w14:solidFill>
                    <w14:schemeClr w14:val="tx1"/>
                  </w14:solidFill>
                </w14:textFill>
              </w:rPr>
              <w:t>分区</w:t>
            </w:r>
            <w:r>
              <w:rPr>
                <w:rFonts w:hint="default" w:ascii="Times New Roman" w:hAnsi="Times New Roman" w:cs="Times New Roman"/>
                <w:color w:val="000000" w:themeColor="text1"/>
                <w:sz w:val="24"/>
                <w:szCs w:val="24"/>
                <w14:textFill>
                  <w14:solidFill>
                    <w14:schemeClr w14:val="tx1"/>
                  </w14:solidFill>
                </w14:textFill>
              </w:rPr>
              <w:t>规划（2010-2020）</w:t>
            </w:r>
            <w:r>
              <w:rPr>
                <w:rFonts w:hint="default" w:ascii="Times New Roman" w:hAnsi="Times New Roman" w:cs="Times New Roman"/>
                <w:color w:val="000000" w:themeColor="text1"/>
                <w:sz w:val="24"/>
                <w14:textFill>
                  <w14:solidFill>
                    <w14:schemeClr w14:val="tx1"/>
                  </w14:solidFill>
                </w14:textFill>
              </w:rPr>
              <w:t>符合性分析见表1-1。</w:t>
            </w:r>
          </w:p>
          <w:p w14:paraId="6958E89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 xml:space="preserve">表1-1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本项目</w:t>
            </w:r>
            <w:r>
              <w:rPr>
                <w:rFonts w:hint="default" w:ascii="Times New Roman" w:hAnsi="Times New Roman" w:eastAsia="宋体" w:cs="Times New Roman"/>
                <w:b/>
                <w:bCs/>
                <w:color w:val="000000" w:themeColor="text1"/>
                <w:sz w:val="24"/>
                <w:szCs w:val="24"/>
                <w14:textFill>
                  <w14:solidFill>
                    <w14:schemeClr w14:val="tx1"/>
                  </w14:solidFill>
                </w14:textFill>
              </w:rPr>
              <w:t>与</w:t>
            </w:r>
            <w:r>
              <w:rPr>
                <w:rFonts w:hint="default" w:ascii="Times New Roman" w:hAnsi="Times New Roman" w:cs="Times New Roman"/>
                <w:b/>
                <w:bCs/>
                <w:color w:val="000000" w:themeColor="text1"/>
                <w:sz w:val="24"/>
                <w:szCs w:val="24"/>
                <w14:textFill>
                  <w14:solidFill>
                    <w14:schemeClr w14:val="tx1"/>
                  </w14:solidFill>
                </w14:textFill>
              </w:rPr>
              <w:t>西咸新</w:t>
            </w:r>
            <w:r>
              <w:rPr>
                <w:rFonts w:hint="default" w:ascii="Times New Roman" w:hAnsi="Times New Roman" w:cs="Times New Roman"/>
                <w:b/>
                <w:bCs/>
                <w:color w:val="000000" w:themeColor="text1"/>
                <w:sz w:val="24"/>
                <w:szCs w:val="24"/>
                <w:lang w:eastAsia="zh-CN"/>
                <w14:textFill>
                  <w14:solidFill>
                    <w14:schemeClr w14:val="tx1"/>
                  </w14:solidFill>
                </w14:textFill>
              </w:rPr>
              <w:t>区</w:t>
            </w:r>
            <w:r>
              <w:rPr>
                <w:rFonts w:hint="default" w:ascii="Times New Roman" w:hAnsi="Times New Roman" w:cs="Times New Roman"/>
                <w:b/>
                <w:bCs/>
                <w:color w:val="000000" w:themeColor="text1"/>
                <w:sz w:val="24"/>
                <w:szCs w:val="24"/>
                <w14:textFill>
                  <w14:solidFill>
                    <w14:schemeClr w14:val="tx1"/>
                  </w14:solidFill>
                </w14:textFill>
              </w:rPr>
              <w:t>-沣东新城</w:t>
            </w:r>
            <w:r>
              <w:rPr>
                <w:rFonts w:hint="default" w:ascii="Times New Roman" w:hAnsi="Times New Roman" w:cs="Times New Roman"/>
                <w:b/>
                <w:bCs/>
                <w:color w:val="000000" w:themeColor="text1"/>
                <w:sz w:val="24"/>
                <w:szCs w:val="24"/>
                <w:lang w:eastAsia="zh-CN"/>
                <w14:textFill>
                  <w14:solidFill>
                    <w14:schemeClr w14:val="tx1"/>
                  </w14:solidFill>
                </w14:textFill>
              </w:rPr>
              <w:t>分区</w:t>
            </w:r>
            <w:r>
              <w:rPr>
                <w:rFonts w:hint="default" w:ascii="Times New Roman" w:hAnsi="Times New Roman" w:cs="Times New Roman"/>
                <w:b/>
                <w:bCs/>
                <w:color w:val="000000" w:themeColor="text1"/>
                <w:sz w:val="24"/>
                <w:szCs w:val="24"/>
                <w14:textFill>
                  <w14:solidFill>
                    <w14:schemeClr w14:val="tx1"/>
                  </w14:solidFill>
                </w14:textFill>
              </w:rPr>
              <w:t>规划（2010-2020）</w:t>
            </w:r>
            <w:r>
              <w:rPr>
                <w:rFonts w:hint="default" w:ascii="Times New Roman" w:hAnsi="Times New Roman" w:eastAsia="宋体" w:cs="Times New Roman"/>
                <w:b/>
                <w:bCs/>
                <w:color w:val="000000" w:themeColor="text1"/>
                <w:sz w:val="24"/>
                <w:szCs w:val="24"/>
                <w14:textFill>
                  <w14:solidFill>
                    <w14:schemeClr w14:val="tx1"/>
                  </w14:solidFill>
                </w14:textFill>
              </w:rPr>
              <w:t>符合性分析</w:t>
            </w:r>
          </w:p>
          <w:tbl>
            <w:tblPr>
              <w:tblStyle w:val="27"/>
              <w:tblW w:w="74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693"/>
              <w:gridCol w:w="2707"/>
              <w:gridCol w:w="913"/>
            </w:tblGrid>
            <w:tr w14:paraId="5E57DA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101" w:type="dxa"/>
                  <w:tcBorders>
                    <w:tl2br w:val="nil"/>
                    <w:tr2bl w:val="nil"/>
                  </w:tcBorders>
                  <w:noWrap w:val="0"/>
                  <w:vAlign w:val="center"/>
                </w:tcPr>
                <w:p w14:paraId="57A6FC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文件</w:t>
                  </w:r>
                </w:p>
              </w:tc>
              <w:tc>
                <w:tcPr>
                  <w:tcW w:w="2693" w:type="dxa"/>
                  <w:tcBorders>
                    <w:tl2br w:val="nil"/>
                    <w:tr2bl w:val="nil"/>
                  </w:tcBorders>
                  <w:noWrap w:val="0"/>
                  <w:vAlign w:val="center"/>
                </w:tcPr>
                <w:p w14:paraId="7EF4C2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政策要求</w:t>
                  </w:r>
                </w:p>
              </w:tc>
              <w:tc>
                <w:tcPr>
                  <w:tcW w:w="2707" w:type="dxa"/>
                  <w:tcBorders>
                    <w:tl2br w:val="nil"/>
                    <w:tr2bl w:val="nil"/>
                  </w:tcBorders>
                  <w:noWrap w:val="0"/>
                  <w:vAlign w:val="center"/>
                </w:tcPr>
                <w:p w14:paraId="5AD875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本项目实际情况</w:t>
                  </w:r>
                </w:p>
              </w:tc>
              <w:tc>
                <w:tcPr>
                  <w:tcW w:w="913" w:type="dxa"/>
                  <w:tcBorders>
                    <w:tl2br w:val="nil"/>
                    <w:tr2bl w:val="nil"/>
                  </w:tcBorders>
                  <w:noWrap w:val="0"/>
                  <w:vAlign w:val="center"/>
                </w:tcPr>
                <w:p w14:paraId="474F15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符合性</w:t>
                  </w:r>
                </w:p>
              </w:tc>
            </w:tr>
            <w:tr w14:paraId="66922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101" w:type="dxa"/>
                  <w:tcBorders>
                    <w:tl2br w:val="nil"/>
                    <w:tr2bl w:val="nil"/>
                  </w:tcBorders>
                  <w:noWrap w:val="0"/>
                  <w:vAlign w:val="center"/>
                </w:tcPr>
                <w:p w14:paraId="396035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西咸新区-沣东新城</w:t>
                  </w:r>
                  <w:r>
                    <w:rPr>
                      <w:rFonts w:hint="default" w:ascii="Times New Roman" w:hAnsi="Times New Roman" w:cs="Times New Roman"/>
                      <w:color w:val="000000" w:themeColor="text1"/>
                      <w:kern w:val="0"/>
                      <w:szCs w:val="21"/>
                      <w:lang w:eastAsia="zh-CN"/>
                      <w14:textFill>
                        <w14:solidFill>
                          <w14:schemeClr w14:val="tx1"/>
                        </w14:solidFill>
                      </w14:textFill>
                    </w:rPr>
                    <w:t>分区</w:t>
                  </w:r>
                  <w:r>
                    <w:rPr>
                      <w:rFonts w:hint="default" w:ascii="Times New Roman" w:hAnsi="Times New Roman" w:cs="Times New Roman"/>
                      <w:color w:val="000000" w:themeColor="text1"/>
                      <w:kern w:val="0"/>
                      <w:szCs w:val="21"/>
                      <w14:textFill>
                        <w14:solidFill>
                          <w14:schemeClr w14:val="tx1"/>
                        </w14:solidFill>
                      </w14:textFill>
                    </w:rPr>
                    <w:t>规划（2010-2020）</w:t>
                  </w:r>
                </w:p>
              </w:tc>
              <w:tc>
                <w:tcPr>
                  <w:tcW w:w="2693" w:type="dxa"/>
                  <w:tcBorders>
                    <w:tl2br w:val="nil"/>
                    <w:tr2bl w:val="nil"/>
                  </w:tcBorders>
                  <w:noWrap w:val="0"/>
                  <w:vAlign w:val="center"/>
                </w:tcPr>
                <w:p w14:paraId="001AD03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沣东新城的定位为西部地区统筹科技资源示范基地，高新技术研发和会展中心，西安未来将建设成为具有东方人文特色的生态化国际新城。规划形成</w:t>
                  </w: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两带、七板块</w:t>
                  </w: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的空间格局。</w:t>
                  </w:r>
                </w:p>
              </w:tc>
              <w:tc>
                <w:tcPr>
                  <w:tcW w:w="2707" w:type="dxa"/>
                  <w:tcBorders>
                    <w:tl2br w:val="nil"/>
                    <w:tr2bl w:val="nil"/>
                  </w:tcBorders>
                  <w:noWrap w:val="0"/>
                  <w:vAlign w:val="center"/>
                </w:tcPr>
                <w:p w14:paraId="7A1F60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本项目位于沣东新城，</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属于热力生产和供应业，为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用地性质属于二类居住用地。</w:t>
                  </w:r>
                </w:p>
              </w:tc>
              <w:tc>
                <w:tcPr>
                  <w:tcW w:w="913" w:type="dxa"/>
                  <w:tcBorders>
                    <w:tl2br w:val="nil"/>
                    <w:tr2bl w:val="nil"/>
                  </w:tcBorders>
                  <w:noWrap w:val="0"/>
                  <w:vAlign w:val="center"/>
                </w:tcPr>
                <w:p w14:paraId="63AFC93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r w14:paraId="2C3D2D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101" w:type="dxa"/>
                  <w:vMerge w:val="restart"/>
                  <w:tcBorders>
                    <w:tl2br w:val="nil"/>
                    <w:tr2bl w:val="nil"/>
                  </w:tcBorders>
                  <w:noWrap w:val="0"/>
                  <w:vAlign w:val="center"/>
                </w:tcPr>
                <w:p w14:paraId="427D0B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西咸新区-沣东新城分区规划（2010-2020）环境影响报告书</w:t>
                  </w:r>
                </w:p>
              </w:tc>
              <w:tc>
                <w:tcPr>
                  <w:tcW w:w="2693" w:type="dxa"/>
                  <w:tcBorders>
                    <w:tl2br w:val="nil"/>
                    <w:tr2bl w:val="nil"/>
                  </w:tcBorders>
                  <w:noWrap w:val="0"/>
                  <w:vAlign w:val="center"/>
                </w:tcPr>
                <w:p w14:paraId="61EB3B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入区企业清洁生产必须达到国内先进水平，严禁</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三高一低</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企业入区、由总量指标限值企业类型和规模、污染物排放指标等工业企业的准入条件</w:t>
                  </w:r>
                  <w:r>
                    <w:rPr>
                      <w:rFonts w:hint="default"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5601323A">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供暖，不涉及</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三高一低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企业。</w:t>
                  </w:r>
                </w:p>
              </w:tc>
              <w:tc>
                <w:tcPr>
                  <w:tcW w:w="913" w:type="dxa"/>
                  <w:tcBorders>
                    <w:tl2br w:val="nil"/>
                    <w:tr2bl w:val="nil"/>
                  </w:tcBorders>
                  <w:noWrap w:val="0"/>
                  <w:vAlign w:val="center"/>
                </w:tcPr>
                <w:p w14:paraId="70F52E79">
                  <w:pPr>
                    <w:pStyle w:val="20"/>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113A85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continue"/>
                  <w:tcBorders>
                    <w:tl2br w:val="nil"/>
                    <w:tr2bl w:val="nil"/>
                  </w:tcBorders>
                  <w:noWrap w:val="0"/>
                  <w:vAlign w:val="center"/>
                </w:tcPr>
                <w:p w14:paraId="5FAF460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612C39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default"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2783BC36">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本项目符合规划区规划定位，不属于电镀生产线及涉重金属排放企业。</w:t>
                  </w:r>
                </w:p>
              </w:tc>
              <w:tc>
                <w:tcPr>
                  <w:tcW w:w="913" w:type="dxa"/>
                  <w:tcBorders>
                    <w:tl2br w:val="nil"/>
                    <w:tr2bl w:val="nil"/>
                  </w:tcBorders>
                  <w:noWrap w:val="0"/>
                  <w:vAlign w:val="center"/>
                </w:tcPr>
                <w:p w14:paraId="47CF34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7E063A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6" w:hRule="atLeast"/>
                <w:jc w:val="center"/>
              </w:trPr>
              <w:tc>
                <w:tcPr>
                  <w:tcW w:w="1101" w:type="dxa"/>
                  <w:vMerge w:val="continue"/>
                  <w:tcBorders>
                    <w:tl2br w:val="nil"/>
                    <w:tr2bl w:val="nil"/>
                  </w:tcBorders>
                  <w:noWrap w:val="0"/>
                  <w:vAlign w:val="center"/>
                </w:tcPr>
                <w:p w14:paraId="505B14A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4FEA6B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水环境保护对策和措施：严格环境准入制度，防治企业污染排放。在规划建设中，要设置相应的环保准入门槛，限制造纸、化工、食品饮料加工、皮革、电镀等高耗水、重污染行业进入</w:t>
                  </w:r>
                  <w:r>
                    <w:rPr>
                      <w:rFonts w:hint="default"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4678A4F4">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本项目运营期，废水以锅炉软水处理系统产生的浓盐水和反冲洗水为主，含盐水和反冲洗废水均为清净下水，主要污染物为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TDS</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；此部分废水冷却降温后，可直接进入市政污水管网，排入西安净水处理有限责任公司第六再生水厂，排放废水符合纳污标准要求。</w:t>
                  </w:r>
                </w:p>
              </w:tc>
              <w:tc>
                <w:tcPr>
                  <w:tcW w:w="913" w:type="dxa"/>
                  <w:tcBorders>
                    <w:tl2br w:val="nil"/>
                    <w:tr2bl w:val="nil"/>
                  </w:tcBorders>
                  <w:noWrap w:val="0"/>
                  <w:vAlign w:val="center"/>
                </w:tcPr>
                <w:p w14:paraId="1BEB84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791D86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101" w:type="dxa"/>
                  <w:vMerge w:val="continue"/>
                  <w:tcBorders>
                    <w:tl2br w:val="nil"/>
                    <w:tr2bl w:val="nil"/>
                  </w:tcBorders>
                  <w:noWrap w:val="0"/>
                  <w:vAlign w:val="center"/>
                </w:tcPr>
                <w:p w14:paraId="13784FC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0E6ECA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大气环境保护对策和措施：严格产业准入制度，控制企业污染排放。设置新城产业准入大气环境标准，对排污量大的行业进行限制，防止对新城产生影响</w:t>
                  </w:r>
                  <w:r>
                    <w:rPr>
                      <w:rFonts w:hint="default"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6B8E21AA">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锅炉</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房</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采用清洁能源，并安装低氮燃烧器，不属于大气排污量大的行业，对沣东新城环境的影响较小</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13" w:type="dxa"/>
                  <w:tcBorders>
                    <w:tl2br w:val="nil"/>
                    <w:tr2bl w:val="nil"/>
                  </w:tcBorders>
                  <w:noWrap w:val="0"/>
                  <w:vAlign w:val="center"/>
                </w:tcPr>
                <w:p w14:paraId="1240371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094960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continue"/>
                  <w:tcBorders>
                    <w:tl2br w:val="nil"/>
                    <w:tr2bl w:val="nil"/>
                  </w:tcBorders>
                  <w:noWrap w:val="0"/>
                  <w:vAlign w:val="center"/>
                </w:tcPr>
                <w:p w14:paraId="2334D25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2C440B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r>
                    <w:rPr>
                      <w:rFonts w:hint="default"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7F2BCF7E">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本项目天然气锅炉在室内运行，风机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水泵等采取基础减震</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及软连接</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措施。</w:t>
                  </w:r>
                </w:p>
              </w:tc>
              <w:tc>
                <w:tcPr>
                  <w:tcW w:w="913" w:type="dxa"/>
                  <w:tcBorders>
                    <w:tl2br w:val="nil"/>
                    <w:tr2bl w:val="nil"/>
                  </w:tcBorders>
                  <w:noWrap w:val="0"/>
                  <w:vAlign w:val="center"/>
                </w:tcPr>
                <w:p w14:paraId="4B11FF6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4ED6E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continue"/>
                  <w:tcBorders>
                    <w:tl2br w:val="nil"/>
                    <w:tr2bl w:val="nil"/>
                  </w:tcBorders>
                  <w:noWrap w:val="0"/>
                  <w:vAlign w:val="center"/>
                </w:tcPr>
                <w:p w14:paraId="17FF776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60F1B8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规划区内工业固废应分类收集处理、综合利用，危险废物由企业委托有资质的固体废弃物安全处置中心安全处置</w:t>
                  </w:r>
                  <w:r>
                    <w:rPr>
                      <w:rFonts w:hint="default"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0605C686">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软水制备过程产生的一般固体废物</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不暂存，由离子交换树脂厂家更换时回收处置。</w:t>
                  </w:r>
                </w:p>
              </w:tc>
              <w:tc>
                <w:tcPr>
                  <w:tcW w:w="913" w:type="dxa"/>
                  <w:tcBorders>
                    <w:tl2br w:val="nil"/>
                    <w:tr2bl w:val="nil"/>
                  </w:tcBorders>
                  <w:noWrap w:val="0"/>
                  <w:vAlign w:val="center"/>
                </w:tcPr>
                <w:p w14:paraId="732216E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513FF4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restart"/>
                  <w:tcBorders>
                    <w:tl2br w:val="nil"/>
                    <w:tr2bl w:val="nil"/>
                  </w:tcBorders>
                  <w:noWrap w:val="0"/>
                  <w:vAlign w:val="center"/>
                </w:tcPr>
                <w:p w14:paraId="2BE849C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《西咸新区-沣东新城分区规划</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2010-2020</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环境影响报告书的审查意见》</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市环函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2014</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20号</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2693" w:type="dxa"/>
                  <w:tcBorders>
                    <w:tl2br w:val="nil"/>
                    <w:tr2bl w:val="nil"/>
                  </w:tcBorders>
                  <w:noWrap w:val="0"/>
                  <w:vAlign w:val="center"/>
                </w:tcPr>
                <w:p w14:paraId="3529D5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eastAsia"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7A70001D">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本项目依法办理环评手续，</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，符合规划区规划定位，不属于电镀生产线及涉重金属排放企业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13" w:type="dxa"/>
                  <w:tcBorders>
                    <w:tl2br w:val="nil"/>
                    <w:tr2bl w:val="nil"/>
                  </w:tcBorders>
                  <w:noWrap w:val="0"/>
                  <w:vAlign w:val="center"/>
                </w:tcPr>
                <w:p w14:paraId="1C12BB6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1A637D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continue"/>
                  <w:tcBorders>
                    <w:tl2br w:val="nil"/>
                    <w:tr2bl w:val="nil"/>
                  </w:tcBorders>
                  <w:noWrap w:val="0"/>
                  <w:vAlign w:val="center"/>
                </w:tcPr>
                <w:p w14:paraId="2DBCD5D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2CE2CA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严格控制入区工业项目，采取总量控制的方式，限制大气污染物排放量大的项目</w:t>
                  </w:r>
                  <w:r>
                    <w:rPr>
                      <w:rFonts w:hint="eastAsia"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7EF5A804">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项目运营期</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锅炉废气</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收集后经</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37</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m排气筒</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DA00</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1）</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排放。项目不属于大气污染物排放量大的行业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13" w:type="dxa"/>
                  <w:tcBorders>
                    <w:tl2br w:val="nil"/>
                    <w:tr2bl w:val="nil"/>
                  </w:tcBorders>
                  <w:noWrap w:val="0"/>
                  <w:vAlign w:val="center"/>
                </w:tcPr>
                <w:p w14:paraId="38A6403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4D4282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continue"/>
                  <w:tcBorders>
                    <w:tl2br w:val="nil"/>
                    <w:tr2bl w:val="nil"/>
                  </w:tcBorders>
                  <w:noWrap w:val="0"/>
                  <w:vAlign w:val="center"/>
                </w:tcPr>
                <w:p w14:paraId="5464907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199A3A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规划区内应按</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清污分流、雨污分流、一水多用</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的原则设计和建设给排水管网，实行污水集中处理，生产废水和生活污水必须经处理达到污水厂接纳标准后汇入污水管道排入污水处理厂集中处理</w:t>
                  </w:r>
                  <w:r>
                    <w:rPr>
                      <w:rFonts w:hint="eastAsia"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6C6317E6">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本项目废水依托</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锅炉房所在小区</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已建化粪池处理。项目不属于造纸、化工、食品饮料加工、皮革、电镀等高耗水、重污染行业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13" w:type="dxa"/>
                  <w:tcBorders>
                    <w:tl2br w:val="nil"/>
                    <w:tr2bl w:val="nil"/>
                  </w:tcBorders>
                  <w:noWrap w:val="0"/>
                  <w:vAlign w:val="center"/>
                </w:tcPr>
                <w:p w14:paraId="015FB5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70F851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1" w:type="dxa"/>
                  <w:vMerge w:val="continue"/>
                  <w:tcBorders>
                    <w:tl2br w:val="nil"/>
                    <w:tr2bl w:val="nil"/>
                  </w:tcBorders>
                  <w:noWrap w:val="0"/>
                  <w:vAlign w:val="center"/>
                </w:tcPr>
                <w:p w14:paraId="58D50E7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693" w:type="dxa"/>
                  <w:tcBorders>
                    <w:tl2br w:val="nil"/>
                    <w:tr2bl w:val="nil"/>
                  </w:tcBorders>
                  <w:noWrap w:val="0"/>
                  <w:vAlign w:val="center"/>
                </w:tcPr>
                <w:p w14:paraId="3226D6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规划区内工业固废应分类收集处理、综合利用，危险废物委托有资质的固体废物安全处置</w:t>
                  </w:r>
                  <w:r>
                    <w:rPr>
                      <w:rFonts w:hint="eastAsia" w:ascii="Times New Roman" w:hAnsi="Times New Roman" w:cs="Times New Roman"/>
                      <w:color w:val="000000" w:themeColor="text1"/>
                      <w:lang w:eastAsia="zh-CN"/>
                      <w14:textFill>
                        <w14:solidFill>
                          <w14:schemeClr w14:val="tx1"/>
                        </w14:solidFill>
                      </w14:textFill>
                    </w:rPr>
                    <w:t>。</w:t>
                  </w:r>
                </w:p>
              </w:tc>
              <w:tc>
                <w:tcPr>
                  <w:tcW w:w="2707" w:type="dxa"/>
                  <w:tcBorders>
                    <w:tl2br w:val="nil"/>
                    <w:tr2bl w:val="nil"/>
                  </w:tcBorders>
                  <w:noWrap w:val="0"/>
                  <w:vAlign w:val="center"/>
                </w:tcPr>
                <w:p w14:paraId="26683568">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本项目运营期生活垃圾分类收集，委托环卫部门处置</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软水制备过程产生的一般固体废物</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不暂存，由离子交换树脂厂家更换时回收处置。</w:t>
                  </w:r>
                </w:p>
              </w:tc>
              <w:tc>
                <w:tcPr>
                  <w:tcW w:w="913" w:type="dxa"/>
                  <w:tcBorders>
                    <w:tl2br w:val="nil"/>
                    <w:tr2bl w:val="nil"/>
                  </w:tcBorders>
                  <w:noWrap w:val="0"/>
                  <w:vAlign w:val="center"/>
                </w:tcPr>
                <w:p w14:paraId="63A8F83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bl>
          <w:p w14:paraId="48BF5ED5">
            <w:pPr>
              <w:keepNext/>
              <w:keepLines/>
              <w:pageBreakBefore w:val="0"/>
              <w:widowControl w:val="0"/>
              <w:suppressLineNumbers w:val="0"/>
              <w:kinsoku/>
              <w:wordWrap/>
              <w:overflowPunct/>
              <w:topLinePunct w:val="0"/>
              <w:autoSpaceDE/>
              <w:autoSpaceDN/>
              <w:bidi w:val="0"/>
              <w:adjustRightInd w:val="0"/>
              <w:snapToGrid/>
              <w:spacing w:before="157" w:beforeLines="5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综上，本项目产品、生产工艺、采取的污染防治措施均符合《西咸新区沣东新城分区规划</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2010年-2020年</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环境影响报告书》及《西咸新区沣东新城分区规划</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2010年-2020年</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环境影响报告书审查意见》</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陕西咸环函</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2014</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20号</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要求。</w:t>
            </w:r>
          </w:p>
          <w:p w14:paraId="5D8D22A3">
            <w:pPr>
              <w:pStyle w:val="2"/>
              <w:suppressLineNumbers w:val="0"/>
              <w:spacing w:before="0" w:beforeAutospacing="0" w:afterAutospacing="0"/>
              <w:ind w:left="0" w:leftChars="0" w:right="0" w:firstLine="0" w:firstLineChars="0"/>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pPr>
          </w:p>
          <w:p w14:paraId="01C74116">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pPr>
          </w:p>
          <w:p w14:paraId="00084031">
            <w:pPr>
              <w:pStyle w:val="2"/>
              <w:suppressLineNumbers w:val="0"/>
              <w:spacing w:before="0" w:beforeAutospacing="0" w:afterAutospacing="0"/>
              <w:ind w:left="0" w:leftChars="0" w:right="0" w:firstLine="0" w:firstLineChars="0"/>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pPr>
          </w:p>
          <w:p w14:paraId="3F3089B5">
            <w:pPr>
              <w:pStyle w:val="2"/>
              <w:suppressLineNumbers w:val="0"/>
              <w:spacing w:before="0" w:beforeAutospacing="0" w:afterAutospacing="0"/>
              <w:ind w:left="0" w:leftChars="0" w:right="0" w:firstLine="0" w:firstLineChars="0"/>
              <w:rPr>
                <w:rFonts w:hint="default"/>
                <w:color w:val="000000" w:themeColor="text1"/>
                <w:lang w:val="en-US"/>
                <w14:textFill>
                  <w14:solidFill>
                    <w14:schemeClr w14:val="tx1"/>
                  </w14:solidFill>
                </w14:textFill>
              </w:rPr>
            </w:pPr>
          </w:p>
          <w:p w14:paraId="2E18ED78">
            <w:pPr>
              <w:keepNext w:val="0"/>
              <w:keepLines w:val="0"/>
              <w:suppressLineNumbers w:val="0"/>
              <w:spacing w:before="0" w:beforeAutospacing="0" w:after="0" w:afterAutospacing="0"/>
              <w:ind w:left="0" w:right="0"/>
              <w:rPr>
                <w:rFonts w:hint="default"/>
                <w:color w:val="000000" w:themeColor="text1"/>
                <w:lang w:val="en-US"/>
                <w14:textFill>
                  <w14:solidFill>
                    <w14:schemeClr w14:val="tx1"/>
                  </w14:solidFill>
                </w14:textFill>
              </w:rPr>
            </w:pPr>
          </w:p>
        </w:tc>
      </w:tr>
    </w:tbl>
    <w:p w14:paraId="1387BC4D">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794"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6"/>
        <w:tblW w:w="94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819"/>
        <w:gridCol w:w="8646"/>
      </w:tblGrid>
      <w:tr w14:paraId="6DF39B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3818" w:hRule="atLeast"/>
          <w:jc w:val="center"/>
        </w:trPr>
        <w:tc>
          <w:tcPr>
            <w:tcW w:w="819" w:type="dxa"/>
            <w:tcBorders>
              <w:tl2br w:val="nil"/>
              <w:tr2bl w:val="nil"/>
            </w:tcBorders>
            <w:shd w:val="clear" w:color="auto" w:fill="auto"/>
            <w:tcMar>
              <w:left w:w="108" w:type="dxa"/>
              <w:right w:w="108" w:type="dxa"/>
            </w:tcMar>
            <w:vAlign w:val="center"/>
          </w:tcPr>
          <w:p w14:paraId="4F18FBDE">
            <w:pPr>
              <w:pStyle w:val="2"/>
              <w:suppressLineNumbers w:val="0"/>
              <w:spacing w:before="0" w:beforeAutospacing="0" w:afterAutospacing="0" w:line="240" w:lineRule="auto"/>
              <w:ind w:left="0" w:leftChars="0" w:right="0" w:firstLine="0" w:firstLineChars="0"/>
              <w:jc w:val="center"/>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宋体" w:hAnsi="宋体" w:eastAsia="宋体" w:cs="宋体"/>
                <w:b/>
                <w:bCs/>
                <w:snapToGrid/>
                <w:color w:val="000000" w:themeColor="text1"/>
                <w:spacing w:val="0"/>
                <w:kern w:val="0"/>
                <w:sz w:val="24"/>
                <w:szCs w:val="24"/>
                <w:lang w:val="en-US" w:eastAsia="zh-CN" w:bidi="ar"/>
                <w14:textFill>
                  <w14:solidFill>
                    <w14:schemeClr w14:val="tx1"/>
                  </w14:solidFill>
                </w14:textFill>
              </w:rPr>
              <w:t>其他符合性分析</w:t>
            </w:r>
          </w:p>
        </w:tc>
        <w:tc>
          <w:tcPr>
            <w:tcW w:w="8646" w:type="dxa"/>
            <w:tcBorders>
              <w:tl2br w:val="nil"/>
              <w:tr2bl w:val="nil"/>
            </w:tcBorders>
            <w:shd w:val="clear" w:color="auto" w:fill="auto"/>
            <w:tcMar>
              <w:left w:w="108" w:type="dxa"/>
              <w:right w:w="108" w:type="dxa"/>
            </w:tcMar>
            <w:vAlign w:val="center"/>
          </w:tcPr>
          <w:p w14:paraId="3D5329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cs="Times New Roman"/>
                <w:b/>
                <w:bCs/>
                <w:color w:val="000000" w:themeColor="text1"/>
                <w:sz w:val="24"/>
                <w:szCs w:val="24"/>
                <w:lang w:eastAsia="zh-CN"/>
                <w14:textFill>
                  <w14:solidFill>
                    <w14:schemeClr w14:val="tx1"/>
                  </w14:solidFill>
                </w14:textFill>
              </w:rPr>
              <w:t>与</w:t>
            </w:r>
            <w:r>
              <w:rPr>
                <w:rFonts w:hint="default" w:ascii="Times New Roman" w:hAnsi="Times New Roman" w:eastAsia="宋体" w:cs="Times New Roman"/>
                <w:b/>
                <w:bCs/>
                <w:color w:val="000000" w:themeColor="text1"/>
                <w:sz w:val="24"/>
                <w:szCs w:val="24"/>
                <w14:textFill>
                  <w14:solidFill>
                    <w14:schemeClr w14:val="tx1"/>
                  </w14:solidFill>
                </w14:textFill>
              </w:rPr>
              <w:t>产业政策符合性分析</w:t>
            </w:r>
          </w:p>
          <w:p w14:paraId="47F7959B">
            <w:pPr>
              <w:keepNext/>
              <w:keepLines/>
              <w:suppressLineNumbers w:val="0"/>
              <w:adjustRightInd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本项目在未央经典（西旅逸都）小区地下一层原设备用房建设供热中心</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，安装5台</w:t>
            </w:r>
            <w:r>
              <w:rPr>
                <w:rFonts w:hint="default" w:ascii="Times New Roman" w:hAnsi="Times New Roman" w:eastAsia="宋体" w:cs="Times New Roman"/>
                <w:color w:val="000000" w:themeColor="text1"/>
                <w:kern w:val="0"/>
                <w:sz w:val="24"/>
                <w:szCs w:val="24"/>
                <w:u w:val="none"/>
                <w:lang w:val="en-US" w:eastAsia="zh-CN" w:bidi="ar"/>
                <w14:textFill>
                  <w14:solidFill>
                    <w14:schemeClr w14:val="tx1"/>
                  </w14:solidFill>
                </w14:textFill>
              </w:rPr>
              <w:t>1.4MW</w:t>
            </w: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燃气真空热水锅炉，</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用于未央经典（西旅逸都）小区居民供</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热、供暖；本项目属于热力生产和供应业，为</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未央经典（西旅逸都）小区</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的配套设施。</w:t>
            </w:r>
          </w:p>
          <w:p w14:paraId="2D5F391E">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根据《产业结构调整指导目录（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2024</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年本）》，本项目不属于其中的限值类和淘汰类产业，生产设备不属于其中规定的限制类和淘汰类发展之列</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本项目</w:t>
            </w:r>
            <w:r>
              <w:rPr>
                <w:rFonts w:hint="eastAsia" w:cs="Times New Roman"/>
                <w:color w:val="000000" w:themeColor="text1"/>
                <w:sz w:val="24"/>
                <w:szCs w:val="24"/>
                <w:lang w:val="en-US" w:eastAsia="zh-CN"/>
                <w14:textFill>
                  <w14:solidFill>
                    <w14:schemeClr w14:val="tx1"/>
                  </w14:solidFill>
                </w14:textFill>
              </w:rPr>
              <w:t>不属于</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39个重点行业，</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项目建设符合国家及陕西省现行的产业政策。根据《市场准入负面清单（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2022</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年）》，本项目</w:t>
            </w:r>
            <w:r>
              <w:rPr>
                <w:rFonts w:hint="default" w:ascii="Times New Roman" w:hAnsi="Times New Roman" w:eastAsia="宋体" w:cs="Times New Roman"/>
                <w:color w:val="000000" w:themeColor="text1"/>
                <w:sz w:val="24"/>
                <w:szCs w:val="24"/>
                <w14:textFill>
                  <w14:solidFill>
                    <w14:schemeClr w14:val="tx1"/>
                  </w14:solidFill>
                </w14:textFill>
              </w:rPr>
              <w:t>不属于禁止准入事项</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0B15D193">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综上，本项目符合国家、地方产业政策。</w:t>
            </w:r>
          </w:p>
          <w:p w14:paraId="36CA95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color w:val="000000" w:themeColor="text1"/>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2.</w:t>
            </w:r>
            <w:r>
              <w:rPr>
                <w:rFonts w:hint="eastAsia" w:ascii="Times New Roman" w:hAnsi="Times New Roman"/>
                <w:b/>
                <w:bCs/>
                <w:color w:val="000000" w:themeColor="text1"/>
                <w:sz w:val="24"/>
                <w:szCs w:val="24"/>
                <w:highlight w:val="none"/>
                <w14:textFill>
                  <w14:solidFill>
                    <w14:schemeClr w14:val="tx1"/>
                  </w14:solidFill>
                </w14:textFill>
              </w:rPr>
              <w:t>环评类别判定</w:t>
            </w:r>
          </w:p>
          <w:p w14:paraId="71DFF622">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2"/>
              <w:rPr>
                <w:rFonts w:hint="eastAsia" w:ascii="Times New Roman" w:hAnsi="Times New Roman"/>
                <w:color w:val="000000" w:themeColor="text1"/>
                <w:sz w:val="24"/>
                <w:szCs w:val="24"/>
                <w:highlight w:val="none"/>
                <w:lang w:eastAsia="zh-CN"/>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按照《中华人民共和国环境保护法》和生态环境部令第16号《建设项目环境保护管理条例》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2021版</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等相关要求，本项目应开展环境影响评价工作，环评类别按分类管理名录中“四十一、电力、热力生产和供应业”中“91、热力生产和供应工程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包括建设单位自建自用的供热工程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”类建设项目，本项目</w:t>
            </w:r>
            <w:r>
              <w:rPr>
                <w:rFonts w:hint="eastAsia" w:ascii="Times New Roman" w:hAnsi="Times New Roman"/>
                <w:color w:val="000000" w:themeColor="text1"/>
                <w:sz w:val="24"/>
                <w:szCs w:val="24"/>
                <w:highlight w:val="none"/>
                <w:lang w:eastAsia="zh-CN"/>
                <w14:textFill>
                  <w14:solidFill>
                    <w14:schemeClr w14:val="tx1"/>
                  </w14:solidFill>
                </w14:textFill>
              </w:rPr>
              <w:t>天然气</w:t>
            </w:r>
            <w:r>
              <w:rPr>
                <w:rFonts w:hint="eastAsia" w:ascii="宋体" w:hAnsi="宋体" w:eastAsia="宋体" w:cs="宋体"/>
                <w:color w:val="000000" w:themeColor="text1"/>
                <w:kern w:val="2"/>
                <w:sz w:val="24"/>
                <w:szCs w:val="24"/>
                <w:lang w:val="en-US" w:eastAsia="zh-CN" w:bidi="ar"/>
                <w14:textFill>
                  <w14:solidFill>
                    <w14:schemeClr w14:val="tx1"/>
                  </w14:solidFill>
                </w14:textFill>
              </w:rPr>
              <w:t>锅炉</w:t>
            </w:r>
            <w:r>
              <w:rPr>
                <w:rFonts w:hint="eastAsia" w:ascii="Times New Roman" w:hAnsi="Times New Roman"/>
                <w:color w:val="000000" w:themeColor="text1"/>
                <w:sz w:val="24"/>
                <w:szCs w:val="24"/>
                <w:highlight w:val="none"/>
                <w14:textFill>
                  <w14:solidFill>
                    <w14:schemeClr w14:val="tx1"/>
                  </w14:solidFill>
                </w14:textFill>
              </w:rPr>
              <w:t>总容量</w:t>
            </w:r>
            <w:r>
              <w:rPr>
                <w:rFonts w:hint="eastAsia" w:ascii="Times New Roman" w:hAnsi="Times New Roman"/>
                <w:color w:val="000000" w:themeColor="text1"/>
                <w:sz w:val="24"/>
                <w:szCs w:val="24"/>
                <w:highlight w:val="none"/>
                <w:lang w:val="en-US" w:eastAsia="zh-CN"/>
                <w14:textFill>
                  <w14:solidFill>
                    <w14:schemeClr w14:val="tx1"/>
                  </w14:solidFill>
                </w14:textFill>
              </w:rPr>
              <w:t>10</w:t>
            </w:r>
            <w:r>
              <w:rPr>
                <w:rFonts w:hint="eastAsia" w:ascii="Times New Roman" w:hAnsi="Times New Roman"/>
                <w:color w:val="000000" w:themeColor="text1"/>
                <w:sz w:val="24"/>
                <w:szCs w:val="24"/>
                <w:highlight w:val="none"/>
                <w14:textFill>
                  <w14:solidFill>
                    <w14:schemeClr w14:val="tx1"/>
                  </w14:solidFill>
                </w14:textFill>
              </w:rPr>
              <w:t>t/h</w:t>
            </w:r>
            <w:r>
              <w:rPr>
                <w:rFonts w:hint="eastAsia" w:ascii="Times New Roman" w:hAnsi="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故应编制环境影响报告表。</w:t>
            </w:r>
          </w:p>
          <w:p w14:paraId="7B783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eastAsiaTheme="minorEastAsia"/>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3.</w:t>
            </w:r>
            <w:r>
              <w:rPr>
                <w:rFonts w:hint="eastAsia" w:ascii="Times New Roman" w:hAnsi="Times New Roman"/>
                <w:b/>
                <w:bCs/>
                <w:color w:val="000000" w:themeColor="text1"/>
                <w:sz w:val="24"/>
                <w:szCs w:val="24"/>
                <w:highlight w:val="none"/>
                <w:lang w:eastAsia="zh-CN"/>
                <w14:textFill>
                  <w14:solidFill>
                    <w14:schemeClr w14:val="tx1"/>
                  </w14:solidFill>
                </w14:textFill>
              </w:rPr>
              <w:t>“两高”项目判定</w:t>
            </w:r>
          </w:p>
          <w:p w14:paraId="12804B9B">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2"/>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热力生产行业重点针对以热力生产为主要建设内容且年综合能耗（等价值）5万吨标准煤及以上的项目进行管控。本项目</w:t>
            </w:r>
            <w:r>
              <w:rPr>
                <w:rFonts w:hint="default" w:ascii="Times New Roman" w:hAnsi="Times New Roman"/>
                <w:color w:val="000000" w:themeColor="text1"/>
                <w:sz w:val="24"/>
                <w:szCs w:val="24"/>
                <w:highlight w:val="none"/>
                <w:lang w:val="en-US" w:eastAsia="zh-CN"/>
                <w14:textFill>
                  <w14:solidFill>
                    <w14:schemeClr w14:val="tx1"/>
                  </w14:solidFill>
                </w14:textFill>
              </w:rPr>
              <w:t>热力生产和供应工程</w:t>
            </w:r>
            <w:r>
              <w:rPr>
                <w:rFonts w:hint="eastAsia" w:ascii="Times New Roman" w:hAnsi="Times New Roman"/>
                <w:color w:val="000000" w:themeColor="text1"/>
                <w:sz w:val="24"/>
                <w:szCs w:val="24"/>
                <w:highlight w:val="none"/>
                <w:lang w:val="en-US" w:eastAsia="zh-CN"/>
                <w14:textFill>
                  <w14:solidFill>
                    <w14:schemeClr w14:val="tx1"/>
                  </w14:solidFill>
                </w14:textFill>
              </w:rPr>
              <w:t>，年使用天然气72万m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，折标煤系数取1.2143kgce/m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，则其折标量为874.296tce，该数值小于5万吨标准煤。故本项目可不按照“两高”项目实行动态清单管理。</w:t>
            </w:r>
          </w:p>
          <w:p w14:paraId="2BC1DD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4.与</w:t>
            </w:r>
            <w:r>
              <w:rPr>
                <w:rFonts w:hint="default" w:ascii="Times New Roman" w:hAnsi="Times New Roman"/>
                <w:b/>
                <w:bCs/>
                <w:color w:val="000000" w:themeColor="text1"/>
                <w:sz w:val="24"/>
                <w:szCs w:val="24"/>
                <w:highlight w:val="none"/>
                <w:lang w:val="en-US" w:eastAsia="zh-CN"/>
                <w14:textFill>
                  <w14:solidFill>
                    <w14:schemeClr w14:val="tx1"/>
                  </w14:solidFill>
                </w14:textFill>
              </w:rPr>
              <w:t>相关环保政策符合性</w:t>
            </w:r>
            <w:r>
              <w:rPr>
                <w:rFonts w:hint="eastAsia" w:ascii="Times New Roman" w:hAnsi="Times New Roman"/>
                <w:b/>
                <w:bCs/>
                <w:color w:val="000000" w:themeColor="text1"/>
                <w:sz w:val="24"/>
                <w:szCs w:val="24"/>
                <w:highlight w:val="none"/>
                <w:lang w:val="en-US" w:eastAsia="zh-CN"/>
                <w14:textFill>
                  <w14:solidFill>
                    <w14:schemeClr w14:val="tx1"/>
                  </w14:solidFill>
                </w14:textFill>
              </w:rPr>
              <w:t>分析</w:t>
            </w:r>
            <w:r>
              <w:rPr>
                <w:rFonts w:hint="default" w:ascii="Times New Roman" w:hAnsi="Times New Roman"/>
                <w:b/>
                <w:bCs/>
                <w:color w:val="000000" w:themeColor="text1"/>
                <w:sz w:val="24"/>
                <w:szCs w:val="24"/>
                <w:highlight w:val="none"/>
                <w:lang w:val="en-US" w:eastAsia="zh-CN"/>
                <w14:textFill>
                  <w14:solidFill>
                    <w14:schemeClr w14:val="tx1"/>
                  </w14:solidFill>
                </w14:textFill>
              </w:rPr>
              <w:t>表</w:t>
            </w:r>
          </w:p>
          <w:p w14:paraId="189D39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表1-2  本项目与相关环保政策符合性分析</w:t>
            </w:r>
          </w:p>
          <w:tbl>
            <w:tblPr>
              <w:tblStyle w:val="27"/>
              <w:tblW w:w="850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3537"/>
              <w:gridCol w:w="2804"/>
              <w:gridCol w:w="816"/>
            </w:tblGrid>
            <w:tr w14:paraId="3509B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352" w:type="dxa"/>
                  <w:tcBorders>
                    <w:tl2br w:val="nil"/>
                    <w:tr2bl w:val="nil"/>
                  </w:tcBorders>
                  <w:noWrap w:val="0"/>
                  <w:vAlign w:val="center"/>
                </w:tcPr>
                <w:p w14:paraId="0B0FF6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相关政策、规划</w:t>
                  </w:r>
                </w:p>
              </w:tc>
              <w:tc>
                <w:tcPr>
                  <w:tcW w:w="3537" w:type="dxa"/>
                  <w:tcBorders>
                    <w:tl2br w:val="nil"/>
                    <w:tr2bl w:val="nil"/>
                  </w:tcBorders>
                  <w:noWrap w:val="0"/>
                  <w:vAlign w:val="center"/>
                </w:tcPr>
                <w:p w14:paraId="39337C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要求</w:t>
                  </w:r>
                </w:p>
              </w:tc>
              <w:tc>
                <w:tcPr>
                  <w:tcW w:w="2804" w:type="dxa"/>
                  <w:tcBorders>
                    <w:tl2br w:val="nil"/>
                    <w:tr2bl w:val="nil"/>
                  </w:tcBorders>
                  <w:noWrap w:val="0"/>
                  <w:vAlign w:val="center"/>
                </w:tcPr>
                <w:p w14:paraId="68FF12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本项目与规划关系</w:t>
                  </w:r>
                </w:p>
              </w:tc>
              <w:tc>
                <w:tcPr>
                  <w:tcW w:w="816" w:type="dxa"/>
                  <w:tcBorders>
                    <w:tl2br w:val="nil"/>
                    <w:tr2bl w:val="nil"/>
                  </w:tcBorders>
                  <w:noWrap w:val="0"/>
                  <w:vAlign w:val="center"/>
                </w:tcPr>
                <w:p w14:paraId="27037A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相符性</w:t>
                  </w:r>
                </w:p>
              </w:tc>
            </w:tr>
            <w:tr w14:paraId="0A82ED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352" w:type="dxa"/>
                  <w:vMerge w:val="restart"/>
                  <w:tcBorders>
                    <w:tl2br w:val="nil"/>
                    <w:tr2bl w:val="nil"/>
                  </w:tcBorders>
                  <w:noWrap w:val="0"/>
                  <w:vAlign w:val="center"/>
                </w:tcPr>
                <w:p w14:paraId="416B1871">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《陕西省大气污染防治条例》（20</w:t>
                  </w:r>
                  <w:r>
                    <w:rPr>
                      <w:rFonts w:hint="eastAsia" w:ascii="Times New Roman" w:hAnsi="Times New Roman" w:cs="Times New Roman"/>
                      <w:color w:val="000000" w:themeColor="text1"/>
                      <w:kern w:val="0"/>
                      <w:szCs w:val="21"/>
                      <w:lang w:val="en-US" w:eastAsia="zh-CN"/>
                      <w14:textFill>
                        <w14:solidFill>
                          <w14:schemeClr w14:val="tx1"/>
                        </w14:solidFill>
                      </w14:textFill>
                    </w:rPr>
                    <w:t>23修订</w:t>
                  </w:r>
                  <w:r>
                    <w:rPr>
                      <w:rFonts w:hint="default" w:ascii="Times New Roman" w:hAnsi="Times New Roman" w:cs="Times New Roman"/>
                      <w:color w:val="000000" w:themeColor="text1"/>
                      <w:kern w:val="0"/>
                      <w:szCs w:val="21"/>
                      <w14:textFill>
                        <w14:solidFill>
                          <w14:schemeClr w14:val="tx1"/>
                        </w14:solidFill>
                      </w14:textFill>
                    </w:rPr>
                    <w:t>版）</w:t>
                  </w:r>
                </w:p>
              </w:tc>
              <w:tc>
                <w:tcPr>
                  <w:tcW w:w="3537" w:type="dxa"/>
                  <w:tcBorders>
                    <w:tl2br w:val="nil"/>
                    <w:tr2bl w:val="nil"/>
                  </w:tcBorders>
                  <w:noWrap w:val="0"/>
                  <w:vAlign w:val="center"/>
                </w:tcPr>
                <w:p w14:paraId="56007E82">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right="0" w:rightChars="0" w:firstLine="210" w:firstLineChars="100"/>
                    <w:textAlignment w:val="auto"/>
                    <w:rPr>
                      <w:rFonts w:hint="default" w:ascii="Times New Roman" w:hAnsi="Times New Roman" w:eastAsia="宋体" w:cs="Times New Roman"/>
                      <w:color w:val="000000" w:themeColor="text1"/>
                      <w:kern w:val="0"/>
                      <w:sz w:val="24"/>
                      <w:szCs w:val="21"/>
                      <w:lang w:val="en-US" w:eastAsia="zh-CN" w:bidi="ar"/>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第二十八条 城市人民政府应当划定并公布高污染燃料禁燃区。在禁燃区内，禁止销售、燃用高污染燃料；禁止新建、扩建燃用高污染燃料的设施，已建成的，应当在城市人民政府规定的期限内改用天然气、页岩气、液化石、油气、电或者其他清洁能源。</w:t>
                  </w:r>
                </w:p>
              </w:tc>
              <w:tc>
                <w:tcPr>
                  <w:tcW w:w="2804" w:type="dxa"/>
                  <w:tcBorders>
                    <w:tl2br w:val="nil"/>
                    <w:tr2bl w:val="nil"/>
                  </w:tcBorders>
                  <w:noWrap w:val="0"/>
                  <w:vAlign w:val="center"/>
                </w:tcPr>
                <w:p w14:paraId="023B144F">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宋体"/>
                      <w:b w:val="0"/>
                      <w:bCs w:val="0"/>
                      <w:smallCaps w:val="0"/>
                      <w:color w:val="000000" w:themeColor="text1"/>
                      <w:szCs w:val="21"/>
                      <w:lang w:val="en-US" w:eastAsia="zh-CN"/>
                      <w14:textFill>
                        <w14:solidFill>
                          <w14:schemeClr w14:val="tx1"/>
                        </w14:solidFill>
                      </w14:textFill>
                    </w:rPr>
                    <w:t>本项目</w:t>
                  </w:r>
                  <w:r>
                    <w:rPr>
                      <w:rFonts w:hint="eastAsia" w:cs="宋体"/>
                      <w:b w:val="0"/>
                      <w:bCs w:val="0"/>
                      <w:smallCaps w:val="0"/>
                      <w:color w:val="000000" w:themeColor="text1"/>
                      <w:szCs w:val="21"/>
                      <w:lang w:val="en-US" w:eastAsia="zh-CN"/>
                      <w14:textFill>
                        <w14:solidFill>
                          <w14:schemeClr w14:val="tx1"/>
                        </w14:solidFill>
                      </w14:textFill>
                    </w:rPr>
                    <w:t>锅炉燃料使用天然气，不使用高污染燃料。</w:t>
                  </w:r>
                </w:p>
              </w:tc>
              <w:tc>
                <w:tcPr>
                  <w:tcW w:w="816" w:type="dxa"/>
                  <w:tcBorders>
                    <w:tl2br w:val="nil"/>
                    <w:tr2bl w:val="nil"/>
                  </w:tcBorders>
                  <w:noWrap w:val="0"/>
                  <w:vAlign w:val="center"/>
                </w:tcPr>
                <w:p w14:paraId="1002C6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3A125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352" w:type="dxa"/>
                  <w:vMerge w:val="continue"/>
                  <w:tcBorders>
                    <w:tl2br w:val="nil"/>
                    <w:tr2bl w:val="nil"/>
                  </w:tcBorders>
                  <w:noWrap w:val="0"/>
                  <w:vAlign w:val="center"/>
                </w:tcPr>
                <w:p w14:paraId="42D1BD7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Cs w:val="21"/>
                      <w14:textFill>
                        <w14:solidFill>
                          <w14:schemeClr w14:val="tx1"/>
                        </w14:solidFill>
                      </w14:textFill>
                    </w:rPr>
                  </w:pPr>
                </w:p>
              </w:tc>
              <w:tc>
                <w:tcPr>
                  <w:tcW w:w="3537" w:type="dxa"/>
                  <w:tcBorders>
                    <w:tl2br w:val="nil"/>
                    <w:tr2bl w:val="nil"/>
                  </w:tcBorders>
                  <w:noWrap w:val="0"/>
                  <w:vAlign w:val="center"/>
                </w:tcPr>
                <w:p w14:paraId="487F0A18">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企业应当优先采用能源和原材料利用效率高、污染物排放量少的清洁生产技术、工艺和装备，减少大气污染物的产生和排放</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2804" w:type="dxa"/>
                  <w:tcBorders>
                    <w:tl2br w:val="nil"/>
                    <w:tr2bl w:val="nil"/>
                  </w:tcBorders>
                  <w:noWrap w:val="0"/>
                  <w:vAlign w:val="center"/>
                </w:tcPr>
                <w:p w14:paraId="2911181A">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481845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6499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1352" w:type="dxa"/>
                  <w:vMerge w:val="restart"/>
                  <w:tcBorders>
                    <w:tl2br w:val="nil"/>
                    <w:tr2bl w:val="nil"/>
                  </w:tcBorders>
                  <w:noWrap w:val="0"/>
                  <w:vAlign w:val="center"/>
                </w:tcPr>
                <w:p w14:paraId="4E7D976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《陕西省“十四五”生态环境保护规划》（陕政办发〔2021〕25号）</w:t>
                  </w:r>
                </w:p>
              </w:tc>
              <w:tc>
                <w:tcPr>
                  <w:tcW w:w="3537" w:type="dxa"/>
                  <w:tcBorders>
                    <w:tl2br w:val="nil"/>
                    <w:tr2bl w:val="nil"/>
                  </w:tcBorders>
                  <w:noWrap w:val="0"/>
                  <w:vAlign w:val="center"/>
                </w:tcPr>
                <w:p w14:paraId="74B60EC9">
                  <w:pPr>
                    <w:keepNext w:val="0"/>
                    <w:keepLines w:val="0"/>
                    <w:suppressLineNumbers w:val="0"/>
                    <w:spacing w:before="0" w:beforeAutospacing="0" w:after="0" w:afterAutospacing="0"/>
                    <w:ind w:left="0" w:right="0" w:rightChars="0" w:firstLine="210" w:firstLineChars="100"/>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深化落实环评制度。不断健全环境影响评价等生态源头预防体系，对重点区域、重点流域、重点行业依法开展规划环境影响影响评价，严格建设项目生态环境准入</w:t>
                  </w:r>
                  <w:r>
                    <w:rPr>
                      <w:rFonts w:hint="eastAsia" w:ascii="Times New Roman" w:hAnsi="Times New Roman" w:cs="Times New Roman"/>
                      <w:color w:val="000000" w:themeColor="text1"/>
                      <w:szCs w:val="21"/>
                      <w:lang w:eastAsia="zh-CN"/>
                      <w14:textFill>
                        <w14:solidFill>
                          <w14:schemeClr w14:val="tx1"/>
                        </w14:solidFill>
                      </w14:textFill>
                    </w:rPr>
                    <w:t>。</w:t>
                  </w:r>
                </w:p>
              </w:tc>
              <w:tc>
                <w:tcPr>
                  <w:tcW w:w="2804" w:type="dxa"/>
                  <w:tcBorders>
                    <w:tl2br w:val="nil"/>
                    <w:tr2bl w:val="nil"/>
                  </w:tcBorders>
                  <w:noWrap w:val="0"/>
                  <w:vAlign w:val="center"/>
                </w:tcPr>
                <w:p w14:paraId="4F9E2E1E">
                  <w:pPr>
                    <w:keepNext w:val="0"/>
                    <w:keepLines w:val="0"/>
                    <w:suppressLineNumbers w:val="0"/>
                    <w:spacing w:before="0" w:beforeAutospacing="0" w:after="0" w:afterAutospacing="0"/>
                    <w:ind w:left="0" w:right="0" w:rightChars="0" w:firstLine="210" w:firstLineChars="100"/>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w:t>
                  </w:r>
                  <w:r>
                    <w:rPr>
                      <w:rFonts w:hint="default" w:ascii="Times New Roman" w:hAnsi="Times New Roman" w:cs="Times New Roman"/>
                      <w:color w:val="000000" w:themeColor="text1"/>
                      <w:kern w:val="0"/>
                      <w:szCs w:val="21"/>
                      <w:lang w:eastAsia="zh-CN"/>
                      <w14:textFill>
                        <w14:solidFill>
                          <w14:schemeClr w14:val="tx1"/>
                        </w14:solidFill>
                      </w14:textFill>
                    </w:rPr>
                    <w:t>陕西省</w:t>
                  </w:r>
                  <w:r>
                    <w:rPr>
                      <w:rFonts w:hint="eastAsia" w:ascii="Times New Roman" w:hAnsi="Times New Roman" w:cs="Times New Roman"/>
                      <w:color w:val="000000" w:themeColor="text1"/>
                      <w:kern w:val="0"/>
                      <w:szCs w:val="21"/>
                      <w:lang w:eastAsia="zh-CN"/>
                      <w14:textFill>
                        <w14:solidFill>
                          <w14:schemeClr w14:val="tx1"/>
                        </w14:solidFill>
                      </w14:textFill>
                    </w:rPr>
                    <w:t>西安</w:t>
                  </w:r>
                  <w:r>
                    <w:rPr>
                      <w:rFonts w:hint="eastAsia" w:ascii="Times New Roman" w:hAnsi="Times New Roman" w:cs="Times New Roman"/>
                      <w:color w:val="000000" w:themeColor="text1"/>
                      <w:kern w:val="0"/>
                      <w:szCs w:val="21"/>
                      <w:lang w:val="en-US" w:eastAsia="zh-CN"/>
                      <w14:textFill>
                        <w14:solidFill>
                          <w14:schemeClr w14:val="tx1"/>
                        </w14:solidFill>
                      </w14:textFill>
                    </w:rPr>
                    <w:t>市</w:t>
                  </w:r>
                  <w:r>
                    <w:rPr>
                      <w:rFonts w:hint="eastAsia" w:ascii="Times New Roman" w:hAnsi="Times New Roman" w:cs="Times New Roman"/>
                      <w:color w:val="000000" w:themeColor="text1"/>
                      <w:kern w:val="0"/>
                      <w:szCs w:val="21"/>
                      <w:lang w:eastAsia="zh-CN"/>
                      <w14:textFill>
                        <w14:solidFill>
                          <w14:schemeClr w14:val="tx1"/>
                        </w14:solidFill>
                      </w14:textFill>
                    </w:rPr>
                    <w:t>西咸新区</w:t>
                  </w:r>
                  <w:r>
                    <w:rPr>
                      <w:rFonts w:hint="eastAsia" w:ascii="Times New Roman" w:hAnsi="Times New Roman" w:cs="Times New Roman"/>
                      <w:color w:val="000000" w:themeColor="text1"/>
                      <w:kern w:val="0"/>
                      <w:szCs w:val="21"/>
                      <w:lang w:val="en-US" w:eastAsia="zh-CN"/>
                      <w14:textFill>
                        <w14:solidFill>
                          <w14:schemeClr w14:val="tx1"/>
                        </w14:solidFill>
                      </w14:textFill>
                    </w:rPr>
                    <w:t>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eastAsia="zh-CN"/>
                      <w14:textFill>
                        <w14:solidFill>
                          <w14:schemeClr w14:val="tx1"/>
                        </w14:solidFill>
                      </w14:textFill>
                    </w:rPr>
                    <w:t>，目前在办理环评手续中</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816" w:type="dxa"/>
                  <w:tcBorders>
                    <w:tl2br w:val="nil"/>
                    <w:tr2bl w:val="nil"/>
                  </w:tcBorders>
                  <w:noWrap w:val="0"/>
                  <w:vAlign w:val="center"/>
                </w:tcPr>
                <w:p w14:paraId="53FD295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655F4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352" w:type="dxa"/>
                  <w:vMerge w:val="continue"/>
                  <w:tcBorders>
                    <w:tl2br w:val="nil"/>
                    <w:tr2bl w:val="nil"/>
                  </w:tcBorders>
                  <w:noWrap w:val="0"/>
                  <w:vAlign w:val="center"/>
                </w:tcPr>
                <w:p w14:paraId="59D977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5B873CDB">
                  <w:pPr>
                    <w:keepNext w:val="0"/>
                    <w:keepLines w:val="0"/>
                    <w:widowControl/>
                    <w:suppressLineNumbers w:val="0"/>
                    <w:spacing w:before="0" w:beforeAutospacing="0" w:after="0" w:afterAutospacing="0"/>
                    <w:ind w:left="0" w:right="0" w:rightChars="0" w:firstLine="210" w:firstLineChars="100"/>
                    <w:jc w:val="both"/>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强化工业炉窑和锅炉全面管控，关中地区巩固燃煤锅炉拆改成效、燃气锅炉低氮改造成果。</w:t>
                  </w:r>
                </w:p>
              </w:tc>
              <w:tc>
                <w:tcPr>
                  <w:tcW w:w="2804" w:type="dxa"/>
                  <w:tcBorders>
                    <w:tl2br w:val="nil"/>
                    <w:tr2bl w:val="nil"/>
                  </w:tcBorders>
                  <w:noWrap w:val="0"/>
                  <w:vAlign w:val="center"/>
                </w:tcPr>
                <w:p w14:paraId="74EAE330">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2300DC5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5992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352" w:type="dxa"/>
                  <w:tcBorders>
                    <w:tl2br w:val="nil"/>
                    <w:tr2bl w:val="nil"/>
                  </w:tcBorders>
                  <w:noWrap w:val="0"/>
                  <w:vAlign w:val="center"/>
                </w:tcPr>
                <w:p w14:paraId="64C4D97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陕西省人民政府关于印发《陕西省大气污染治理专项行动方案（2023—2027）》的通知（陕发[2023]4号）</w:t>
                  </w:r>
                </w:p>
              </w:tc>
              <w:tc>
                <w:tcPr>
                  <w:tcW w:w="3537" w:type="dxa"/>
                  <w:tcBorders>
                    <w:tl2br w:val="nil"/>
                    <w:tr2bl w:val="nil"/>
                  </w:tcBorders>
                  <w:noWrap w:val="0"/>
                  <w:vAlign w:val="center"/>
                </w:tcPr>
                <w:p w14:paraId="38FEA879">
                  <w:pPr>
                    <w:keepNext w:val="0"/>
                    <w:keepLines w:val="0"/>
                    <w:widowControl/>
                    <w:suppressLineNumbers w:val="0"/>
                    <w:spacing w:before="0" w:beforeAutospacing="0" w:after="0" w:afterAutospacing="0"/>
                    <w:ind w:left="0" w:right="0" w:rightChars="0" w:firstLine="210" w:firstLineChars="10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2804" w:type="dxa"/>
                  <w:tcBorders>
                    <w:tl2br w:val="nil"/>
                    <w:tr2bl w:val="nil"/>
                  </w:tcBorders>
                  <w:noWrap w:val="0"/>
                  <w:vAlign w:val="center"/>
                </w:tcPr>
                <w:p w14:paraId="2E204606">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44E87B41">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535806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352" w:type="dxa"/>
                  <w:vMerge w:val="restart"/>
                  <w:tcBorders>
                    <w:tl2br w:val="nil"/>
                    <w:tr2bl w:val="nil"/>
                  </w:tcBorders>
                  <w:noWrap w:val="0"/>
                  <w:vAlign w:val="center"/>
                </w:tcPr>
                <w:p w14:paraId="1EF986D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西安市人民政府关于印发“十四五”生态环境保护规划的通知（市政发〔2021〕21号）</w:t>
                  </w:r>
                </w:p>
              </w:tc>
              <w:tc>
                <w:tcPr>
                  <w:tcW w:w="3537" w:type="dxa"/>
                  <w:tcBorders>
                    <w:tl2br w:val="nil"/>
                    <w:tr2bl w:val="nil"/>
                  </w:tcBorders>
                  <w:noWrap w:val="0"/>
                  <w:vAlign w:val="center"/>
                </w:tcPr>
                <w:p w14:paraId="1E5FE0A7">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eastAsia" w:ascii="Times New Roman" w:hAnsi="Times New Roman"/>
                      <w:color w:val="000000" w:themeColor="text1"/>
                      <w:sz w:val="21"/>
                      <w:szCs w:val="21"/>
                      <w:lang w:eastAsia="zh-CN"/>
                      <w14:textFill>
                        <w14:solidFill>
                          <w14:schemeClr w14:val="tx1"/>
                        </w14:solidFill>
                      </w14:textFill>
                    </w:rPr>
                    <w:t>。</w:t>
                  </w:r>
                </w:p>
              </w:tc>
              <w:tc>
                <w:tcPr>
                  <w:tcW w:w="2804" w:type="dxa"/>
                  <w:tcBorders>
                    <w:tl2br w:val="nil"/>
                    <w:tr2bl w:val="nil"/>
                  </w:tcBorders>
                  <w:noWrap w:val="0"/>
                  <w:vAlign w:val="center"/>
                </w:tcPr>
                <w:p w14:paraId="6EE9F4B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10" w:firstLineChars="100"/>
                    <w:jc w:val="both"/>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本项目已建成，无施工期</w:t>
                  </w:r>
                  <w:r>
                    <w:rPr>
                      <w:rFonts w:hint="eastAsia" w:ascii="Times New Roman" w:hAnsi="Times New Roman"/>
                      <w:color w:val="000000" w:themeColor="text1"/>
                      <w:sz w:val="21"/>
                      <w:szCs w:val="21"/>
                      <w14:textFill>
                        <w14:solidFill>
                          <w14:schemeClr w14:val="tx1"/>
                        </w14:solidFill>
                      </w14:textFill>
                    </w:rPr>
                    <w:t>污染</w:t>
                  </w:r>
                  <w:r>
                    <w:rPr>
                      <w:rFonts w:hint="eastAsia" w:ascii="Times New Roman" w:hAnsi="Times New Roman"/>
                      <w:color w:val="000000" w:themeColor="text1"/>
                      <w:sz w:val="21"/>
                      <w:szCs w:val="21"/>
                      <w:lang w:eastAsia="zh-CN"/>
                      <w14:textFill>
                        <w14:solidFill>
                          <w14:schemeClr w14:val="tx1"/>
                        </w14:solidFill>
                      </w14:textFill>
                    </w:rPr>
                    <w:t>。</w:t>
                  </w:r>
                </w:p>
              </w:tc>
              <w:tc>
                <w:tcPr>
                  <w:tcW w:w="816" w:type="dxa"/>
                  <w:tcBorders>
                    <w:tl2br w:val="nil"/>
                    <w:tr2bl w:val="nil"/>
                  </w:tcBorders>
                  <w:noWrap w:val="0"/>
                  <w:vAlign w:val="center"/>
                </w:tcPr>
                <w:p w14:paraId="640911B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3DE837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2" w:type="dxa"/>
                  <w:vMerge w:val="continue"/>
                  <w:tcBorders>
                    <w:tl2br w:val="nil"/>
                    <w:tr2bl w:val="nil"/>
                  </w:tcBorders>
                  <w:noWrap w:val="0"/>
                  <w:vAlign w:val="center"/>
                </w:tcPr>
                <w:p w14:paraId="56FDC5B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1D10F27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积极开展工业污染治理。深化工业污染治理。巩固燃煤锅炉拆改成效、燃气锅炉低氮改造成果，建立动态工作台账。积极开展化工、水泥、有色、建材等行业污染治理升级改造，加大无组织排放治理力度。</w:t>
                  </w:r>
                </w:p>
              </w:tc>
              <w:tc>
                <w:tcPr>
                  <w:tcW w:w="2804" w:type="dxa"/>
                  <w:vMerge w:val="restart"/>
                  <w:tcBorders>
                    <w:tl2br w:val="nil"/>
                    <w:tr2bl w:val="nil"/>
                  </w:tcBorders>
                  <w:noWrap w:val="0"/>
                  <w:vAlign w:val="center"/>
                </w:tcPr>
                <w:p w14:paraId="5E0E710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10" w:firstLineChars="100"/>
                    <w:jc w:val="both"/>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锅炉废气经排气筒排放</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0F3CF3D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1B0B1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352" w:type="dxa"/>
                  <w:tcBorders>
                    <w:tl2br w:val="nil"/>
                    <w:tr2bl w:val="nil"/>
                  </w:tcBorders>
                  <w:noWrap w:val="0"/>
                  <w:vAlign w:val="center"/>
                </w:tcPr>
                <w:p w14:paraId="3AC32D0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《西安市大气污染防治条例》</w:t>
                  </w:r>
                </w:p>
              </w:tc>
              <w:tc>
                <w:tcPr>
                  <w:tcW w:w="3537" w:type="dxa"/>
                  <w:tcBorders>
                    <w:tl2br w:val="nil"/>
                    <w:tr2bl w:val="nil"/>
                  </w:tcBorders>
                  <w:noWrap w:val="0"/>
                  <w:vAlign w:val="center"/>
                </w:tcPr>
                <w:p w14:paraId="1292C6AE">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第二十三条 向大气排放污染物的企业事业单位和其他生产经营者应当安装大气污染防治设施并确保正常使用。</w:t>
                  </w:r>
                </w:p>
              </w:tc>
              <w:tc>
                <w:tcPr>
                  <w:tcW w:w="2804" w:type="dxa"/>
                  <w:vMerge w:val="continue"/>
                  <w:tcBorders>
                    <w:tl2br w:val="nil"/>
                    <w:tr2bl w:val="nil"/>
                  </w:tcBorders>
                  <w:noWrap w:val="0"/>
                  <w:vAlign w:val="center"/>
                </w:tcPr>
                <w:p w14:paraId="557D26F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816" w:type="dxa"/>
                  <w:tcBorders>
                    <w:tl2br w:val="nil"/>
                    <w:tr2bl w:val="nil"/>
                  </w:tcBorders>
                  <w:noWrap w:val="0"/>
                  <w:vAlign w:val="center"/>
                </w:tcPr>
                <w:p w14:paraId="745E442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144BE1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0" w:hRule="atLeast"/>
                <w:jc w:val="center"/>
              </w:trPr>
              <w:tc>
                <w:tcPr>
                  <w:tcW w:w="1352" w:type="dxa"/>
                  <w:vMerge w:val="restart"/>
                  <w:tcBorders>
                    <w:tl2br w:val="nil"/>
                    <w:tr2bl w:val="nil"/>
                  </w:tcBorders>
                  <w:noWrap w:val="0"/>
                  <w:vAlign w:val="center"/>
                </w:tcPr>
                <w:p w14:paraId="0420CB0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西安市人民政府关于印发《西安市大气污染治理专项行动</w:t>
                  </w:r>
                  <w:r>
                    <w:rPr>
                      <w:rFonts w:hint="eastAsia" w:ascii="Times New Roman" w:hAnsi="Times New Roman"/>
                      <w:color w:val="000000" w:themeColor="text1"/>
                      <w:sz w:val="21"/>
                      <w:szCs w:val="21"/>
                      <w:lang w:val="en-US" w:eastAsia="zh-CN"/>
                      <w14:textFill>
                        <w14:solidFill>
                          <w14:schemeClr w14:val="tx1"/>
                        </w14:solidFill>
                      </w14:textFill>
                    </w:rPr>
                    <w:t>方案（2023—2027）</w:t>
                  </w:r>
                  <w:r>
                    <w:rPr>
                      <w:rFonts w:hint="eastAsia" w:ascii="Times New Roman" w:hAnsi="Times New Roman"/>
                      <w:color w:val="000000" w:themeColor="text1"/>
                      <w:sz w:val="21"/>
                      <w:szCs w:val="21"/>
                      <w:lang w:eastAsia="zh-CN"/>
                      <w14:textFill>
                        <w14:solidFill>
                          <w14:schemeClr w14:val="tx1"/>
                        </w14:solidFill>
                      </w14:textFill>
                    </w:rPr>
                    <w:t>》的通知（市字</w:t>
                  </w:r>
                  <w:r>
                    <w:rPr>
                      <w:rFonts w:hint="eastAsia" w:ascii="Times New Roman" w:hAnsi="Times New Roman"/>
                      <w:color w:val="000000" w:themeColor="text1"/>
                      <w:sz w:val="21"/>
                      <w:szCs w:val="21"/>
                      <w:lang w:val="en-US" w:eastAsia="zh-CN"/>
                      <w14:textFill>
                        <w14:solidFill>
                          <w14:schemeClr w14:val="tx1"/>
                        </w14:solidFill>
                      </w14:textFill>
                    </w:rPr>
                    <w:t>[2023]32号</w:t>
                  </w:r>
                  <w:r>
                    <w:rPr>
                      <w:rFonts w:hint="eastAsia" w:ascii="Times New Roman" w:hAnsi="Times New Roman"/>
                      <w:color w:val="000000" w:themeColor="text1"/>
                      <w:sz w:val="21"/>
                      <w:szCs w:val="21"/>
                      <w:lang w:eastAsia="zh-CN"/>
                      <w14:textFill>
                        <w14:solidFill>
                          <w14:schemeClr w14:val="tx1"/>
                        </w14:solidFill>
                      </w14:textFill>
                    </w:rPr>
                    <w:t>）</w:t>
                  </w:r>
                </w:p>
              </w:tc>
              <w:tc>
                <w:tcPr>
                  <w:tcW w:w="3537" w:type="dxa"/>
                  <w:tcBorders>
                    <w:tl2br w:val="nil"/>
                    <w:tr2bl w:val="nil"/>
                  </w:tcBorders>
                  <w:noWrap w:val="0"/>
                  <w:vAlign w:val="center"/>
                </w:tcPr>
                <w:p w14:paraId="2EE6A63D">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关中地区以降低PM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指标为导向建立动态管控机制，施工场地严格执行“六个百分百”，施工工地扬尘排放超过《施工场界扬尘排放限值（DB61/1078-2017）》的立即停工整改，西安市、咸阳市、渭南市除沙尘天气影响外，PM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小时浓度连续3小时超过150微克/立方米时，暂停超过环境质量监测值2.5倍以上的施工工地作业。</w:t>
                  </w:r>
                </w:p>
              </w:tc>
              <w:tc>
                <w:tcPr>
                  <w:tcW w:w="2804" w:type="dxa"/>
                  <w:tcBorders>
                    <w:tl2br w:val="nil"/>
                    <w:tr2bl w:val="nil"/>
                  </w:tcBorders>
                  <w:noWrap w:val="0"/>
                  <w:vAlign w:val="center"/>
                </w:tcPr>
                <w:p w14:paraId="72C153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本项目已建成，无施工期</w:t>
                  </w:r>
                  <w:r>
                    <w:rPr>
                      <w:rFonts w:hint="eastAsia" w:ascii="Times New Roman" w:hAnsi="Times New Roman"/>
                      <w:color w:val="000000" w:themeColor="text1"/>
                      <w:sz w:val="21"/>
                      <w:szCs w:val="21"/>
                      <w14:textFill>
                        <w14:solidFill>
                          <w14:schemeClr w14:val="tx1"/>
                        </w14:solidFill>
                      </w14:textFill>
                    </w:rPr>
                    <w:t>污染</w:t>
                  </w:r>
                  <w:r>
                    <w:rPr>
                      <w:rFonts w:hint="eastAsia" w:ascii="Times New Roman" w:hAnsi="Times New Roman"/>
                      <w:color w:val="000000" w:themeColor="text1"/>
                      <w:sz w:val="21"/>
                      <w:szCs w:val="21"/>
                      <w:lang w:eastAsia="zh-CN"/>
                      <w14:textFill>
                        <w14:solidFill>
                          <w14:schemeClr w14:val="tx1"/>
                        </w14:solidFill>
                      </w14:textFill>
                    </w:rPr>
                    <w:t>。</w:t>
                  </w:r>
                </w:p>
              </w:tc>
              <w:tc>
                <w:tcPr>
                  <w:tcW w:w="816" w:type="dxa"/>
                  <w:tcBorders>
                    <w:tl2br w:val="nil"/>
                    <w:tr2bl w:val="nil"/>
                  </w:tcBorders>
                  <w:noWrap w:val="0"/>
                  <w:vAlign w:val="center"/>
                </w:tcPr>
                <w:p w14:paraId="5DE5AACA">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25A3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352" w:type="dxa"/>
                  <w:vMerge w:val="continue"/>
                  <w:tcBorders>
                    <w:tl2br w:val="nil"/>
                    <w:tr2bl w:val="nil"/>
                  </w:tcBorders>
                  <w:noWrap w:val="0"/>
                  <w:vAlign w:val="center"/>
                </w:tcPr>
                <w:p w14:paraId="148E7A0A">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p>
              </w:tc>
              <w:tc>
                <w:tcPr>
                  <w:tcW w:w="3537" w:type="dxa"/>
                  <w:tcBorders>
                    <w:tl2br w:val="nil"/>
                    <w:tr2bl w:val="nil"/>
                  </w:tcBorders>
                  <w:noWrap w:val="0"/>
                  <w:vAlign w:val="center"/>
                </w:tcPr>
                <w:p w14:paraId="1701FC01">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2804" w:type="dxa"/>
                  <w:tcBorders>
                    <w:tl2br w:val="nil"/>
                    <w:tr2bl w:val="nil"/>
                  </w:tcBorders>
                  <w:noWrap w:val="0"/>
                  <w:vAlign w:val="center"/>
                </w:tcPr>
                <w:p w14:paraId="409AB558">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6B1BBAA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2D608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2" w:type="dxa"/>
                  <w:vMerge w:val="restart"/>
                  <w:tcBorders>
                    <w:tl2br w:val="nil"/>
                    <w:tr2bl w:val="nil"/>
                  </w:tcBorders>
                  <w:noWrap w:val="0"/>
                  <w:vAlign w:val="center"/>
                </w:tcPr>
                <w:p w14:paraId="3B4E1E6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537" w:type="dxa"/>
                  <w:tcBorders>
                    <w:tl2br w:val="nil"/>
                    <w:tr2bl w:val="nil"/>
                  </w:tcBorders>
                  <w:noWrap w:val="0"/>
                  <w:vAlign w:val="center"/>
                </w:tcPr>
                <w:p w14:paraId="5664ED14">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持续扩大高污染燃料禁燃区。继续强化《关于继续执行〈西咸新区高污染燃料禁燃区建设实施方案〉的通知》（陕西咸办字〔2020〕18号）落实，依法将新区已征地范围除火力发电企业机组以外的区域划定为Ⅲ类高污染燃料禁燃区；依法将整体完成清洁取暖改造的地区划定为高污染燃料禁燃区。</w:t>
                  </w:r>
                </w:p>
              </w:tc>
              <w:tc>
                <w:tcPr>
                  <w:tcW w:w="2804" w:type="dxa"/>
                  <w:tcBorders>
                    <w:tl2br w:val="nil"/>
                    <w:tr2bl w:val="nil"/>
                  </w:tcBorders>
                  <w:noWrap w:val="0"/>
                  <w:vAlign w:val="center"/>
                </w:tcPr>
                <w:p w14:paraId="3DFFDCD3">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，不涉及高污染燃料及Ⅲ类禁燃区。</w:t>
                  </w:r>
                </w:p>
              </w:tc>
              <w:tc>
                <w:tcPr>
                  <w:tcW w:w="816" w:type="dxa"/>
                  <w:tcBorders>
                    <w:tl2br w:val="nil"/>
                    <w:tr2bl w:val="nil"/>
                  </w:tcBorders>
                  <w:noWrap w:val="0"/>
                  <w:vAlign w:val="center"/>
                </w:tcPr>
                <w:p w14:paraId="152AD3A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3A85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52" w:type="dxa"/>
                  <w:vMerge w:val="continue"/>
                  <w:tcBorders>
                    <w:tl2br w:val="nil"/>
                    <w:tr2bl w:val="nil"/>
                  </w:tcBorders>
                  <w:noWrap w:val="0"/>
                  <w:vAlign w:val="center"/>
                </w:tcPr>
                <w:p w14:paraId="1C4B344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09BF34DF">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bCs/>
                      <w:snapToGrid w:val="0"/>
                      <w:color w:val="000000" w:themeColor="text1"/>
                      <w:sz w:val="21"/>
                      <w:szCs w:val="21"/>
                      <w14:textFill>
                        <w14:solidFill>
                          <w14:schemeClr w14:val="tx1"/>
                        </w14:solidFill>
                      </w14:textFill>
                    </w:rPr>
                    <w:t>针对</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w:t>
                  </w:r>
                  <w:r>
                    <w:rPr>
                      <w:rFonts w:hint="default" w:ascii="Times New Roman" w:hAnsi="Times New Roman" w:cs="Times New Roman"/>
                      <w:bCs/>
                      <w:snapToGrid w:val="0"/>
                      <w:color w:val="000000" w:themeColor="text1"/>
                      <w:sz w:val="21"/>
                      <w:szCs w:val="21"/>
                      <w14:textFill>
                        <w14:solidFill>
                          <w14:schemeClr w14:val="tx1"/>
                        </w14:solidFill>
                      </w14:textFill>
                    </w:rPr>
                    <w:t>等</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涉及物料存储的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企业</w:t>
                  </w:r>
                  <w:r>
                    <w:rPr>
                      <w:rFonts w:hint="default" w:ascii="Times New Roman" w:hAnsi="Times New Roman" w:cs="Times New Roman"/>
                      <w:bCs/>
                      <w:snapToGrid w:val="0"/>
                      <w:color w:val="000000" w:themeColor="text1"/>
                      <w:sz w:val="21"/>
                      <w:szCs w:val="21"/>
                      <w14:textFill>
                        <w14:solidFill>
                          <w14:schemeClr w14:val="tx1"/>
                        </w14:solidFill>
                      </w14:textFill>
                    </w:rPr>
                    <w:t>，建立动态管理清单，严格控制物料储存、输送及生产工艺过程</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粉尘</w:t>
                  </w:r>
                  <w:r>
                    <w:rPr>
                      <w:rFonts w:hint="default" w:ascii="Times New Roman" w:hAnsi="Times New Roman" w:cs="Times New Roman"/>
                      <w:bCs/>
                      <w:snapToGrid w:val="0"/>
                      <w:color w:val="000000" w:themeColor="text1"/>
                      <w:sz w:val="21"/>
                      <w:szCs w:val="21"/>
                      <w14:textFill>
                        <w14:solidFill>
                          <w14:schemeClr w14:val="tx1"/>
                        </w14:solidFill>
                      </w14:textFill>
                    </w:rPr>
                    <w:t>无组织排放，</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应密闭的要全部密闭，</w:t>
                  </w:r>
                  <w:r>
                    <w:rPr>
                      <w:rFonts w:hint="default" w:ascii="Times New Roman" w:hAnsi="Times New Roman" w:cs="Times New Roman"/>
                      <w:bCs/>
                      <w:snapToGrid w:val="0"/>
                      <w:color w:val="000000" w:themeColor="text1"/>
                      <w:sz w:val="21"/>
                      <w:szCs w:val="21"/>
                      <w14:textFill>
                        <w14:solidFill>
                          <w14:schemeClr w14:val="tx1"/>
                        </w14:solidFill>
                      </w14:textFill>
                    </w:rPr>
                    <w:t>物料堆场抑尘设施</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确保正常运行</w:t>
                  </w:r>
                  <w:r>
                    <w:rPr>
                      <w:rFonts w:hint="default" w:ascii="Times New Roman" w:hAnsi="Times New Roman" w:cs="Times New Roman"/>
                      <w:bCs/>
                      <w:snapToGrid w:val="0"/>
                      <w:color w:val="000000" w:themeColor="text1"/>
                      <w:sz w:val="21"/>
                      <w:szCs w:val="21"/>
                      <w14:textFill>
                        <w14:solidFill>
                          <w14:schemeClr w14:val="tx1"/>
                        </w14:solidFill>
                      </w14:textFill>
                    </w:rPr>
                    <w:t>。严格落实抑尘措施，严禁露天装卸作业和物料干法作业</w:t>
                  </w:r>
                  <w:r>
                    <w:rPr>
                      <w:rFonts w:hint="default" w:ascii="Times New Roman" w:hAnsi="Times New Roman" w:cs="Times New Roman"/>
                      <w:bCs/>
                      <w:snapToGrid w:val="0"/>
                      <w:color w:val="000000" w:themeColor="text1"/>
                      <w:sz w:val="21"/>
                      <w:szCs w:val="21"/>
                      <w:lang w:eastAsia="zh-CN"/>
                      <w14:textFill>
                        <w14:solidFill>
                          <w14:schemeClr w14:val="tx1"/>
                        </w14:solidFill>
                      </w14:textFill>
                    </w:rPr>
                    <w:t>，</w:t>
                  </w:r>
                  <w:r>
                    <w:rPr>
                      <w:rFonts w:hint="default" w:ascii="Times New Roman" w:hAnsi="Times New Roman" w:cs="Times New Roman"/>
                      <w:bCs/>
                      <w:snapToGrid w:val="0"/>
                      <w:color w:val="000000" w:themeColor="text1"/>
                      <w:sz w:val="21"/>
                      <w:szCs w:val="21"/>
                      <w14:textFill>
                        <w14:solidFill>
                          <w14:schemeClr w14:val="tx1"/>
                        </w14:solidFill>
                      </w14:textFill>
                    </w:rPr>
                    <w:t>强化洒水抑尘，增加作业车辆和机械冲洗次数，防止</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扬尘污染</w:t>
                  </w:r>
                  <w:r>
                    <w:rPr>
                      <w:rFonts w:hint="default" w:ascii="Times New Roman" w:hAnsi="Times New Roman" w:cs="Times New Roman"/>
                      <w:bCs/>
                      <w:snapToGrid w:val="0"/>
                      <w:color w:val="000000" w:themeColor="text1"/>
                      <w:sz w:val="21"/>
                      <w:szCs w:val="21"/>
                      <w14:textFill>
                        <w14:solidFill>
                          <w14:schemeClr w14:val="tx1"/>
                        </w14:solidFill>
                      </w14:textFill>
                    </w:rPr>
                    <w:t>。</w:t>
                  </w:r>
                </w:p>
              </w:tc>
              <w:tc>
                <w:tcPr>
                  <w:tcW w:w="2804" w:type="dxa"/>
                  <w:tcBorders>
                    <w:tl2br w:val="nil"/>
                    <w:tr2bl w:val="nil"/>
                  </w:tcBorders>
                  <w:noWrap w:val="0"/>
                  <w:vAlign w:val="center"/>
                </w:tcPr>
                <w:p w14:paraId="2BC00DFC">
                  <w:pPr>
                    <w:keepNext w:val="0"/>
                    <w:keepLines w:val="0"/>
                    <w:suppressLineNumbers w:val="0"/>
                    <w:spacing w:before="0" w:beforeAutospacing="0" w:after="0" w:afterAutospacing="0"/>
                    <w:ind w:left="0" w:right="0" w:firstLine="210" w:firstLineChars="100"/>
                    <w:jc w:val="both"/>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不属于</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eastAsia" w:ascii="Times New Roman" w:hAnsi="Times New Roman" w:cs="Times New Roman"/>
                      <w:bCs/>
                      <w:snapToGrid w:val="0"/>
                      <w:color w:val="000000" w:themeColor="text1"/>
                      <w:sz w:val="21"/>
                      <w:szCs w:val="21"/>
                      <w:lang w:eastAsia="zh-CN"/>
                      <w14:textFill>
                        <w14:solidFill>
                          <w14:schemeClr w14:val="tx1"/>
                        </w14:solidFill>
                      </w14:textFill>
                    </w:rPr>
                    <w:t>。</w:t>
                  </w:r>
                </w:p>
              </w:tc>
              <w:tc>
                <w:tcPr>
                  <w:tcW w:w="816" w:type="dxa"/>
                  <w:tcBorders>
                    <w:tl2br w:val="nil"/>
                    <w:tr2bl w:val="nil"/>
                  </w:tcBorders>
                  <w:noWrap w:val="0"/>
                  <w:vAlign w:val="center"/>
                </w:tcPr>
                <w:p w14:paraId="7CCD469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EAE95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1352" w:type="dxa"/>
                  <w:vMerge w:val="continue"/>
                  <w:tcBorders>
                    <w:tl2br w:val="nil"/>
                    <w:tr2bl w:val="nil"/>
                  </w:tcBorders>
                  <w:noWrap w:val="0"/>
                  <w:vAlign w:val="center"/>
                </w:tcPr>
                <w:p w14:paraId="3B4968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29FFBFDE">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bCs/>
                      <w:snapToGrid w:val="0"/>
                      <w:color w:val="000000" w:themeColor="text1"/>
                      <w:sz w:val="21"/>
                      <w:szCs w:val="21"/>
                      <w14:textFill>
                        <w14:solidFill>
                          <w14:schemeClr w14:val="tx1"/>
                        </w14:solidFill>
                      </w14:textFill>
                    </w:rPr>
                  </w:pP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严把燃煤锅炉准入关口。全域禁止新建燃煤锅炉，推动燃气锅炉实施低氮燃烧深度改造，鼓励企业将氮氧化物浓度控制在30毫克/立方米以内。</w:t>
                  </w:r>
                </w:p>
              </w:tc>
              <w:tc>
                <w:tcPr>
                  <w:tcW w:w="2804" w:type="dxa"/>
                  <w:tcBorders>
                    <w:tl2br w:val="nil"/>
                    <w:tr2bl w:val="nil"/>
                  </w:tcBorders>
                  <w:noWrap w:val="0"/>
                  <w:vAlign w:val="center"/>
                </w:tcPr>
                <w:p w14:paraId="778D2D2C">
                  <w:pPr>
                    <w:keepNext w:val="0"/>
                    <w:keepLines w:val="0"/>
                    <w:suppressLineNumbers w:val="0"/>
                    <w:spacing w:before="0" w:beforeAutospacing="0" w:after="0" w:afterAutospacing="0"/>
                    <w:ind w:left="0" w:right="0" w:firstLine="210" w:firstLineChars="10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60D1347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584ED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2" w:hRule="atLeast"/>
                <w:jc w:val="center"/>
              </w:trPr>
              <w:tc>
                <w:tcPr>
                  <w:tcW w:w="1352" w:type="dxa"/>
                  <w:vMerge w:val="restart"/>
                  <w:tcBorders>
                    <w:tl2br w:val="nil"/>
                    <w:tr2bl w:val="nil"/>
                  </w:tcBorders>
                  <w:noWrap w:val="0"/>
                  <w:vAlign w:val="center"/>
                </w:tcPr>
                <w:p w14:paraId="4663589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西咸新区沣东新城大气污染治理专项行动方案（2023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537" w:type="dxa"/>
                  <w:tcBorders>
                    <w:tl2br w:val="nil"/>
                    <w:tr2bl w:val="nil"/>
                  </w:tcBorders>
                  <w:noWrap w:val="0"/>
                  <w:vAlign w:val="center"/>
                </w:tcPr>
                <w:p w14:paraId="3E381FE6">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加强高污染燃料禁燃区管控。按照西咸新区划定的高污染燃料禁燃区相关要求，禁燃区内禁止销售、使用高污染燃料。</w:t>
                  </w:r>
                </w:p>
              </w:tc>
              <w:tc>
                <w:tcPr>
                  <w:tcW w:w="2804" w:type="dxa"/>
                  <w:tcBorders>
                    <w:tl2br w:val="nil"/>
                    <w:tr2bl w:val="nil"/>
                  </w:tcBorders>
                  <w:noWrap w:val="0"/>
                  <w:vAlign w:val="center"/>
                </w:tcPr>
                <w:p w14:paraId="6728565A">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锅炉</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w:t>
                  </w:r>
                </w:p>
              </w:tc>
              <w:tc>
                <w:tcPr>
                  <w:tcW w:w="816" w:type="dxa"/>
                  <w:tcBorders>
                    <w:tl2br w:val="nil"/>
                    <w:tr2bl w:val="nil"/>
                  </w:tcBorders>
                  <w:noWrap w:val="0"/>
                  <w:vAlign w:val="center"/>
                </w:tcPr>
                <w:p w14:paraId="29583A2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58F671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1352" w:type="dxa"/>
                  <w:vMerge w:val="continue"/>
                  <w:tcBorders>
                    <w:tl2br w:val="nil"/>
                    <w:tr2bl w:val="nil"/>
                  </w:tcBorders>
                  <w:noWrap w:val="0"/>
                  <w:vAlign w:val="center"/>
                </w:tcPr>
                <w:p w14:paraId="1CE13F6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4BC12FCA">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针对火电、铸造、耐火材料、有色金属冶炼、预制构件等行业，建立动态管理台账，严格控制物料储存、输送及生产工艺过程无组织排放，应密闭的要全部完成密闭改造，物料堆场抑尘设施确保正常运行。严格落实抑尘措施，严禁露天装卸作业和物料干法作业，强化洒水抑尘，增加作业车辆和机械冲洗次数，防止扬尘污染。</w:t>
                  </w:r>
                </w:p>
              </w:tc>
              <w:tc>
                <w:tcPr>
                  <w:tcW w:w="2804" w:type="dxa"/>
                  <w:tcBorders>
                    <w:tl2br w:val="nil"/>
                    <w:tr2bl w:val="nil"/>
                  </w:tcBorders>
                  <w:noWrap w:val="0"/>
                  <w:vAlign w:val="center"/>
                </w:tcPr>
                <w:p w14:paraId="74A8986A">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不涉及工艺物料等输送，不产生扬尘污染。</w:t>
                  </w:r>
                </w:p>
              </w:tc>
              <w:tc>
                <w:tcPr>
                  <w:tcW w:w="816" w:type="dxa"/>
                  <w:tcBorders>
                    <w:tl2br w:val="nil"/>
                    <w:tr2bl w:val="nil"/>
                  </w:tcBorders>
                  <w:noWrap w:val="0"/>
                  <w:vAlign w:val="center"/>
                </w:tcPr>
                <w:p w14:paraId="223FC0B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D2BA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tcBorders>
                    <w:tl2br w:val="nil"/>
                    <w:tr2bl w:val="nil"/>
                  </w:tcBorders>
                  <w:noWrap w:val="0"/>
                  <w:vAlign w:val="center"/>
                </w:tcPr>
                <w:p w14:paraId="2D2B76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陕西省固体废物污染环境防治条例（20</w:t>
                  </w:r>
                  <w:r>
                    <w:rPr>
                      <w:rFonts w:hint="eastAsia" w:ascii="Times New Roman" w:hAnsi="Times New Roman" w:cs="Times New Roman"/>
                      <w:color w:val="000000" w:themeColor="text1"/>
                      <w:sz w:val="21"/>
                      <w:szCs w:val="21"/>
                      <w:lang w:val="en-US" w:eastAsia="zh-CN"/>
                      <w14:textFill>
                        <w14:solidFill>
                          <w14:schemeClr w14:val="tx1"/>
                        </w14:solidFill>
                      </w14:textFill>
                    </w:rPr>
                    <w:t>21</w:t>
                  </w:r>
                  <w:r>
                    <w:rPr>
                      <w:rFonts w:hint="default" w:ascii="Times New Roman" w:hAnsi="Times New Roman" w:cs="Times New Roman"/>
                      <w:color w:val="000000" w:themeColor="text1"/>
                      <w:sz w:val="21"/>
                      <w:szCs w:val="21"/>
                      <w:lang w:val="en-US" w:eastAsia="zh-CN"/>
                      <w14:textFill>
                        <w14:solidFill>
                          <w14:schemeClr w14:val="tx1"/>
                        </w14:solidFill>
                      </w14:textFill>
                    </w:rPr>
                    <w:t>年修正）</w:t>
                  </w:r>
                </w:p>
              </w:tc>
              <w:tc>
                <w:tcPr>
                  <w:tcW w:w="3537" w:type="dxa"/>
                  <w:tcBorders>
                    <w:tl2br w:val="nil"/>
                    <w:tr2bl w:val="nil"/>
                  </w:tcBorders>
                  <w:noWrap w:val="0"/>
                  <w:vAlign w:val="center"/>
                </w:tcPr>
                <w:p w14:paraId="0B7F02C8">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产生危险废物的单位应当按照危险废物产生、贮存、利用、处置管理流程建立台账，如实记载产生危险废物的种类、数量、流向、贮存、利用、处置等信息。危险废物台账应当至少保存十年，企业重组、改制的，由承继企业接管保存；企业破产、倒闭的，应当将危险废物台账移交当地生态环境行政主管部门保存。</w:t>
                  </w:r>
                </w:p>
              </w:tc>
              <w:tc>
                <w:tcPr>
                  <w:tcW w:w="2804" w:type="dxa"/>
                  <w:tcBorders>
                    <w:tl2br w:val="nil"/>
                    <w:tr2bl w:val="nil"/>
                  </w:tcBorders>
                  <w:noWrap w:val="0"/>
                  <w:vAlign w:val="center"/>
                </w:tcPr>
                <w:p w14:paraId="02060B4D">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软水制备过程产生的废离子交换树脂为一般固体废物，不暂存，由离子交换树脂厂家更换时回收处置。</w:t>
                  </w:r>
                </w:p>
              </w:tc>
              <w:tc>
                <w:tcPr>
                  <w:tcW w:w="816" w:type="dxa"/>
                  <w:tcBorders>
                    <w:tl2br w:val="nil"/>
                    <w:tr2bl w:val="nil"/>
                  </w:tcBorders>
                  <w:noWrap w:val="0"/>
                  <w:vAlign w:val="center"/>
                </w:tcPr>
                <w:p w14:paraId="7015DD0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7C695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tcBorders>
                    <w:tl2br w:val="nil"/>
                    <w:tr2bl w:val="nil"/>
                  </w:tcBorders>
                  <w:noWrap w:val="0"/>
                  <w:vAlign w:val="center"/>
                </w:tcPr>
                <w:p w14:paraId="5FEE52B5">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《“十四五”节能减排综合工作方案》</w:t>
                  </w:r>
                </w:p>
              </w:tc>
              <w:tc>
                <w:tcPr>
                  <w:tcW w:w="3537" w:type="dxa"/>
                  <w:tcBorders>
                    <w:tl2br w:val="nil"/>
                    <w:tr2bl w:val="nil"/>
                  </w:tcBorders>
                  <w:noWrap w:val="0"/>
                  <w:vAlign w:val="center"/>
                </w:tcPr>
                <w:p w14:paraId="05669D67">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坚决遏制高耗能高排放项目盲目发展。根据国家产业规划、产业政策、节能审查、环境影响评价审批等政策规定，对在建、拟建、建成的高耗能高排放项目（以下称“两高”项目）开展评估检查，建立工作清单，明确处置意见，严禁违规“两高”项目建设、运行，坚决拿下不符合要求的“两高”项目。加强对“两高”项目节能审查、环境影响评价审批程序和结果执行的监督评估，对审批能力不适应的依法依规调整上收审批权。对年综合能耗5万吨标准煤及以上的“两高”项目加强工作指导。严肃财经纪律，指导金融机构完善“两高”项目融资政策。</w:t>
                  </w:r>
                </w:p>
              </w:tc>
              <w:tc>
                <w:tcPr>
                  <w:tcW w:w="2804" w:type="dxa"/>
                  <w:tcBorders>
                    <w:tl2br w:val="nil"/>
                    <w:tr2bl w:val="nil"/>
                  </w:tcBorders>
                  <w:noWrap w:val="0"/>
                  <w:vAlign w:val="center"/>
                </w:tcPr>
                <w:p w14:paraId="44FED4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本项目使用燃料为天然气，本项目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热力生产和供应工程</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，年使用天然气72万m</w:t>
                  </w:r>
                  <w:r>
                    <w:rPr>
                      <w:rFonts w:hint="eastAsia"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，折标煤系数取1.2143kgce/m</w:t>
                  </w:r>
                  <w:r>
                    <w:rPr>
                      <w:rFonts w:hint="eastAsia"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，则其折标量为874.296tce，该数值小于5万吨标准煤。</w:t>
                  </w:r>
                </w:p>
                <w:p w14:paraId="55554F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故本项目可不按照“两高”项目实行动态清单管理。</w:t>
                  </w:r>
                </w:p>
              </w:tc>
              <w:tc>
                <w:tcPr>
                  <w:tcW w:w="816" w:type="dxa"/>
                  <w:tcBorders>
                    <w:tl2br w:val="nil"/>
                    <w:tr2bl w:val="nil"/>
                  </w:tcBorders>
                  <w:noWrap w:val="0"/>
                  <w:vAlign w:val="center"/>
                </w:tcPr>
                <w:p w14:paraId="157E6C8F">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7745E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restart"/>
                  <w:tcBorders>
                    <w:tl2br w:val="nil"/>
                    <w:tr2bl w:val="nil"/>
                  </w:tcBorders>
                  <w:noWrap w:val="0"/>
                  <w:vAlign w:val="center"/>
                </w:tcPr>
                <w:p w14:paraId="3437157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西安市供热管理条例</w:t>
                  </w:r>
                </w:p>
              </w:tc>
              <w:tc>
                <w:tcPr>
                  <w:tcW w:w="3537" w:type="dxa"/>
                  <w:tcBorders>
                    <w:tl2br w:val="nil"/>
                    <w:tr2bl w:val="nil"/>
                  </w:tcBorders>
                  <w:noWrap w:val="0"/>
                  <w:vAlign w:val="center"/>
                </w:tcPr>
                <w:p w14:paraId="693C25CC">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编制集中供热专项规划，应当体现城乡统筹、节能减排、科学配置热源、长远与近期相结合的要求，合理安排热源厂（站）和管网布局，使其与城市发展规模相适应。</w:t>
                  </w:r>
                </w:p>
              </w:tc>
              <w:tc>
                <w:tcPr>
                  <w:tcW w:w="2804" w:type="dxa"/>
                  <w:vMerge w:val="restart"/>
                  <w:tcBorders>
                    <w:tl2br w:val="nil"/>
                    <w:tr2bl w:val="nil"/>
                  </w:tcBorders>
                  <w:noWrap w:val="0"/>
                  <w:vAlign w:val="center"/>
                </w:tcPr>
                <w:p w14:paraId="15BD1E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p>
              </w:tc>
              <w:tc>
                <w:tcPr>
                  <w:tcW w:w="816" w:type="dxa"/>
                  <w:tcBorders>
                    <w:tl2br w:val="nil"/>
                    <w:tr2bl w:val="nil"/>
                  </w:tcBorders>
                  <w:noWrap w:val="0"/>
                  <w:vAlign w:val="center"/>
                </w:tcPr>
                <w:p w14:paraId="693E6E46">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66F8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45F796A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676F66F8">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新建、改建、扩建热源厂（站）、供热管网等集中供热工程项目，应当符合集中供热专项规划。</w:t>
                  </w:r>
                </w:p>
              </w:tc>
              <w:tc>
                <w:tcPr>
                  <w:tcW w:w="2804" w:type="dxa"/>
                  <w:vMerge w:val="continue"/>
                  <w:tcBorders>
                    <w:tl2br w:val="nil"/>
                    <w:tr2bl w:val="nil"/>
                  </w:tcBorders>
                  <w:noWrap w:val="0"/>
                  <w:vAlign w:val="center"/>
                </w:tcPr>
                <w:p w14:paraId="156D5A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816" w:type="dxa"/>
                  <w:tcBorders>
                    <w:tl2br w:val="nil"/>
                    <w:tr2bl w:val="nil"/>
                  </w:tcBorders>
                  <w:noWrap w:val="0"/>
                  <w:vAlign w:val="center"/>
                </w:tcPr>
                <w:p w14:paraId="77AB9F73">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029BA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0D5F7BD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2D842242">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在已建成和规划建设的集中供热管网覆盖范围内，不得建设高能耗、高污染的供热设施。已建成使用的，应当按照城市发展规划和有利于集中供热、节能环保的原则予以改造，并逐步并入集中供热。</w:t>
                  </w:r>
                </w:p>
              </w:tc>
              <w:tc>
                <w:tcPr>
                  <w:tcW w:w="2804" w:type="dxa"/>
                  <w:tcBorders>
                    <w:tl2br w:val="nil"/>
                    <w:tr2bl w:val="nil"/>
                  </w:tcBorders>
                  <w:noWrap w:val="0"/>
                  <w:vAlign w:val="center"/>
                </w:tcPr>
                <w:p w14:paraId="1067A8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本项目使用燃料为天然气，不属于两高项目。</w:t>
                  </w:r>
                </w:p>
              </w:tc>
              <w:tc>
                <w:tcPr>
                  <w:tcW w:w="816" w:type="dxa"/>
                  <w:tcBorders>
                    <w:tl2br w:val="nil"/>
                    <w:tr2bl w:val="nil"/>
                  </w:tcBorders>
                  <w:noWrap w:val="0"/>
                  <w:vAlign w:val="center"/>
                </w:tcPr>
                <w:p w14:paraId="043C5424">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47FB6A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0E876E5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6F70E6B3">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新建、改建、扩建城市道路，应当按照集中供热专项规划的要求，同时设计和敷设供热管网。</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城市道路建有地下综合管廊的，供热管网应当纳入综合管廊。</w:t>
                  </w:r>
                </w:p>
              </w:tc>
              <w:tc>
                <w:tcPr>
                  <w:tcW w:w="2804" w:type="dxa"/>
                  <w:tcBorders>
                    <w:tl2br w:val="nil"/>
                    <w:tr2bl w:val="nil"/>
                  </w:tcBorders>
                  <w:noWrap w:val="0"/>
                  <w:vAlign w:val="center"/>
                </w:tcPr>
                <w:p w14:paraId="6B9CEA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本项目使用燃料为天然气，供热区域天然气管道依托现有市政管道。</w:t>
                  </w:r>
                </w:p>
              </w:tc>
              <w:tc>
                <w:tcPr>
                  <w:tcW w:w="816" w:type="dxa"/>
                  <w:tcBorders>
                    <w:tl2br w:val="nil"/>
                    <w:tr2bl w:val="nil"/>
                  </w:tcBorders>
                  <w:noWrap w:val="0"/>
                  <w:vAlign w:val="center"/>
                </w:tcPr>
                <w:p w14:paraId="5DDBB1BA">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20A943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6B2BA0A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353DF1A7">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建设项目配套建设的供热设施应当与建筑主体工程同步设计、同步施工、同步验收。</w:t>
                  </w:r>
                </w:p>
              </w:tc>
              <w:tc>
                <w:tcPr>
                  <w:tcW w:w="2804" w:type="dxa"/>
                  <w:tcBorders>
                    <w:tl2br w:val="nil"/>
                    <w:tr2bl w:val="nil"/>
                  </w:tcBorders>
                  <w:noWrap w:val="0"/>
                  <w:vAlign w:val="center"/>
                </w:tcPr>
                <w:p w14:paraId="7F3DE3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属于补办环评，</w:t>
                  </w:r>
                  <w:r>
                    <w:rPr>
                      <w:rFonts w:hint="default" w:ascii="Times New Roman" w:hAnsi="Times New Roman" w:cs="Times New Roman"/>
                      <w:color w:val="000000" w:themeColor="text1"/>
                      <w:kern w:val="0"/>
                      <w:szCs w:val="21"/>
                      <w14:textFill>
                        <w14:solidFill>
                          <w14:schemeClr w14:val="tx1"/>
                        </w14:solidFill>
                      </w14:textFill>
                    </w:rPr>
                    <w:t>在环评手续办理</w:t>
                  </w:r>
                  <w:r>
                    <w:rPr>
                      <w:rFonts w:hint="eastAsia" w:ascii="Times New Roman" w:hAnsi="Times New Roman" w:cs="Times New Roman"/>
                      <w:color w:val="000000" w:themeColor="text1"/>
                      <w:kern w:val="0"/>
                      <w:szCs w:val="21"/>
                      <w:lang w:val="en-US" w:eastAsia="zh-CN"/>
                      <w14:textFill>
                        <w14:solidFill>
                          <w14:schemeClr w14:val="tx1"/>
                        </w14:solidFill>
                      </w14:textFill>
                    </w:rPr>
                    <w:t>结束后，供暖期分进行竣工环境保护验收</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816" w:type="dxa"/>
                  <w:tcBorders>
                    <w:tl2br w:val="nil"/>
                    <w:tr2bl w:val="nil"/>
                  </w:tcBorders>
                  <w:noWrap w:val="0"/>
                  <w:vAlign w:val="center"/>
                </w:tcPr>
                <w:p w14:paraId="13676FC9">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7C5A5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tcBorders>
                    <w:tl2br w:val="nil"/>
                    <w:tr2bl w:val="nil"/>
                  </w:tcBorders>
                  <w:noWrap w:val="0"/>
                  <w:vAlign w:val="center"/>
                </w:tcPr>
                <w:p w14:paraId="2FF009EE">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关于经开区有关燃气锅炉建设相关问题的回复（西安市大气污染治理专项行动领导小组办公室2024年6月13日）</w:t>
                  </w:r>
                </w:p>
              </w:tc>
              <w:tc>
                <w:tcPr>
                  <w:tcW w:w="3537" w:type="dxa"/>
                  <w:tcBorders>
                    <w:tl2br w:val="nil"/>
                    <w:tr2bl w:val="nil"/>
                  </w:tcBorders>
                  <w:noWrap w:val="0"/>
                  <w:vAlign w:val="center"/>
                </w:tcPr>
                <w:p w14:paraId="24CAC732">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关于经开区有关燃气锅炉建设相关问题的回复</w:t>
                  </w:r>
                </w:p>
                <w:p w14:paraId="7DF4E112">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经开区大气专项办：</w:t>
                  </w:r>
                </w:p>
                <w:p w14:paraId="56CEF4C5">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你办《关于燃气锅炉建设相关问题的请示》收悉。经研究，现将《西安市大气污染治理专项行动2024年工作方案》（以下简称《方案》）中关于燃气锅炉相关问题回复如下：</w:t>
                  </w:r>
                </w:p>
                <w:p w14:paraId="37A97BE0">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一、住宅区、商业体项目（含自建燃气锅炉的）在本《方案》发布之前已完成项目规划、建审等审批备案并开工建设的，原则上允许按照原规划建审明确的方案建设燃气锅炉。燃气锅炉氮氧化物排放浓度应低于30毫克/立方米，并进一步采取末端治理等措施降低氮氧化物排放浓度，经监测达标后报辖区住建、城管、生态环境部门备案后方可投入使用。</w:t>
                  </w:r>
                </w:p>
                <w:p w14:paraId="6FF709B7">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二、医疗卫生、文化教育、科研单位以及产业园区、工业企业有蒸汽、清毒等特殊用汽需求的一事一议。</w:t>
                  </w:r>
                </w:p>
                <w:p w14:paraId="789991BC">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请你办在《方案》执行过程中，结合实际、因地制宜，杜绝“一刀切”行为。</w:t>
                  </w:r>
                </w:p>
                <w:p w14:paraId="57ABBF1C">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特此回复。</w:t>
                  </w:r>
                </w:p>
              </w:tc>
              <w:tc>
                <w:tcPr>
                  <w:tcW w:w="2804" w:type="dxa"/>
                  <w:tcBorders>
                    <w:tl2br w:val="nil"/>
                    <w:tr2bl w:val="nil"/>
                  </w:tcBorders>
                  <w:noWrap w:val="0"/>
                  <w:vAlign w:val="center"/>
                </w:tcPr>
                <w:p w14:paraId="5330511D">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），建设1座锅炉房，</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安装5台1.4MW燃气真空热水锅炉及相关配套设备。</w:t>
                  </w:r>
                </w:p>
                <w:p w14:paraId="0D22CAE9">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本项目锅炉房为</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未央经典西旅逸都小区的配套设施；2018年8月26日，项目单位“陕西秦华热力有限公司”在沣东新城行政审批与政务服务局完成项目备案</w:t>
                  </w:r>
                  <w:r>
                    <w:rPr>
                      <w:rFonts w:hint="eastAsia" w:ascii="Times New Roman" w:hAnsi="Times New Roman" w:cs="Times New Roman"/>
                      <w:color w:val="000000" w:themeColor="text1"/>
                      <w:kern w:val="0"/>
                      <w:szCs w:val="21"/>
                      <w:lang w:val="en-US" w:eastAsia="zh-CN"/>
                      <w14:textFill>
                        <w14:solidFill>
                          <w14:schemeClr w14:val="tx1"/>
                        </w14:solidFill>
                      </w14:textFill>
                    </w:rPr>
                    <w:t>，备案文件详见附件3。</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项目立项及规划在</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《西安市大气污染治理专项行动2024年工作方案》下发之前已完成。</w:t>
                  </w:r>
                </w:p>
                <w:p w14:paraId="2686E2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本项目以天然气为燃料，属于清洁能源</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热水机组</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技术，属于国际领先技术水平，氮氧化物排放浓度小于30毫克/立方米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2C65DDF2">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67EFA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restart"/>
                  <w:tcBorders>
                    <w:tl2br w:val="nil"/>
                    <w:tr2bl w:val="nil"/>
                  </w:tcBorders>
                  <w:noWrap w:val="0"/>
                  <w:vAlign w:val="center"/>
                </w:tcPr>
                <w:p w14:paraId="60A23518">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《西安市大气污染治理专项行动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年工作方案》（市政办函（2024）</w:t>
                  </w:r>
                </w:p>
                <w:p w14:paraId="533D569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25号）</w:t>
                  </w:r>
                </w:p>
              </w:tc>
              <w:tc>
                <w:tcPr>
                  <w:tcW w:w="3537" w:type="dxa"/>
                  <w:tcBorders>
                    <w:tl2br w:val="nil"/>
                    <w:tr2bl w:val="nil"/>
                  </w:tcBorders>
                  <w:noWrap w:val="0"/>
                  <w:vAlign w:val="center"/>
                </w:tcPr>
                <w:p w14:paraId="54CA328A">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整合现有供热模式，实现供</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热管网互联互通、热源多能互补，合理调配使用全市供热资源。有计划实施地热能、空气源热泵、污水源热泵等多种新能源供热模式。</w:t>
                  </w:r>
                </w:p>
                <w:p w14:paraId="7FF683DF">
                  <w:pPr>
                    <w:keepNext w:val="0"/>
                    <w:keepLines w:val="0"/>
                    <w:numPr>
                      <w:ilvl w:val="0"/>
                      <w:numId w:val="0"/>
                    </w:numPr>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（1）开展地热能、空气源热泵、污水源热泵等</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多种新能源供热模式调研，形成我市新能源供热模式方案。</w:t>
                  </w:r>
                </w:p>
                <w:p w14:paraId="3C6C1A7C">
                  <w:pPr>
                    <w:keepNext w:val="0"/>
                    <w:keepLines w:val="0"/>
                    <w:numPr>
                      <w:ilvl w:val="0"/>
                      <w:numId w:val="0"/>
                    </w:numPr>
                    <w:suppressLineNumbers w:val="0"/>
                    <w:autoSpaceDE w:val="0"/>
                    <w:autoSpaceDN w:val="0"/>
                    <w:spacing w:before="0" w:beforeAutospacing="0" w:after="0" w:afterAutospacing="0"/>
                    <w:ind w:left="0" w:right="0" w:rightChars="0" w:firstLine="211"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（2）原则上全市不再新建燃气供热站，具备条</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件的新建小区、商业体推广使用地热能、空气源热泵、污水源热泵等清洁供暖技术</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p w14:paraId="06D27954">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（3）推动已建成小区试点开展清洁供暖改造</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各区县、开发区至少完成1个清洁供暖改造试点项目。</w:t>
                  </w:r>
                </w:p>
              </w:tc>
              <w:tc>
                <w:tcPr>
                  <w:tcW w:w="2804" w:type="dxa"/>
                  <w:tcBorders>
                    <w:tl2br w:val="nil"/>
                    <w:tr2bl w:val="nil"/>
                  </w:tcBorders>
                  <w:noWrap w:val="0"/>
                  <w:vAlign w:val="center"/>
                </w:tcPr>
                <w:p w14:paraId="63D0B332">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本项目锅炉房为</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未央经典西旅逸都小区的配套设施；2018年8月26日，项目单位“陕西秦华热力有限公司”在沣东新城行政审批与政务服务局完成项目备案</w:t>
                  </w:r>
                  <w:r>
                    <w:rPr>
                      <w:rFonts w:hint="eastAsia" w:ascii="Times New Roman" w:hAnsi="Times New Roman" w:cs="Times New Roman"/>
                      <w:color w:val="000000" w:themeColor="text1"/>
                      <w:kern w:val="0"/>
                      <w:szCs w:val="21"/>
                      <w:lang w:val="en-US" w:eastAsia="zh-CN"/>
                      <w14:textFill>
                        <w14:solidFill>
                          <w14:schemeClr w14:val="tx1"/>
                        </w14:solidFill>
                      </w14:textFill>
                    </w:rPr>
                    <w:t>，备案文件详见附件3；本项目已建成并投入运行，属于补办环评。</w:t>
                  </w:r>
                </w:p>
                <w:p w14:paraId="0231BC48">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），建设1座锅炉房，</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安装5台1.4MkW燃气真空热水锅炉及相关配套设备。</w:t>
                  </w:r>
                </w:p>
                <w:p w14:paraId="459EF8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210" w:firstLineChars="1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项目为未央经典西旅逸都小区进行冬季集中供热采暖；</w:t>
                  </w: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本项目以天然气为燃料，属于清洁能源。</w:t>
                  </w:r>
                </w:p>
              </w:tc>
              <w:tc>
                <w:tcPr>
                  <w:tcW w:w="816" w:type="dxa"/>
                  <w:tcBorders>
                    <w:tl2br w:val="nil"/>
                    <w:tr2bl w:val="nil"/>
                  </w:tcBorders>
                  <w:noWrap w:val="0"/>
                  <w:vAlign w:val="center"/>
                </w:tcPr>
                <w:p w14:paraId="6CB60AB5">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04F722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2" w:type="dxa"/>
                  <w:vMerge w:val="continue"/>
                  <w:tcBorders>
                    <w:tl2br w:val="nil"/>
                    <w:tr2bl w:val="nil"/>
                  </w:tcBorders>
                  <w:noWrap w:val="0"/>
                  <w:vAlign w:val="center"/>
                </w:tcPr>
                <w:p w14:paraId="588ADF6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36A3355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大力发展清洁取暖方式。新建居民住宅、商业综合体等必须使用清洁能源取暖（地热能、空气源热泵、污水源热泵等）。</w:t>
                  </w:r>
                </w:p>
                <w:p w14:paraId="5AD57F1A">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持续推进用户侧建筑能效提升改造、供热管网保温及智能调控改造。</w:t>
                  </w:r>
                </w:p>
              </w:tc>
              <w:tc>
                <w:tcPr>
                  <w:tcW w:w="2804" w:type="dxa"/>
                  <w:tcBorders>
                    <w:tl2br w:val="nil"/>
                    <w:tr2bl w:val="nil"/>
                  </w:tcBorders>
                  <w:noWrap w:val="0"/>
                  <w:vAlign w:val="center"/>
                </w:tcPr>
                <w:p w14:paraId="1BA7E4D3">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，满足管网保温及智能调控。</w:t>
                  </w:r>
                </w:p>
              </w:tc>
              <w:tc>
                <w:tcPr>
                  <w:tcW w:w="816" w:type="dxa"/>
                  <w:tcBorders>
                    <w:tl2br w:val="nil"/>
                    <w:tr2bl w:val="nil"/>
                  </w:tcBorders>
                  <w:noWrap w:val="0"/>
                  <w:vAlign w:val="center"/>
                </w:tcPr>
                <w:p w14:paraId="5F3B579D">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4D5A31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40A9DBD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37" w:type="dxa"/>
                  <w:tcBorders>
                    <w:tl2br w:val="nil"/>
                    <w:tr2bl w:val="nil"/>
                  </w:tcBorders>
                  <w:noWrap w:val="0"/>
                  <w:vAlign w:val="center"/>
                </w:tcPr>
                <w:p w14:paraId="49BCE347">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推动燃气锅炉实施低氮燃烧深度改造。全域推进燃气锅炉低氮燃烧深度改造，氮氧化物排放浓度控制在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毫克</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立方米以内。</w:t>
                  </w:r>
                </w:p>
                <w:p w14:paraId="6008C62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（1）推动全市燃气锅炉进行低氮燃烧深度改</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造，重点对莲湖区、灞桥区、未央区、雁塔区、</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西咸新区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、经开区、曲江新区重点区域3公里内全部完成燃气锅炉低氮燃烧深度改造。（</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氮氧化物排放浓度控制在30毫克/立方米以下</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p w14:paraId="6A9D67BE">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（2）在雁塔区、莲湖区开展燃气锅炉超低氮燃</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烧深度治理试点示范（氮氧化物排放浓度控制在25毫克/立方米以下）。</w:t>
                  </w:r>
                </w:p>
              </w:tc>
              <w:tc>
                <w:tcPr>
                  <w:tcW w:w="2804" w:type="dxa"/>
                  <w:tcBorders>
                    <w:tl2br w:val="nil"/>
                    <w:tr2bl w:val="nil"/>
                  </w:tcBorders>
                  <w:noWrap w:val="0"/>
                  <w:vAlign w:val="center"/>
                </w:tcPr>
                <w:p w14:paraId="762EFC80">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本项目以天然气为燃料，属于清洁能源</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热水机组</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技术，属于国际领先技术水平，氮氧化物排放浓度小于30毫克/立方米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4236314D">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2A8265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restart"/>
                  <w:tcBorders>
                    <w:tl2br w:val="nil"/>
                    <w:tr2bl w:val="nil"/>
                  </w:tcBorders>
                  <w:noWrap w:val="0"/>
                  <w:vAlign w:val="center"/>
                </w:tcPr>
                <w:p w14:paraId="7015EAE2">
                  <w:pPr>
                    <w:keepNext w:val="0"/>
                    <w:keepLines w:val="0"/>
                    <w:suppressLineNumbers w:val="0"/>
                    <w:autoSpaceDE w:val="0"/>
                    <w:autoSpaceDN w:val="0"/>
                    <w:spacing w:before="0" w:beforeAutospacing="0" w:after="0" w:afterAutospacing="0"/>
                    <w:ind w:left="0" w:right="0" w:rightChars="0"/>
                    <w:contextualSpacing/>
                    <w:jc w:val="cente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《西咸新区大气污染治理专项行动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2024</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年工作方案》（</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陕西咸党政办函〔2024〕21号</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tc>
              <w:tc>
                <w:tcPr>
                  <w:tcW w:w="3537" w:type="dxa"/>
                  <w:tcBorders>
                    <w:tl2br w:val="nil"/>
                    <w:tr2bl w:val="nil"/>
                  </w:tcBorders>
                  <w:noWrap w:val="0"/>
                  <w:vAlign w:val="center"/>
                </w:tcPr>
                <w:p w14:paraId="50F2455C">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积极优化供热运营模式。按照全市统一安排部署，大力推行中深层无干扰供热地热能等新能源供热模式，结合新区供热现状，整合现有供热模式，推动热源多能互补，合理调配使用供热资源。</w:t>
                  </w:r>
                </w:p>
                <w:p w14:paraId="5CA917B3">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开展新能源供热模式调研，形成新区新能源供热模式方案。</w:t>
                  </w:r>
                </w:p>
                <w:p w14:paraId="1A01B28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原则上新区不再新建燃气供热站，具备条件的新建小区、商业体推广使用地热能、空气源热泵、污水源热泵等清洁供暖技术。</w:t>
                  </w:r>
                </w:p>
                <w:p w14:paraId="30CAA51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推动已建成小区试点开展清洁供暖改造，新区至少完成1个清洁供暖改造试点项目</w:t>
                  </w:r>
                </w:p>
              </w:tc>
              <w:tc>
                <w:tcPr>
                  <w:tcW w:w="2804" w:type="dxa"/>
                  <w:tcBorders>
                    <w:tl2br w:val="nil"/>
                    <w:tr2bl w:val="nil"/>
                  </w:tcBorders>
                  <w:noWrap w:val="0"/>
                  <w:vAlign w:val="center"/>
                </w:tcPr>
                <w:p w14:paraId="752F84BE">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本项目锅炉房为</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未央经典西旅逸都小区的配套设施；2018年8月26日，项目单位“陕西秦华热力有限公司”在沣东新城行政审批与政务服务局完成项目备案</w:t>
                  </w:r>
                  <w:r>
                    <w:rPr>
                      <w:rFonts w:hint="eastAsia" w:ascii="Times New Roman" w:hAnsi="Times New Roman" w:cs="Times New Roman"/>
                      <w:color w:val="000000" w:themeColor="text1"/>
                      <w:kern w:val="0"/>
                      <w:szCs w:val="21"/>
                      <w:lang w:val="en-US" w:eastAsia="zh-CN"/>
                      <w14:textFill>
                        <w14:solidFill>
                          <w14:schemeClr w14:val="tx1"/>
                        </w14:solidFill>
                      </w14:textFill>
                    </w:rPr>
                    <w:t>，备案文件详见附件3；本项目已建成并投入运行，属于补办环评。</w:t>
                  </w:r>
                </w:p>
                <w:p w14:paraId="72005D3F">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），建设1座锅炉房，</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安装5台1.4MW燃气真空热水锅炉及相关配套设备。</w:t>
                  </w:r>
                </w:p>
                <w:p w14:paraId="3A518486">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项目为未央经典（西旅逸都）小区进行冬季集中供热采暖；</w:t>
                  </w: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本项目以天然气为燃料，属于清洁能源。</w:t>
                  </w:r>
                </w:p>
              </w:tc>
              <w:tc>
                <w:tcPr>
                  <w:tcW w:w="816" w:type="dxa"/>
                  <w:tcBorders>
                    <w:tl2br w:val="nil"/>
                    <w:tr2bl w:val="nil"/>
                  </w:tcBorders>
                  <w:noWrap w:val="0"/>
                  <w:vAlign w:val="center"/>
                </w:tcPr>
                <w:p w14:paraId="32BE28BC">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B086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5E890B37">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3537" w:type="dxa"/>
                  <w:tcBorders>
                    <w:tl2br w:val="nil"/>
                    <w:tr2bl w:val="nil"/>
                  </w:tcBorders>
                  <w:noWrap w:val="0"/>
                  <w:vAlign w:val="center"/>
                </w:tcPr>
                <w:p w14:paraId="2FF50E93">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新建居民住宅、商业综合体等必须使用清洁能源取暖（地热能、空气源热泵、污水源热泵等）。持续推进用户侧建筑能效提升改造、供热管网保温及智能调控改造。</w:t>
                  </w:r>
                </w:p>
              </w:tc>
              <w:tc>
                <w:tcPr>
                  <w:tcW w:w="2804" w:type="dxa"/>
                  <w:tcBorders>
                    <w:tl2br w:val="nil"/>
                    <w:tr2bl w:val="nil"/>
                  </w:tcBorders>
                  <w:noWrap w:val="0"/>
                  <w:vAlign w:val="center"/>
                </w:tcPr>
                <w:p w14:paraId="0FCD08C0">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，满足管网保温及智能调控。</w:t>
                  </w:r>
                </w:p>
              </w:tc>
              <w:tc>
                <w:tcPr>
                  <w:tcW w:w="816" w:type="dxa"/>
                  <w:tcBorders>
                    <w:tl2br w:val="nil"/>
                    <w:tr2bl w:val="nil"/>
                  </w:tcBorders>
                  <w:noWrap w:val="0"/>
                  <w:vAlign w:val="center"/>
                </w:tcPr>
                <w:p w14:paraId="212AF545">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6EDEAE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49C20534">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3537" w:type="dxa"/>
                  <w:tcBorders>
                    <w:tl2br w:val="nil"/>
                    <w:tr2bl w:val="nil"/>
                  </w:tcBorders>
                  <w:noWrap w:val="0"/>
                  <w:vAlign w:val="center"/>
                </w:tcPr>
                <w:p w14:paraId="41B5099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全域推进燃气锅炉低氮燃烧深度改造，氮氧化物排放浓度控制在30毫克/立方米以内。</w:t>
                  </w:r>
                </w:p>
                <w:p w14:paraId="228A98B4">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（1）落实全市锅炉低氮燃烧深度改造奖补政策。</w:t>
                  </w:r>
                </w:p>
                <w:p w14:paraId="0F0A3B5C">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（2）推动燃气锅炉进行低氮燃烧深度改造，重点对新区重点区域3公里内全部完成燃气锅炉低氮燃烧深度改造。（氮氧化物排放浓度控制在30毫克/立方米以下）。</w:t>
                  </w:r>
                </w:p>
              </w:tc>
              <w:tc>
                <w:tcPr>
                  <w:tcW w:w="2804" w:type="dxa"/>
                  <w:tcBorders>
                    <w:tl2br w:val="nil"/>
                    <w:tr2bl w:val="nil"/>
                  </w:tcBorders>
                  <w:noWrap w:val="0"/>
                  <w:vAlign w:val="center"/>
                </w:tcPr>
                <w:p w14:paraId="3D80B3B6">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本项目以天然气为燃料，属于清洁能源</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热水机组</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技术，属于国际领先技术水平，氮氧化物排放浓度小于30毫克/立方米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项目进口低氮燃烧器购买合同详见附件7，低氮燃烧器设计原理资料见附件8。</w:t>
                  </w:r>
                </w:p>
              </w:tc>
              <w:tc>
                <w:tcPr>
                  <w:tcW w:w="816" w:type="dxa"/>
                  <w:tcBorders>
                    <w:tl2br w:val="nil"/>
                    <w:tr2bl w:val="nil"/>
                  </w:tcBorders>
                  <w:noWrap w:val="0"/>
                  <w:vAlign w:val="center"/>
                </w:tcPr>
                <w:p w14:paraId="6A17AFEF">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bl>
          <w:p w14:paraId="1518BC58">
            <w:pPr>
              <w:keepNext w:val="0"/>
              <w:keepLines w:val="0"/>
              <w:suppressLineNumbers w:val="0"/>
              <w:spacing w:before="0" w:beforeAutospacing="0" w:after="0" w:afterAutospacing="0"/>
              <w:ind w:left="0" w:right="0"/>
              <w:rPr>
                <w:rFonts w:hint="default"/>
                <w:color w:val="000000" w:themeColor="text1"/>
                <w:lang w:val="en-US"/>
                <w14:textFill>
                  <w14:solidFill>
                    <w14:schemeClr w14:val="tx1"/>
                  </w14:solidFill>
                </w14:textFill>
              </w:rPr>
            </w:pPr>
          </w:p>
        </w:tc>
      </w:tr>
    </w:tbl>
    <w:p w14:paraId="4CC8D896">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794"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93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465"/>
      </w:tblGrid>
      <w:tr w14:paraId="25BE6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1" w:hRule="atLeast"/>
          <w:jc w:val="center"/>
        </w:trPr>
        <w:tc>
          <w:tcPr>
            <w:tcW w:w="900" w:type="dxa"/>
            <w:tcBorders>
              <w:tl2br w:val="nil"/>
              <w:tr2bl w:val="nil"/>
            </w:tcBorders>
            <w:noWrap w:val="0"/>
            <w:vAlign w:val="center"/>
          </w:tcPr>
          <w:p w14:paraId="49481024">
            <w:pPr>
              <w:keepNext w:val="0"/>
              <w:keepLines w:val="0"/>
              <w:suppressLineNumbers w:val="0"/>
              <w:spacing w:before="0" w:beforeAutospacing="0" w:after="0" w:afterAutospacing="0" w:line="240" w:lineRule="auto"/>
              <w:ind w:left="0" w:right="0"/>
              <w:jc w:val="center"/>
              <w:outlineLvl w:val="0"/>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其他符合性分析</w:t>
            </w:r>
          </w:p>
        </w:tc>
        <w:tc>
          <w:tcPr>
            <w:tcW w:w="8465" w:type="dxa"/>
            <w:tcBorders>
              <w:tl2br w:val="nil"/>
              <w:tr2bl w:val="nil"/>
            </w:tcBorders>
            <w:noWrap w:val="0"/>
            <w:vAlign w:val="center"/>
          </w:tcPr>
          <w:p w14:paraId="46C50D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eastAsia"/>
                <w:color w:val="000000" w:themeColor="text1"/>
                <w:kern w:val="0"/>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5.</w:t>
            </w:r>
            <w:r>
              <w:rPr>
                <w:rFonts w:hint="eastAsia" w:ascii="Times New Roman" w:hAnsi="Times New Roman"/>
                <w:b/>
                <w:bCs/>
                <w:color w:val="000000" w:themeColor="text1"/>
                <w:sz w:val="24"/>
                <w:szCs w:val="24"/>
                <w:highlight w:val="none"/>
                <w14:textFill>
                  <w14:solidFill>
                    <w14:schemeClr w14:val="tx1"/>
                  </w14:solidFill>
                </w14:textFill>
              </w:rPr>
              <w:t>“三线一单”相符性分析</w:t>
            </w:r>
          </w:p>
          <w:p w14:paraId="3350BC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根据《西安市人民政府关于印发</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生态环境分区管控方案的通知》（市政发〔2021〕22号），落实生态保护红线、环境质量底线、资源利用上线和生态环境准入清单（以下简称</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），建立健全生态环境分区管控体系。本项目与其符合性分析如下：</w:t>
            </w:r>
          </w:p>
          <w:p w14:paraId="68D064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一图：本项目位于陕西省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小区地下一层设备间，对照《西安市</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人民政府关于印发</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生态环境分区管控方案的通知》（市政发〔2021〕22号），本项目所在区域为重点管控单元，不涉及生态保护红线，项目与西安市生态环境管控单元对照分析图见图1-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p>
          <w:tbl>
            <w:tblPr>
              <w:tblStyle w:val="27"/>
              <w:tblW w:w="8251"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8251"/>
            </w:tblGrid>
            <w:tr w14:paraId="2DFA0A4C">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3096" w:hRule="atLeast"/>
                <w:jc w:val="center"/>
              </w:trPr>
              <w:tc>
                <w:tcPr>
                  <w:tcW w:w="8251" w:type="dxa"/>
                  <w:tcBorders>
                    <w:tl2br w:val="nil"/>
                    <w:tr2bl w:val="nil"/>
                  </w:tcBorders>
                  <w:vAlign w:val="top"/>
                </w:tcPr>
                <w:p w14:paraId="2C5DA03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kern w:val="0"/>
                      <w:sz w:val="21"/>
                      <w:szCs w:val="21"/>
                      <w:vertAlign w:val="baseline"/>
                      <w:lang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1351915</wp:posOffset>
                            </wp:positionH>
                            <wp:positionV relativeFrom="paragraph">
                              <wp:posOffset>2023110</wp:posOffset>
                            </wp:positionV>
                            <wp:extent cx="650875" cy="278130"/>
                            <wp:effectExtent l="6350" t="6350" r="638175" b="172720"/>
                            <wp:wrapNone/>
                            <wp:docPr id="21" name="矩形标注 21"/>
                            <wp:cNvGraphicFramePr/>
                            <a:graphic xmlns:a="http://schemas.openxmlformats.org/drawingml/2006/main">
                              <a:graphicData uri="http://schemas.microsoft.com/office/word/2010/wordprocessingShape">
                                <wps:wsp>
                                  <wps:cNvSpPr/>
                                  <wps:spPr>
                                    <a:xfrm>
                                      <a:off x="2086610" y="4666615"/>
                                      <a:ext cx="650875" cy="278130"/>
                                    </a:xfrm>
                                    <a:prstGeom prst="wedgeRectCallout">
                                      <a:avLst>
                                        <a:gd name="adj1" fmla="val 140146"/>
                                        <a:gd name="adj2" fmla="val 102511"/>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66A5C4F">
                                        <w:pPr>
                                          <w:jc w:val="center"/>
                                          <w:rPr>
                                            <w:rFonts w:hint="eastAsia" w:eastAsiaTheme="minorEastAsia"/>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6.45pt;margin-top:159.3pt;height:21.9pt;width:51.25pt;z-index:251660288;v-text-anchor:middle;mso-width-relative:page;mso-height-relative:page;" filled="f" stroked="t" coordsize="21600,21600" o:gfxdata="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BxPFz+3QAAAAsBAAAPAAAAAAAAAAEAIAAA&#10;ACIAAABkcnMvZG93bnJldi54bWxQSwECFAAUAAAACACHTuJA7JFatLICAABIBQAADgAAAAAAAAAB&#10;ACAAAAAsAQAAZHJzL2Uyb0RvYy54bWxQSwUGAAAAAAYABgBZAQAAUAYAAAAA&#10;" adj="41072,32942">
                            <v:fill on="f" focussize="0,0"/>
                            <v:stroke weight="1pt" color="#000000 [3213]" miterlimit="8" joinstyle="miter"/>
                            <v:imagedata o:title=""/>
                            <o:lock v:ext="edit" aspectratio="f"/>
                            <v:textbox>
                              <w:txbxContent>
                                <w:p w14:paraId="766A5C4F">
                                  <w:pPr>
                                    <w:jc w:val="center"/>
                                    <w:rPr>
                                      <w:rFonts w:hint="eastAsia" w:eastAsiaTheme="minorEastAsia"/>
                                      <w:b/>
                                      <w:bCs/>
                                      <w:color w:val="0000FF"/>
                                      <w:lang w:val="en-US" w:eastAsia="zh-CN"/>
                                    </w:rPr>
                                  </w:pPr>
                                  <w:r>
                                    <w:rPr>
                                      <w:rFonts w:hint="eastAsia"/>
                                      <w:b/>
                                      <w:bCs/>
                                      <w:color w:val="0000FF"/>
                                      <w:lang w:val="en-US" w:eastAsia="zh-CN"/>
                                    </w:rPr>
                                    <w:t>本项目</w:t>
                                  </w:r>
                                </w:p>
                              </w:txbxContent>
                            </v:textbox>
                          </v:shape>
                        </w:pict>
                      </mc:Fallback>
                    </mc:AlternateContent>
                  </w:r>
                  <w:r>
                    <w:rPr>
                      <w:color w:val="000000" w:themeColor="text1"/>
                      <w14:textFill>
                        <w14:solidFill>
                          <w14:schemeClr w14:val="tx1"/>
                        </w14:solidFill>
                      </w14:textFill>
                    </w:rPr>
                    <w:drawing>
                      <wp:inline distT="0" distB="0" distL="114300" distR="114300">
                        <wp:extent cx="5099050" cy="5684520"/>
                        <wp:effectExtent l="0" t="0" r="6350" b="1143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5099050" cy="5684520"/>
                                </a:xfrm>
                                <a:prstGeom prst="rect">
                                  <a:avLst/>
                                </a:prstGeom>
                                <a:noFill/>
                                <a:ln>
                                  <a:noFill/>
                                </a:ln>
                              </pic:spPr>
                            </pic:pic>
                          </a:graphicData>
                        </a:graphic>
                      </wp:inline>
                    </w:drawing>
                  </w:r>
                </w:p>
              </w:tc>
            </w:tr>
            <w:tr w14:paraId="75AE86AB">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449" w:hRule="atLeast"/>
                <w:jc w:val="center"/>
              </w:trPr>
              <w:tc>
                <w:tcPr>
                  <w:tcW w:w="8251" w:type="dxa"/>
                  <w:tcBorders>
                    <w:tl2br w:val="nil"/>
                    <w:tr2bl w:val="nil"/>
                  </w:tcBorders>
                  <w:vAlign w:val="center"/>
                </w:tcPr>
                <w:p w14:paraId="416D67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482" w:firstLineChars="200"/>
                    <w:jc w:val="both"/>
                    <w:textAlignment w:val="auto"/>
                    <w:rPr>
                      <w:rFonts w:hint="eastAsia"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图1-</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1</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cs="Times New Roman"/>
                      <w:b/>
                      <w:bCs/>
                      <w:color w:val="000000" w:themeColor="text1"/>
                      <w:kern w:val="0"/>
                      <w:sz w:val="24"/>
                      <w:szCs w:val="24"/>
                      <w:highlight w:val="none"/>
                      <w:lang w:val="en-US" w:eastAsia="zh-CN"/>
                      <w14:textFill>
                        <w14:solidFill>
                          <w14:schemeClr w14:val="tx1"/>
                        </w14:solidFill>
                      </w14:textFill>
                    </w:rPr>
                    <w:t>本</w:t>
                  </w:r>
                  <w:r>
                    <w:rPr>
                      <w:rFonts w:hint="eastAsia"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项目与陕西省生态环境管控单元对照分析示意图</w:t>
                  </w:r>
                </w:p>
              </w:tc>
            </w:tr>
          </w:tbl>
          <w:p w14:paraId="3D3F819B">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both"/>
              <w:textAlignment w:val="auto"/>
              <w:rPr>
                <w:rFonts w:eastAsia="黑体"/>
                <w:color w:val="000000" w:themeColor="text1"/>
                <w:sz w:val="30"/>
                <w:vertAlign w:val="baseline"/>
                <w14:textFill>
                  <w14:solidFill>
                    <w14:schemeClr w14:val="tx1"/>
                  </w14:solidFill>
                </w14:textFill>
              </w:rPr>
            </w:pPr>
          </w:p>
        </w:tc>
      </w:tr>
    </w:tbl>
    <w:p w14:paraId="4824D7CE">
      <w:pPr>
        <w:bidi w:val="0"/>
        <w:rPr>
          <w:rFonts w:hint="default"/>
          <w:color w:val="000000" w:themeColor="text1"/>
          <w:lang w:val="en-US" w:eastAsia="zh-CN"/>
          <w14:textFill>
            <w14:solidFill>
              <w14:schemeClr w14:val="tx1"/>
            </w14:solidFill>
          </w14:textFill>
        </w:rPr>
        <w:sectPr>
          <w:pgSz w:w="11906" w:h="16838"/>
          <w:pgMar w:top="1157" w:right="1803" w:bottom="1157" w:left="1803" w:header="850" w:footer="1020"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1325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2307"/>
      </w:tblGrid>
      <w:tr w14:paraId="6B653C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1" w:hRule="atLeast"/>
          <w:jc w:val="center"/>
        </w:trPr>
        <w:tc>
          <w:tcPr>
            <w:tcW w:w="949" w:type="dxa"/>
            <w:tcBorders>
              <w:tl2br w:val="nil"/>
              <w:tr2bl w:val="nil"/>
            </w:tcBorders>
            <w:noWrap w:val="0"/>
            <w:vAlign w:val="center"/>
          </w:tcPr>
          <w:p w14:paraId="2A894380">
            <w:pPr>
              <w:keepNext w:val="0"/>
              <w:keepLines w:val="0"/>
              <w:suppressLineNumbers w:val="0"/>
              <w:spacing w:before="0" w:beforeAutospacing="0" w:after="0" w:afterAutospacing="0" w:line="240" w:lineRule="auto"/>
              <w:ind w:left="0" w:right="0"/>
              <w:jc w:val="center"/>
              <w:outlineLvl w:val="0"/>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其他符合性分析</w:t>
            </w:r>
          </w:p>
        </w:tc>
        <w:tc>
          <w:tcPr>
            <w:tcW w:w="12307" w:type="dxa"/>
            <w:tcBorders>
              <w:tl2br w:val="nil"/>
              <w:tr2bl w:val="nil"/>
            </w:tcBorders>
            <w:noWrap w:val="0"/>
            <w:vAlign w:val="center"/>
          </w:tcPr>
          <w:p w14:paraId="55742104">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Times New Roman"/>
                <w:color w:val="000000" w:themeColor="text1"/>
                <w:spacing w:val="0"/>
                <w:kern w:val="0"/>
                <w:sz w:val="24"/>
                <w:szCs w:val="24"/>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2998470</wp:posOffset>
                      </wp:positionH>
                      <wp:positionV relativeFrom="paragraph">
                        <wp:posOffset>1900555</wp:posOffset>
                      </wp:positionV>
                      <wp:extent cx="224155" cy="224790"/>
                      <wp:effectExtent l="0" t="0" r="0" b="0"/>
                      <wp:wrapNone/>
                      <wp:docPr id="24" name="文本框 24"/>
                      <wp:cNvGraphicFramePr/>
                      <a:graphic xmlns:a="http://schemas.openxmlformats.org/drawingml/2006/main">
                        <a:graphicData uri="http://schemas.microsoft.com/office/word/2010/wordprocessingShape">
                          <wps:wsp>
                            <wps:cNvSpPr txBox="1"/>
                            <wps:spPr>
                              <a:xfrm>
                                <a:off x="1898015" y="1596390"/>
                                <a:ext cx="224155" cy="224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9111D">
                                  <w:pPr>
                                    <w:rPr>
                                      <w:color w:val="FFFF00"/>
                                      <w:sz w:val="11"/>
                                      <w:szCs w:val="15"/>
                                    </w:rPr>
                                  </w:pPr>
                                  <w:r>
                                    <w:rPr>
                                      <w:rFonts w:hint="eastAsia"/>
                                      <w:b/>
                                      <w:bCs/>
                                      <w:color w:val="FFFF00"/>
                                      <w:sz w:val="11"/>
                                      <w:szCs w:val="15"/>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1pt;margin-top:149.65pt;height:17.7pt;width:17.65pt;z-index:251662336;mso-width-relative:page;mso-height-relative:page;" filled="f" stroked="f" coordsize="21600,21600" o:gfxdata="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qJypQ3QAAAAsBAAAPAAAAAAAA&#10;AAEAIAAAACIAAABkcnMvZG93bnJldi54bWxQSwECFAAUAAAACACHTuJArlGcdUYCAABzBAAADgAA&#10;AAAAAAABACAAAAAsAQAAZHJzL2Uyb0RvYy54bWxQSwUGAAAAAAYABgBZAQAA5AUAAAAA&#10;">
                      <v:fill on="f" focussize="0,0"/>
                      <v:stroke on="f" weight="0.5pt"/>
                      <v:imagedata o:title=""/>
                      <o:lock v:ext="edit" aspectratio="f"/>
                      <v:textbox>
                        <w:txbxContent>
                          <w:p w14:paraId="09A9111D">
                            <w:pPr>
                              <w:rPr>
                                <w:color w:val="FFFF00"/>
                                <w:sz w:val="11"/>
                                <w:szCs w:val="15"/>
                              </w:rPr>
                            </w:pPr>
                            <w:r>
                              <w:rPr>
                                <w:rFonts w:hint="eastAsia"/>
                                <w:b/>
                                <w:bCs/>
                                <w:color w:val="FFFF00"/>
                                <w:sz w:val="11"/>
                                <w:szCs w:val="15"/>
                                <w:lang w:val="en-US" w:eastAsia="zh-CN"/>
                              </w:rPr>
                              <w:t>●</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1801495</wp:posOffset>
                      </wp:positionH>
                      <wp:positionV relativeFrom="paragraph">
                        <wp:posOffset>1559560</wp:posOffset>
                      </wp:positionV>
                      <wp:extent cx="650875" cy="278130"/>
                      <wp:effectExtent l="6350" t="6350" r="657225" b="210820"/>
                      <wp:wrapNone/>
                      <wp:docPr id="22" name="矩形标注 22"/>
                      <wp:cNvGraphicFramePr/>
                      <a:graphic xmlns:a="http://schemas.openxmlformats.org/drawingml/2006/main">
                        <a:graphicData uri="http://schemas.microsoft.com/office/word/2010/wordprocessingShape">
                          <wps:wsp>
                            <wps:cNvSpPr/>
                            <wps:spPr>
                              <a:xfrm>
                                <a:off x="0" y="0"/>
                                <a:ext cx="650875" cy="278130"/>
                              </a:xfrm>
                              <a:prstGeom prst="wedgeRectCallout">
                                <a:avLst>
                                  <a:gd name="adj1" fmla="val 142585"/>
                                  <a:gd name="adj2" fmla="val 116894"/>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45C574">
                                  <w:pPr>
                                    <w:jc w:val="center"/>
                                    <w:rPr>
                                      <w:rFonts w:hint="eastAsia" w:eastAsiaTheme="minorEastAsia"/>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41.85pt;margin-top:122.8pt;height:21.9pt;width:51.25pt;z-index:251661312;v-text-anchor:middle;mso-width-relative:page;mso-height-relative:page;" filled="f" stroked="t" coordsize="21600,21600" o:gfxdata="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fi4H32QAAAAsBAAAPAAAAAAAAAAEAIAAAACIAAABkcnMvZG93bnJl&#10;di54bWxQSwECFAAUAAAACACHTuJACiV5j6cCAAA8BQAADgAAAAAAAAABACAAAAAoAQAAZHJzL2Uy&#10;b0RvYy54bWxQSwUGAAAAAAYABgBZAQAAQQYAAAAA&#10;" adj="41598,36049">
                      <v:fill on="f" focussize="0,0"/>
                      <v:stroke weight="1pt" color="#000000 [3213]" miterlimit="8" joinstyle="miter"/>
                      <v:imagedata o:title=""/>
                      <o:lock v:ext="edit" aspectratio="f"/>
                      <v:textbox>
                        <w:txbxContent>
                          <w:p w14:paraId="4A45C574">
                            <w:pPr>
                              <w:jc w:val="center"/>
                              <w:rPr>
                                <w:rFonts w:hint="eastAsia" w:eastAsiaTheme="minorEastAsia"/>
                                <w:b/>
                                <w:bCs/>
                                <w:color w:val="0000FF"/>
                                <w:lang w:val="en-US" w:eastAsia="zh-CN"/>
                              </w:rPr>
                            </w:pPr>
                            <w:r>
                              <w:rPr>
                                <w:rFonts w:hint="eastAsia"/>
                                <w:b/>
                                <w:bCs/>
                                <w:color w:val="0000FF"/>
                                <w:lang w:val="en-US" w:eastAsia="zh-CN"/>
                              </w:rPr>
                              <w:t>本项目</w:t>
                            </w:r>
                          </w:p>
                        </w:txbxContent>
                      </v:textbox>
                    </v:shape>
                  </w:pict>
                </mc:Fallback>
              </mc:AlternateContent>
            </w:r>
            <w:r>
              <w:rPr>
                <w:rFonts w:hint="eastAsia" w:ascii="Times New Roman" w:hAnsi="Times New Roman" w:eastAsia="宋体" w:cs="Times New Roman"/>
                <w:color w:val="000000" w:themeColor="text1"/>
                <w:spacing w:val="0"/>
                <w:kern w:val="0"/>
                <w:sz w:val="24"/>
                <w:szCs w:val="24"/>
                <w:lang w:val="en-US" w:eastAsia="zh-CN"/>
                <w14:textFill>
                  <w14:solidFill>
                    <w14:schemeClr w14:val="tx1"/>
                  </w14:solidFill>
                </w14:textFill>
              </w:rPr>
              <w:drawing>
                <wp:inline distT="0" distB="0" distL="114300" distR="114300">
                  <wp:extent cx="7719060" cy="5099685"/>
                  <wp:effectExtent l="0" t="0" r="15240" b="5715"/>
                  <wp:docPr id="18"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图片"/>
                          <pic:cNvPicPr>
                            <a:picLocks noChangeAspect="1"/>
                          </pic:cNvPicPr>
                        </pic:nvPicPr>
                        <pic:blipFill>
                          <a:blip r:embed="rId6"/>
                          <a:stretch>
                            <a:fillRect/>
                          </a:stretch>
                        </pic:blipFill>
                        <pic:spPr>
                          <a:xfrm>
                            <a:off x="0" y="0"/>
                            <a:ext cx="7719060" cy="5099685"/>
                          </a:xfrm>
                          <a:prstGeom prst="rect">
                            <a:avLst/>
                          </a:prstGeom>
                          <a:noFill/>
                          <a:ln>
                            <a:noFill/>
                          </a:ln>
                        </pic:spPr>
                      </pic:pic>
                    </a:graphicData>
                  </a:graphic>
                </wp:inline>
              </w:drawing>
            </w:r>
          </w:p>
          <w:p w14:paraId="697F5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eastAsia="黑体"/>
                <w:color w:val="000000" w:themeColor="text1"/>
                <w:sz w:val="30"/>
                <w:vertAlign w:val="baseline"/>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图1-</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cs="Times New Roman"/>
                <w:b/>
                <w:bCs/>
                <w:color w:val="000000" w:themeColor="text1"/>
                <w:kern w:val="0"/>
                <w:sz w:val="24"/>
                <w:szCs w:val="24"/>
                <w:lang w:val="en-US" w:eastAsia="zh-CN" w:bidi="ar"/>
                <w14:textFill>
                  <w14:solidFill>
                    <w14:schemeClr w14:val="tx1"/>
                  </w14:solidFill>
                </w14:textFill>
              </w:rPr>
              <w:t>本</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项目与西安市生态环境管控单元对照分</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析示意图</w:t>
            </w:r>
          </w:p>
        </w:tc>
      </w:tr>
    </w:tbl>
    <w:p w14:paraId="6A37BC11">
      <w:pPr>
        <w:bidi w:val="0"/>
        <w:rPr>
          <w:rFonts w:hint="default"/>
          <w:color w:val="000000" w:themeColor="text1"/>
          <w:lang w:val="en-US" w:eastAsia="zh-CN"/>
          <w14:textFill>
            <w14:solidFill>
              <w14:schemeClr w14:val="tx1"/>
            </w14:solidFill>
          </w14:textFill>
        </w:rPr>
        <w:sectPr>
          <w:pgSz w:w="16838" w:h="11906" w:orient="landscape"/>
          <w:pgMar w:top="1440" w:right="1803" w:bottom="1440" w:left="1803" w:header="850" w:footer="1020"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147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4168"/>
      </w:tblGrid>
      <w:tr w14:paraId="529095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8" w:hRule="atLeast"/>
          <w:jc w:val="center"/>
        </w:trPr>
        <w:tc>
          <w:tcPr>
            <w:tcW w:w="572" w:type="dxa"/>
            <w:tcBorders>
              <w:tl2br w:val="nil"/>
              <w:tr2bl w:val="nil"/>
            </w:tcBorders>
            <w:noWrap w:val="0"/>
            <w:vAlign w:val="center"/>
          </w:tcPr>
          <w:p w14:paraId="461BF0EC">
            <w:pPr>
              <w:pStyle w:val="2"/>
              <w:suppressLineNumbers w:val="0"/>
              <w:spacing w:before="0" w:beforeAutospacing="0" w:afterAutospacing="0"/>
              <w:ind w:left="0" w:right="0"/>
              <w:rPr>
                <w:b/>
                <w:bCs/>
                <w:color w:val="000000" w:themeColor="text1"/>
                <w:sz w:val="22"/>
                <w:szCs w:val="22"/>
                <w:highlight w:val="none"/>
                <w14:textFill>
                  <w14:solidFill>
                    <w14:schemeClr w14:val="tx1"/>
                  </w14:solidFill>
                </w14:textFill>
              </w:rPr>
            </w:pPr>
          </w:p>
          <w:p w14:paraId="073C87E4">
            <w:pPr>
              <w:pStyle w:val="2"/>
              <w:suppressLineNumbers w:val="0"/>
              <w:spacing w:before="0" w:beforeAutospacing="0" w:afterAutospacing="0"/>
              <w:ind w:left="0" w:right="0"/>
              <w:rPr>
                <w:b/>
                <w:bCs/>
                <w:color w:val="000000" w:themeColor="text1"/>
                <w:sz w:val="22"/>
                <w:szCs w:val="22"/>
                <w:highlight w:val="none"/>
                <w14:textFill>
                  <w14:solidFill>
                    <w14:schemeClr w14:val="tx1"/>
                  </w14:solidFill>
                </w14:textFill>
              </w:rPr>
            </w:pPr>
          </w:p>
          <w:p w14:paraId="617C218D">
            <w:pPr>
              <w:pStyle w:val="2"/>
              <w:suppressLineNumbers w:val="0"/>
              <w:spacing w:before="0" w:beforeAutospacing="0" w:afterAutospacing="0" w:line="240" w:lineRule="auto"/>
              <w:ind w:left="0" w:right="0"/>
              <w:jc w:val="center"/>
              <w:rPr>
                <w:b/>
                <w:bCs/>
                <w:color w:val="000000" w:themeColor="text1"/>
                <w:sz w:val="22"/>
                <w:szCs w:val="22"/>
                <w:highlight w:val="none"/>
                <w14:textFill>
                  <w14:solidFill>
                    <w14:schemeClr w14:val="tx1"/>
                  </w14:solidFill>
                </w14:textFill>
              </w:rPr>
            </w:pPr>
            <w:r>
              <w:rPr>
                <w:b/>
                <w:bCs/>
                <w:color w:val="000000" w:themeColor="text1"/>
                <w:sz w:val="22"/>
                <w:szCs w:val="22"/>
                <w:highlight w:val="none"/>
                <w14:textFill>
                  <w14:solidFill>
                    <w14:schemeClr w14:val="tx1"/>
                  </w14:solidFill>
                </w14:textFill>
              </w:rPr>
              <w:t>其</w:t>
            </w:r>
            <w:r>
              <w:rPr>
                <w:rFonts w:hint="eastAsia" w:asciiTheme="minorHAnsi" w:hAnsiTheme="minorHAnsi" w:eastAsiaTheme="minorEastAsia" w:cstheme="minorBidi"/>
                <w:b/>
                <w:bCs/>
                <w:snapToGrid/>
                <w:color w:val="000000" w:themeColor="text1"/>
                <w:spacing w:val="0"/>
                <w:kern w:val="2"/>
                <w:sz w:val="22"/>
                <w:szCs w:val="22"/>
                <w:highlight w:val="none"/>
                <w:lang w:val="en-US" w:eastAsia="zh-CN" w:bidi="ar-SA"/>
                <w14:textFill>
                  <w14:solidFill>
                    <w14:schemeClr w14:val="tx1"/>
                  </w14:solidFill>
                </w14:textFill>
              </w:rPr>
              <w:t>其</w:t>
            </w:r>
            <w:r>
              <w:rPr>
                <w:rFonts w:asciiTheme="minorHAnsi" w:hAnsiTheme="minorHAnsi" w:eastAsiaTheme="minorEastAsia" w:cstheme="minorBidi"/>
                <w:b/>
                <w:bCs/>
                <w:snapToGrid/>
                <w:color w:val="000000" w:themeColor="text1"/>
                <w:spacing w:val="0"/>
                <w:kern w:val="2"/>
                <w:sz w:val="22"/>
                <w:szCs w:val="22"/>
                <w:highlight w:val="none"/>
                <w:lang w:val="en-US" w:eastAsia="zh-CN" w:bidi="ar-SA"/>
                <w14:textFill>
                  <w14:solidFill>
                    <w14:schemeClr w14:val="tx1"/>
                  </w14:solidFill>
                </w14:textFill>
              </w:rPr>
              <w:t>他符合性分析</w:t>
            </w:r>
          </w:p>
          <w:p w14:paraId="70ACA1B7">
            <w:pPr>
              <w:pStyle w:val="2"/>
              <w:suppressLineNumbers w:val="0"/>
              <w:spacing w:before="0" w:beforeAutospacing="0" w:afterAutospacing="0" w:line="240" w:lineRule="auto"/>
              <w:ind w:left="0" w:right="0"/>
              <w:jc w:val="center"/>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w:t>
            </w:r>
          </w:p>
        </w:tc>
        <w:tc>
          <w:tcPr>
            <w:tcW w:w="14168" w:type="dxa"/>
            <w:tcBorders>
              <w:tl2br w:val="nil"/>
              <w:tr2bl w:val="nil"/>
            </w:tcBorders>
            <w:noWrap w:val="0"/>
            <w:vAlign w:val="center"/>
          </w:tcPr>
          <w:p w14:paraId="246E7B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一表：对照《西安市人民政府关于印发“三线一单”生态环境分区管控方案的通知》中“西安市生态环境分区管控准入清单”中的重点管控单元要求，符合性分析一览表详见表</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p>
          <w:p w14:paraId="2BEB66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32"/>
                <w:lang w:val="en-US" w:eastAsia="zh-CN" w:bidi="ar-SA"/>
                <w14:textFill>
                  <w14:solidFill>
                    <w14:schemeClr w14:val="tx1"/>
                  </w14:solidFill>
                </w14:textFill>
              </w:rPr>
              <w:t>表1-3  建设项目范围涉及的生态环境管控单元准入清单符合性分析</w:t>
            </w:r>
          </w:p>
          <w:tbl>
            <w:tblPr>
              <w:tblStyle w:val="27"/>
              <w:tblW w:w="136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9"/>
              <w:gridCol w:w="422"/>
              <w:gridCol w:w="502"/>
              <w:gridCol w:w="1076"/>
              <w:gridCol w:w="1200"/>
              <w:gridCol w:w="917"/>
              <w:gridCol w:w="3624"/>
              <w:gridCol w:w="950"/>
              <w:gridCol w:w="4244"/>
            </w:tblGrid>
            <w:tr w14:paraId="03ECE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5" w:type="pct"/>
                  <w:tcBorders>
                    <w:tl2br w:val="nil"/>
                    <w:tr2bl w:val="nil"/>
                  </w:tcBorders>
                  <w:noWrap w:val="0"/>
                  <w:vAlign w:val="center"/>
                </w:tcPr>
                <w:p w14:paraId="0F3991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序号</w:t>
                  </w:r>
                </w:p>
              </w:tc>
              <w:tc>
                <w:tcPr>
                  <w:tcW w:w="155" w:type="pct"/>
                  <w:tcBorders>
                    <w:tl2br w:val="nil"/>
                    <w:tr2bl w:val="nil"/>
                  </w:tcBorders>
                  <w:noWrap w:val="0"/>
                  <w:vAlign w:val="center"/>
                </w:tcPr>
                <w:p w14:paraId="7461E6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市</w:t>
                  </w:r>
                </w:p>
              </w:tc>
              <w:tc>
                <w:tcPr>
                  <w:tcW w:w="184" w:type="pct"/>
                  <w:tcBorders>
                    <w:tl2br w:val="nil"/>
                    <w:tr2bl w:val="nil"/>
                  </w:tcBorders>
                  <w:noWrap w:val="0"/>
                  <w:vAlign w:val="center"/>
                </w:tcPr>
                <w:p w14:paraId="1EC73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区县</w:t>
                  </w:r>
                </w:p>
              </w:tc>
              <w:tc>
                <w:tcPr>
                  <w:tcW w:w="395" w:type="pct"/>
                  <w:tcBorders>
                    <w:tl2br w:val="nil"/>
                    <w:tr2bl w:val="nil"/>
                  </w:tcBorders>
                  <w:noWrap w:val="0"/>
                  <w:vAlign w:val="center"/>
                </w:tcPr>
                <w:p w14:paraId="2F77DB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环境管控单元名称</w:t>
                  </w:r>
                </w:p>
              </w:tc>
              <w:tc>
                <w:tcPr>
                  <w:tcW w:w="441" w:type="pct"/>
                  <w:tcBorders>
                    <w:tl2br w:val="nil"/>
                    <w:tr2bl w:val="nil"/>
                  </w:tcBorders>
                  <w:noWrap w:val="0"/>
                  <w:vAlign w:val="center"/>
                </w:tcPr>
                <w:p w14:paraId="5C89B6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单元要素属性</w:t>
                  </w:r>
                </w:p>
              </w:tc>
              <w:tc>
                <w:tcPr>
                  <w:tcW w:w="337" w:type="pct"/>
                  <w:tcBorders>
                    <w:tl2br w:val="nil"/>
                    <w:tr2bl w:val="nil"/>
                  </w:tcBorders>
                  <w:noWrap w:val="0"/>
                  <w:vAlign w:val="center"/>
                </w:tcPr>
                <w:p w14:paraId="29A79A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管控要求分类</w:t>
                  </w:r>
                </w:p>
              </w:tc>
              <w:tc>
                <w:tcPr>
                  <w:tcW w:w="1331" w:type="pct"/>
                  <w:tcBorders>
                    <w:tl2br w:val="nil"/>
                    <w:tr2bl w:val="nil"/>
                  </w:tcBorders>
                  <w:noWrap w:val="0"/>
                  <w:vAlign w:val="center"/>
                </w:tcPr>
                <w:p w14:paraId="5B2136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w:t>
                  </w:r>
                </w:p>
              </w:tc>
              <w:tc>
                <w:tcPr>
                  <w:tcW w:w="349" w:type="pct"/>
                  <w:tcBorders>
                    <w:tl2br w:val="nil"/>
                    <w:tr2bl w:val="nil"/>
                  </w:tcBorders>
                  <w:noWrap w:val="0"/>
                  <w:vAlign w:val="center"/>
                </w:tcPr>
                <w:p w14:paraId="6AB1F7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面积</w:t>
                  </w:r>
                </w:p>
              </w:tc>
              <w:tc>
                <w:tcPr>
                  <w:tcW w:w="1559" w:type="pct"/>
                  <w:tcBorders>
                    <w:tl2br w:val="nil"/>
                    <w:tr2bl w:val="nil"/>
                  </w:tcBorders>
                  <w:noWrap w:val="0"/>
                  <w:vAlign w:val="center"/>
                </w:tcPr>
                <w:p w14:paraId="2DECC4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符合性</w:t>
                  </w:r>
                </w:p>
              </w:tc>
            </w:tr>
            <w:tr w14:paraId="69CC4A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245" w:type="pct"/>
                  <w:vMerge w:val="restart"/>
                  <w:tcBorders>
                    <w:tl2br w:val="nil"/>
                    <w:tr2bl w:val="nil"/>
                  </w:tcBorders>
                  <w:noWrap w:val="0"/>
                  <w:vAlign w:val="center"/>
                </w:tcPr>
                <w:p w14:paraId="2AC45AE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55" w:type="pct"/>
                  <w:vMerge w:val="restart"/>
                  <w:tcBorders>
                    <w:tl2br w:val="nil"/>
                    <w:tr2bl w:val="nil"/>
                  </w:tcBorders>
                  <w:noWrap w:val="0"/>
                  <w:vAlign w:val="center"/>
                </w:tcPr>
                <w:p w14:paraId="2C266D0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西安市</w:t>
                  </w:r>
                </w:p>
              </w:tc>
              <w:tc>
                <w:tcPr>
                  <w:tcW w:w="184" w:type="pct"/>
                  <w:vMerge w:val="restart"/>
                  <w:tcBorders>
                    <w:tl2br w:val="nil"/>
                    <w:tr2bl w:val="nil"/>
                  </w:tcBorders>
                  <w:noWrap w:val="0"/>
                  <w:vAlign w:val="center"/>
                </w:tcPr>
                <w:p w14:paraId="0E03A5B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未央</w:t>
                  </w:r>
                  <w:r>
                    <w:rPr>
                      <w:rFonts w:hint="default" w:ascii="Times New Roman" w:hAnsi="Times New Roman" w:cs="Times New Roman"/>
                      <w:color w:val="000000" w:themeColor="text1"/>
                      <w:lang w:val="en-US" w:eastAsia="zh-CN"/>
                      <w14:textFill>
                        <w14:solidFill>
                          <w14:schemeClr w14:val="tx1"/>
                        </w14:solidFill>
                      </w14:textFill>
                    </w:rPr>
                    <w:t>区</w:t>
                  </w:r>
                </w:p>
              </w:tc>
              <w:tc>
                <w:tcPr>
                  <w:tcW w:w="395" w:type="pct"/>
                  <w:vMerge w:val="restart"/>
                  <w:tcBorders>
                    <w:tl2br w:val="nil"/>
                    <w:tr2bl w:val="nil"/>
                  </w:tcBorders>
                  <w:noWrap w:val="0"/>
                  <w:vAlign w:val="center"/>
                </w:tcPr>
                <w:p w14:paraId="5F53A59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陕西省西安市未央</w:t>
                  </w:r>
                  <w:r>
                    <w:rPr>
                      <w:rFonts w:hint="default" w:ascii="Times New Roman" w:hAnsi="Times New Roman" w:cs="Times New Roman"/>
                      <w:color w:val="000000" w:themeColor="text1"/>
                      <w:lang w:val="en-US" w:eastAsia="zh-CN"/>
                      <w14:textFill>
                        <w14:solidFill>
                          <w14:schemeClr w14:val="tx1"/>
                        </w14:solidFill>
                      </w14:textFill>
                    </w:rPr>
                    <w:t>区重点管控单元</w:t>
                  </w:r>
                  <w:r>
                    <w:rPr>
                      <w:rFonts w:hint="eastAsia" w:ascii="Times New Roman" w:hAnsi="Times New Roman" w:cs="Times New Roman"/>
                      <w:color w:val="000000" w:themeColor="text1"/>
                      <w:lang w:val="en-US" w:eastAsia="zh-CN"/>
                      <w14:textFill>
                        <w14:solidFill>
                          <w14:schemeClr w14:val="tx1"/>
                        </w14:solidFill>
                      </w14:textFill>
                    </w:rPr>
                    <w:t>2</w:t>
                  </w:r>
                </w:p>
              </w:tc>
              <w:tc>
                <w:tcPr>
                  <w:tcW w:w="441" w:type="pct"/>
                  <w:tcBorders>
                    <w:tl2br w:val="nil"/>
                    <w:tr2bl w:val="nil"/>
                  </w:tcBorders>
                  <w:noWrap w:val="0"/>
                  <w:vAlign w:val="center"/>
                </w:tcPr>
                <w:p w14:paraId="48B8C5E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大气环境布局敏感重点管控区、水环境城镇生活污染重点管控区、高污染燃料禁燃区</w:t>
                  </w:r>
                </w:p>
              </w:tc>
              <w:tc>
                <w:tcPr>
                  <w:tcW w:w="337" w:type="pct"/>
                  <w:tcBorders>
                    <w:tl2br w:val="nil"/>
                    <w:tr2bl w:val="nil"/>
                  </w:tcBorders>
                  <w:noWrap w:val="0"/>
                  <w:vAlign w:val="center"/>
                </w:tcPr>
                <w:p w14:paraId="1A650AF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空间约束要求</w:t>
                  </w:r>
                </w:p>
              </w:tc>
              <w:tc>
                <w:tcPr>
                  <w:tcW w:w="1331" w:type="pct"/>
                  <w:tcBorders>
                    <w:tl2br w:val="nil"/>
                    <w:tr2bl w:val="nil"/>
                  </w:tcBorders>
                  <w:noWrap w:val="0"/>
                  <w:vAlign w:val="center"/>
                </w:tcPr>
                <w:p w14:paraId="660309A2">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7E6E972F">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严格控制新增《陕西省</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两高</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项目管理暂行目录》行业项目</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民生等项目除外，后续对</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两高</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范围国家如有新规定的，从其规定</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p>
                <w:p w14:paraId="533FA180">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2.严禁新增钢铁、焦化、水泥熟料、平板玻璃、电解铝、氧化铝、煤化工产能。</w:t>
                  </w:r>
                </w:p>
                <w:p w14:paraId="5907E760">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3.推动重污染企业搬迁入园或依法关闭。</w:t>
                  </w:r>
                </w:p>
                <w:p w14:paraId="143FDFC1">
                  <w:pPr>
                    <w:keepNext w:val="0"/>
                    <w:keepLines w:val="0"/>
                    <w:numPr>
                      <w:ilvl w:val="0"/>
                      <w:numId w:val="0"/>
                    </w:numPr>
                    <w:suppressLineNumbers w:val="0"/>
                    <w:spacing w:before="0" w:beforeAutospacing="0" w:after="0" w:afterAutospacing="0" w:line="240" w:lineRule="auto"/>
                    <w:ind w:left="0" w:right="0" w:rightChars="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58DF35D6">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1.持续推进城中村、老旧城区、城乡结合部污水截流、收集和城市雨污管道新建、改建。</w:t>
                  </w:r>
                </w:p>
              </w:tc>
              <w:tc>
                <w:tcPr>
                  <w:tcW w:w="349" w:type="pct"/>
                  <w:vMerge w:val="restart"/>
                  <w:tcBorders>
                    <w:tl2br w:val="nil"/>
                    <w:tr2bl w:val="nil"/>
                  </w:tcBorders>
                  <w:noWrap w:val="0"/>
                  <w:vAlign w:val="center"/>
                </w:tcPr>
                <w:p w14:paraId="38CA2BE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5850.73m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559" w:type="pct"/>
                  <w:tcBorders>
                    <w:tl2br w:val="nil"/>
                    <w:tr2bl w:val="nil"/>
                  </w:tcBorders>
                  <w:noWrap w:val="0"/>
                  <w:vAlign w:val="center"/>
                </w:tcPr>
                <w:p w14:paraId="0ADF6808">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0809DC4A">
                  <w:pPr>
                    <w:keepNext w:val="0"/>
                    <w:keepLines w:val="0"/>
                    <w:suppressLineNumbers w:val="0"/>
                    <w:spacing w:before="0" w:beforeAutospacing="0" w:after="0" w:afterAutospacing="0"/>
                    <w:ind w:left="0" w:right="0" w:firstLine="210"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1.本项目使用燃料为天然气，本项目</w:t>
                  </w:r>
                  <w:r>
                    <w:rPr>
                      <w:rFonts w:hint="default" w:ascii="Times New Roman" w:hAnsi="Times New Roman" w:cs="Times New Roman"/>
                      <w:color w:val="000000" w:themeColor="text1"/>
                      <w:lang w:val="en-US" w:eastAsia="zh-CN"/>
                      <w14:textFill>
                        <w14:solidFill>
                          <w14:schemeClr w14:val="tx1"/>
                        </w14:solidFill>
                      </w14:textFill>
                    </w:rPr>
                    <w:t>热力生产和供应工程</w:t>
                  </w:r>
                  <w:r>
                    <w:rPr>
                      <w:rFonts w:hint="eastAsia" w:ascii="Times New Roman" w:hAnsi="Times New Roman" w:cs="Times New Roman"/>
                      <w:color w:val="000000" w:themeColor="text1"/>
                      <w:lang w:val="en-US" w:eastAsia="zh-CN"/>
                      <w14:textFill>
                        <w14:solidFill>
                          <w14:schemeClr w14:val="tx1"/>
                        </w14:solidFill>
                      </w14:textFill>
                    </w:rPr>
                    <w:t>，年使用天然气72万m</w:t>
                  </w:r>
                  <w:r>
                    <w:rPr>
                      <w:rFonts w:hint="eastAsia" w:ascii="Times New Roman" w:hAnsi="Times New Roman" w:cs="Times New Roman"/>
                      <w:color w:val="000000" w:themeColor="text1"/>
                      <w:vertAlign w:val="superscript"/>
                      <w:lang w:val="en-US" w:eastAsia="zh-CN"/>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，折标煤系数取1.2143kgce/m</w:t>
                  </w:r>
                  <w:r>
                    <w:rPr>
                      <w:rFonts w:hint="eastAsia" w:ascii="Times New Roman" w:hAnsi="Times New Roman" w:cs="Times New Roman"/>
                      <w:color w:val="000000" w:themeColor="text1"/>
                      <w:vertAlign w:val="superscript"/>
                      <w:lang w:val="en-US" w:eastAsia="zh-CN"/>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，则其折标量为874.296tce，该数值小于5万吨标准煤。</w:t>
                  </w:r>
                </w:p>
                <w:p w14:paraId="20DFB41E">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故本项目可不按照“两高”项目实行动态清单管理。</w:t>
                  </w:r>
                </w:p>
                <w:p w14:paraId="24287A4F">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w:t>
                  </w:r>
                  <w:r>
                    <w:rPr>
                      <w:rFonts w:hint="eastAsia" w:ascii="Times New Roman" w:hAnsi="Times New Roman" w:cs="Times New Roman"/>
                      <w:color w:val="000000" w:themeColor="text1"/>
                      <w:sz w:val="21"/>
                      <w:szCs w:val="2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钢铁、焦化</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水泥熟料、平板玻璃、电解铝、氧化铝、煤化工</w:t>
                  </w:r>
                  <w:r>
                    <w:rPr>
                      <w:rFonts w:hint="eastAsia" w:ascii="Times New Roman" w:hAnsi="Times New Roman" w:cs="Times New Roman"/>
                      <w:color w:val="000000" w:themeColor="text1"/>
                      <w:lang w:val="en-US" w:eastAsia="zh-CN"/>
                      <w14:textFill>
                        <w14:solidFill>
                          <w14:schemeClr w14:val="tx1"/>
                        </w14:solidFill>
                      </w14:textFill>
                    </w:rPr>
                    <w:t>行业等</w:t>
                  </w:r>
                  <w:r>
                    <w:rPr>
                      <w:rFonts w:hint="default" w:ascii="Times New Roman" w:hAnsi="Times New Roman" w:cs="Times New Roman"/>
                      <w:color w:val="000000" w:themeColor="text1"/>
                      <w:lang w:val="en-US" w:eastAsia="zh-CN"/>
                      <w14:textFill>
                        <w14:solidFill>
                          <w14:schemeClr w14:val="tx1"/>
                        </w14:solidFill>
                      </w14:textFill>
                    </w:rPr>
                    <w:t>。</w:t>
                  </w:r>
                </w:p>
                <w:p w14:paraId="257FBD59">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重污染企业</w:t>
                  </w:r>
                  <w:r>
                    <w:rPr>
                      <w:rFonts w:hint="eastAsia" w:ascii="Times New Roman" w:hAnsi="Times New Roman" w:cs="Times New Roman"/>
                      <w:color w:val="000000" w:themeColor="text1"/>
                      <w:lang w:val="en-US" w:eastAsia="zh-CN"/>
                      <w14:textFill>
                        <w14:solidFill>
                          <w14:schemeClr w14:val="tx1"/>
                        </w14:solidFill>
                      </w14:textFill>
                    </w:rPr>
                    <w:t>。</w:t>
                  </w:r>
                </w:p>
                <w:p w14:paraId="22AEE539">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68D7D9E7">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cs="Times New Roman"/>
                      <w:color w:val="000000" w:themeColor="text1"/>
                      <w:kern w:val="0"/>
                      <w:sz w:val="21"/>
                      <w:szCs w:val="21"/>
                      <w:lang w:val="en-US" w:eastAsia="zh-CN"/>
                      <w14:textFill>
                        <w14:solidFill>
                          <w14:schemeClr w14:val="tx1"/>
                        </w14:solidFill>
                      </w14:textFill>
                    </w:rPr>
                    <w:t>未央经典（西旅逸都）小区居民生活的配套设施</w:t>
                  </w:r>
                  <w:r>
                    <w:rPr>
                      <w:rFonts w:hint="default" w:ascii="Times New Roman" w:hAnsi="Times New Roman" w:cs="Times New Roman"/>
                      <w:color w:val="000000" w:themeColor="text1"/>
                      <w:kern w:val="0"/>
                      <w:sz w:val="21"/>
                      <w:szCs w:val="21"/>
                      <w:lang w:val="en-US" w:eastAsia="zh-CN"/>
                      <w14:textFill>
                        <w14:solidFill>
                          <w14:schemeClr w14:val="tx1"/>
                        </w14:solidFill>
                      </w14:textFill>
                    </w:rPr>
                    <w:t>，用于</w:t>
                  </w:r>
                  <w:r>
                    <w:rPr>
                      <w:rFonts w:hint="eastAsia" w:ascii="Times New Roman" w:hAnsi="Times New Roman" w:cs="Times New Roman"/>
                      <w:color w:val="000000" w:themeColor="text1"/>
                      <w:kern w:val="0"/>
                      <w:sz w:val="21"/>
                      <w:szCs w:val="21"/>
                      <w:lang w:val="en-US" w:eastAsia="zh-CN"/>
                      <w14:textFill>
                        <w14:solidFill>
                          <w14:schemeClr w14:val="tx1"/>
                        </w14:solidFill>
                      </w14:textFill>
                    </w:rPr>
                    <w:t>采暖季</w:t>
                  </w:r>
                  <w:r>
                    <w:rPr>
                      <w:rFonts w:hint="default" w:ascii="Times New Roman" w:hAnsi="Times New Roman" w:cs="Times New Roman"/>
                      <w:color w:val="000000" w:themeColor="text1"/>
                      <w:kern w:val="0"/>
                      <w:sz w:val="21"/>
                      <w:szCs w:val="21"/>
                      <w:lang w:val="en-US" w:eastAsia="zh-CN"/>
                      <w14:textFill>
                        <w14:solidFill>
                          <w14:schemeClr w14:val="tx1"/>
                        </w14:solidFill>
                      </w14:textFill>
                    </w:rPr>
                    <w:t>供热</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14:textFill>
                        <w14:solidFill>
                          <w14:schemeClr w14:val="tx1"/>
                        </w14:solidFill>
                      </w14:textFill>
                    </w:rPr>
                    <w:t>供暖，位于陕西省西安市</w:t>
                  </w:r>
                  <w:r>
                    <w:rPr>
                      <w:rFonts w:hint="eastAsia" w:ascii="Times New Roman" w:hAnsi="Times New Roman" w:cs="Times New Roman"/>
                      <w:color w:val="000000" w:themeColor="text1"/>
                      <w:kern w:val="0"/>
                      <w:sz w:val="21"/>
                      <w:szCs w:val="21"/>
                      <w:lang w:val="en-US" w:eastAsia="zh-CN"/>
                      <w14:textFill>
                        <w14:solidFill>
                          <w14:schemeClr w14:val="tx1"/>
                        </w14:solidFill>
                      </w14:textFill>
                    </w:rPr>
                    <w:t>西咸新区沣东新城建成区内，污水依托现有市政污水管网</w:t>
                  </w:r>
                  <w:r>
                    <w:rPr>
                      <w:rFonts w:hint="default" w:ascii="Times New Roman" w:hAnsi="Times New Roman" w:cs="Times New Roman"/>
                      <w:color w:val="000000" w:themeColor="text1"/>
                      <w:lang w:val="en-US" w:eastAsia="zh-CN"/>
                      <w14:textFill>
                        <w14:solidFill>
                          <w14:schemeClr w14:val="tx1"/>
                        </w14:solidFill>
                      </w14:textFill>
                    </w:rPr>
                    <w:t>。</w:t>
                  </w:r>
                </w:p>
              </w:tc>
            </w:tr>
            <w:tr w14:paraId="2252C1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5" w:type="pct"/>
                  <w:vMerge w:val="continue"/>
                  <w:tcBorders>
                    <w:tl2br w:val="nil"/>
                    <w:tr2bl w:val="nil"/>
                  </w:tcBorders>
                  <w:noWrap w:val="0"/>
                  <w:vAlign w:val="center"/>
                </w:tcPr>
                <w:p w14:paraId="21D3C24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 w:type="pct"/>
                  <w:vMerge w:val="continue"/>
                  <w:tcBorders>
                    <w:tl2br w:val="nil"/>
                    <w:tr2bl w:val="nil"/>
                  </w:tcBorders>
                  <w:noWrap w:val="0"/>
                  <w:vAlign w:val="center"/>
                </w:tcPr>
                <w:p w14:paraId="20357CE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84" w:type="pct"/>
                  <w:vMerge w:val="continue"/>
                  <w:tcBorders>
                    <w:tl2br w:val="nil"/>
                    <w:tr2bl w:val="nil"/>
                  </w:tcBorders>
                  <w:noWrap w:val="0"/>
                  <w:vAlign w:val="center"/>
                </w:tcPr>
                <w:p w14:paraId="039941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95" w:type="pct"/>
                  <w:vMerge w:val="continue"/>
                  <w:tcBorders>
                    <w:tl2br w:val="nil"/>
                    <w:tr2bl w:val="nil"/>
                  </w:tcBorders>
                  <w:noWrap w:val="0"/>
                  <w:vAlign w:val="center"/>
                </w:tcPr>
                <w:p w14:paraId="13408A9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41" w:type="pct"/>
                  <w:tcBorders>
                    <w:tl2br w:val="nil"/>
                    <w:tr2bl w:val="nil"/>
                  </w:tcBorders>
                  <w:noWrap w:val="0"/>
                  <w:vAlign w:val="center"/>
                </w:tcPr>
                <w:p w14:paraId="1940108B">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37" w:type="pct"/>
                  <w:tcBorders>
                    <w:tl2br w:val="nil"/>
                    <w:tr2bl w:val="nil"/>
                  </w:tcBorders>
                  <w:noWrap w:val="0"/>
                  <w:vAlign w:val="center"/>
                </w:tcPr>
                <w:p w14:paraId="5027279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污染物排放管控</w:t>
                  </w:r>
                </w:p>
              </w:tc>
              <w:tc>
                <w:tcPr>
                  <w:tcW w:w="1331" w:type="pct"/>
                  <w:tcBorders>
                    <w:tl2br w:val="nil"/>
                    <w:tr2bl w:val="nil"/>
                  </w:tcBorders>
                  <w:noWrap w:val="0"/>
                  <w:vAlign w:val="center"/>
                </w:tcPr>
                <w:p w14:paraId="2988EB8C">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16CA6C53">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鼓励将老旧车辆和非道路移动机械替换为清洁能源车辆。推进新能源或清洁能源汽车使用。</w:t>
                  </w:r>
                </w:p>
                <w:p w14:paraId="6F29128A">
                  <w:pPr>
                    <w:keepNext w:val="0"/>
                    <w:keepLines w:val="0"/>
                    <w:numPr>
                      <w:ilvl w:val="0"/>
                      <w:numId w:val="0"/>
                    </w:numPr>
                    <w:suppressLineNumbers w:val="0"/>
                    <w:spacing w:before="0" w:beforeAutospacing="0" w:after="0" w:afterAutospacing="0" w:line="240" w:lineRule="auto"/>
                    <w:ind w:left="0" w:right="0" w:rightChars="0" w:firstLine="211"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6E16D4E4">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1.加强城镇污水收集处理设施建设与提标改造。城镇生活污水处理达到《陕西省黄河流域污水综合排放标准》</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DB61/224-2018</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排放限值要求</w:t>
                  </w:r>
                </w:p>
                <w:p w14:paraId="55F9BE7E">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城镇新区管网建设及老旧城区管网升级改造中实行雨污分流，鼓励推进初期雨水收集、处理和资源化利用，建设人工湿地水质净化工程，对处理达标后的尾水进一步净化。</w:t>
                  </w:r>
                </w:p>
                <w:p w14:paraId="47382F89">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3.污水处理厂出水用于绿化、农灌等用途的，合理确定管控要求，确保达到相应污水再生利用标准。</w:t>
                  </w:r>
                </w:p>
              </w:tc>
              <w:tc>
                <w:tcPr>
                  <w:tcW w:w="349" w:type="pct"/>
                  <w:vMerge w:val="continue"/>
                  <w:tcBorders>
                    <w:tl2br w:val="nil"/>
                    <w:tr2bl w:val="nil"/>
                  </w:tcBorders>
                  <w:noWrap w:val="0"/>
                  <w:vAlign w:val="center"/>
                </w:tcPr>
                <w:p w14:paraId="1D95754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559" w:type="pct"/>
                  <w:tcBorders>
                    <w:tl2br w:val="nil"/>
                    <w:tr2bl w:val="nil"/>
                  </w:tcBorders>
                  <w:noWrap w:val="0"/>
                  <w:vAlign w:val="center"/>
                </w:tcPr>
                <w:p w14:paraId="1EE0ED64">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3CFAD01B">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cs="Times New Roman"/>
                      <w:color w:val="000000" w:themeColor="text1"/>
                      <w:kern w:val="0"/>
                      <w:sz w:val="21"/>
                      <w:szCs w:val="21"/>
                      <w:lang w:val="en-US" w:eastAsia="zh-CN"/>
                      <w14:textFill>
                        <w14:solidFill>
                          <w14:schemeClr w14:val="tx1"/>
                        </w14:solidFill>
                      </w14:textFill>
                    </w:rPr>
                    <w:t>未央经典（西旅逸都）小区居民生活的配套设施</w:t>
                  </w:r>
                  <w:r>
                    <w:rPr>
                      <w:rFonts w:hint="default" w:ascii="Times New Roman" w:hAnsi="Times New Roman" w:cs="Times New Roman"/>
                      <w:color w:val="000000" w:themeColor="text1"/>
                      <w:kern w:val="0"/>
                      <w:sz w:val="21"/>
                      <w:szCs w:val="21"/>
                      <w:lang w:val="en-US" w:eastAsia="zh-CN"/>
                      <w14:textFill>
                        <w14:solidFill>
                          <w14:schemeClr w14:val="tx1"/>
                        </w14:solidFill>
                      </w14:textFill>
                    </w:rPr>
                    <w:t>，用于</w:t>
                  </w:r>
                  <w:r>
                    <w:rPr>
                      <w:rFonts w:hint="eastAsia" w:ascii="Times New Roman" w:hAnsi="Times New Roman" w:cs="Times New Roman"/>
                      <w:color w:val="000000" w:themeColor="text1"/>
                      <w:kern w:val="0"/>
                      <w:sz w:val="21"/>
                      <w:szCs w:val="21"/>
                      <w:lang w:val="en-US" w:eastAsia="zh-CN"/>
                      <w14:textFill>
                        <w14:solidFill>
                          <w14:schemeClr w14:val="tx1"/>
                        </w14:solidFill>
                      </w14:textFill>
                    </w:rPr>
                    <w:t>采暖季</w:t>
                  </w:r>
                  <w:r>
                    <w:rPr>
                      <w:rFonts w:hint="default" w:ascii="Times New Roman" w:hAnsi="Times New Roman" w:cs="Times New Roman"/>
                      <w:color w:val="000000" w:themeColor="text1"/>
                      <w:kern w:val="0"/>
                      <w:sz w:val="21"/>
                      <w:szCs w:val="21"/>
                      <w:lang w:val="en-US" w:eastAsia="zh-CN"/>
                      <w14:textFill>
                        <w14:solidFill>
                          <w14:schemeClr w14:val="tx1"/>
                        </w14:solidFill>
                      </w14:textFill>
                    </w:rPr>
                    <w:t>供热</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14:textFill>
                        <w14:solidFill>
                          <w14:schemeClr w14:val="tx1"/>
                        </w14:solidFill>
                      </w14:textFill>
                    </w:rPr>
                    <w:t>供暖，</w:t>
                  </w:r>
                  <w:r>
                    <w:rPr>
                      <w:rFonts w:hint="eastAsia" w:ascii="Times New Roman" w:hAnsi="Times New Roman" w:cs="Times New Roman"/>
                      <w:color w:val="000000" w:themeColor="text1"/>
                      <w:sz w:val="21"/>
                      <w:szCs w:val="21"/>
                      <w:lang w:val="en-US" w:eastAsia="zh-CN"/>
                      <w14:textFill>
                        <w14:solidFill>
                          <w14:schemeClr w14:val="tx1"/>
                        </w14:solidFill>
                      </w14:textFill>
                    </w:rPr>
                    <w:t>不涉及</w:t>
                  </w:r>
                  <w:r>
                    <w:rPr>
                      <w:rFonts w:hint="default" w:ascii="Times New Roman" w:hAnsi="Times New Roman" w:cs="Times New Roman"/>
                      <w:color w:val="000000" w:themeColor="text1"/>
                      <w:lang w:val="en-US" w:eastAsia="zh-CN"/>
                      <w14:textFill>
                        <w14:solidFill>
                          <w14:schemeClr w14:val="tx1"/>
                        </w14:solidFill>
                      </w14:textFill>
                    </w:rPr>
                    <w:t>老旧车辆和非道路移动机械</w:t>
                  </w:r>
                  <w:r>
                    <w:rPr>
                      <w:rFonts w:hint="eastAsia" w:ascii="Times New Roman" w:hAnsi="Times New Roman" w:cs="Times New Roman"/>
                      <w:color w:val="000000" w:themeColor="text1"/>
                      <w:lang w:val="en-US" w:eastAsia="zh-CN"/>
                      <w14:textFill>
                        <w14:solidFill>
                          <w14:schemeClr w14:val="tx1"/>
                        </w14:solidFill>
                      </w14:textFill>
                    </w:rPr>
                    <w:t>。</w:t>
                  </w:r>
                </w:p>
                <w:p w14:paraId="4A1C8C1F">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1848D26C">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未央经典（西旅逸都）小区居民生活的配套设施</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，用于</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采暖季</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供热</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供暖，</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未央经典（西旅逸都）小区实行雨污分流；锅炉房位于</w:t>
                  </w:r>
                  <w:r>
                    <w:rPr>
                      <w:rFonts w:hint="eastAsia" w:ascii="Times New Roman" w:hAnsi="Times New Roman" w:cs="Times New Roman"/>
                      <w:color w:val="000000" w:themeColor="text1"/>
                      <w:lang w:val="en-US" w:eastAsia="zh-CN"/>
                      <w14:textFill>
                        <w14:solidFill>
                          <w14:schemeClr w14:val="tx1"/>
                        </w14:solidFill>
                      </w14:textFill>
                    </w:rPr>
                    <w:t>小区地下一层，</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锅炉定期排污水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、反冲洗废水及软化水系统排水经锅炉房降温池沉淀后进入小区</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化粪池</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预处理</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后排入市政污水管道</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，最终进入西安净水处理有限责任公司第六再生水厂进行处理。</w:t>
                  </w:r>
                </w:p>
              </w:tc>
            </w:tr>
            <w:tr w14:paraId="30636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5" w:type="pct"/>
                  <w:vMerge w:val="continue"/>
                  <w:tcBorders>
                    <w:tl2br w:val="nil"/>
                    <w:tr2bl w:val="nil"/>
                  </w:tcBorders>
                  <w:noWrap w:val="0"/>
                  <w:vAlign w:val="center"/>
                </w:tcPr>
                <w:p w14:paraId="76E1272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 w:type="pct"/>
                  <w:vMerge w:val="continue"/>
                  <w:tcBorders>
                    <w:tl2br w:val="nil"/>
                    <w:tr2bl w:val="nil"/>
                  </w:tcBorders>
                  <w:noWrap w:val="0"/>
                  <w:vAlign w:val="center"/>
                </w:tcPr>
                <w:p w14:paraId="29713A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84" w:type="pct"/>
                  <w:vMerge w:val="continue"/>
                  <w:tcBorders>
                    <w:tl2br w:val="nil"/>
                    <w:tr2bl w:val="nil"/>
                  </w:tcBorders>
                  <w:noWrap w:val="0"/>
                  <w:vAlign w:val="center"/>
                </w:tcPr>
                <w:p w14:paraId="04D8869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95" w:type="pct"/>
                  <w:vMerge w:val="continue"/>
                  <w:tcBorders>
                    <w:tl2br w:val="nil"/>
                    <w:tr2bl w:val="nil"/>
                  </w:tcBorders>
                  <w:noWrap w:val="0"/>
                  <w:vAlign w:val="center"/>
                </w:tcPr>
                <w:p w14:paraId="4C5918E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41" w:type="pct"/>
                  <w:tcBorders>
                    <w:tl2br w:val="nil"/>
                    <w:tr2bl w:val="nil"/>
                  </w:tcBorders>
                  <w:noWrap w:val="0"/>
                  <w:vAlign w:val="center"/>
                </w:tcPr>
                <w:p w14:paraId="1C7583DE">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37" w:type="pct"/>
                  <w:tcBorders>
                    <w:tl2br w:val="nil"/>
                    <w:tr2bl w:val="nil"/>
                  </w:tcBorders>
                  <w:noWrap w:val="0"/>
                  <w:vAlign w:val="center"/>
                </w:tcPr>
                <w:p w14:paraId="4846F68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环境风险防控</w:t>
                  </w:r>
                </w:p>
              </w:tc>
              <w:tc>
                <w:tcPr>
                  <w:tcW w:w="1331" w:type="pct"/>
                  <w:tcBorders>
                    <w:tl2br w:val="nil"/>
                    <w:tr2bl w:val="nil"/>
                  </w:tcBorders>
                  <w:noWrap w:val="0"/>
                  <w:vAlign w:val="center"/>
                </w:tcPr>
                <w:p w14:paraId="5EE165F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49" w:type="pct"/>
                  <w:vMerge w:val="continue"/>
                  <w:tcBorders>
                    <w:tl2br w:val="nil"/>
                    <w:tr2bl w:val="nil"/>
                  </w:tcBorders>
                  <w:noWrap w:val="0"/>
                  <w:vAlign w:val="center"/>
                </w:tcPr>
                <w:p w14:paraId="7A7E2C5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559" w:type="pct"/>
                  <w:tcBorders>
                    <w:tl2br w:val="nil"/>
                    <w:tr2bl w:val="nil"/>
                  </w:tcBorders>
                  <w:noWrap w:val="0"/>
                  <w:vAlign w:val="center"/>
                </w:tcPr>
                <w:p w14:paraId="2CB34E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p>
              </w:tc>
            </w:tr>
            <w:tr w14:paraId="64295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5" w:type="pct"/>
                  <w:vMerge w:val="continue"/>
                  <w:tcBorders>
                    <w:tl2br w:val="nil"/>
                    <w:tr2bl w:val="nil"/>
                  </w:tcBorders>
                  <w:noWrap w:val="0"/>
                  <w:vAlign w:val="center"/>
                </w:tcPr>
                <w:p w14:paraId="6C57460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 w:type="pct"/>
                  <w:vMerge w:val="continue"/>
                  <w:tcBorders>
                    <w:tl2br w:val="nil"/>
                    <w:tr2bl w:val="nil"/>
                  </w:tcBorders>
                  <w:noWrap w:val="0"/>
                  <w:vAlign w:val="center"/>
                </w:tcPr>
                <w:p w14:paraId="16F4811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84" w:type="pct"/>
                  <w:vMerge w:val="continue"/>
                  <w:tcBorders>
                    <w:tl2br w:val="nil"/>
                    <w:tr2bl w:val="nil"/>
                  </w:tcBorders>
                  <w:noWrap w:val="0"/>
                  <w:vAlign w:val="center"/>
                </w:tcPr>
                <w:p w14:paraId="0D17993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95" w:type="pct"/>
                  <w:vMerge w:val="continue"/>
                  <w:tcBorders>
                    <w:tl2br w:val="nil"/>
                    <w:tr2bl w:val="nil"/>
                  </w:tcBorders>
                  <w:noWrap w:val="0"/>
                  <w:vAlign w:val="center"/>
                </w:tcPr>
                <w:p w14:paraId="7B9DBEB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41" w:type="pct"/>
                  <w:tcBorders>
                    <w:tl2br w:val="nil"/>
                    <w:tr2bl w:val="nil"/>
                  </w:tcBorders>
                  <w:noWrap w:val="0"/>
                  <w:vAlign w:val="center"/>
                </w:tcPr>
                <w:p w14:paraId="13F35253">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37" w:type="pct"/>
                  <w:tcBorders>
                    <w:tl2br w:val="nil"/>
                    <w:tr2bl w:val="nil"/>
                  </w:tcBorders>
                  <w:noWrap w:val="0"/>
                  <w:vAlign w:val="center"/>
                </w:tcPr>
                <w:p w14:paraId="33DAE1B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资源开发效率要求</w:t>
                  </w:r>
                </w:p>
              </w:tc>
              <w:tc>
                <w:tcPr>
                  <w:tcW w:w="1331" w:type="pct"/>
                  <w:tcBorders>
                    <w:tl2br w:val="nil"/>
                    <w:tr2bl w:val="nil"/>
                  </w:tcBorders>
                  <w:noWrap w:val="0"/>
                  <w:vAlign w:val="center"/>
                </w:tcPr>
                <w:p w14:paraId="3F8FDB9B">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高污染燃料禁燃区</w:t>
                  </w:r>
                  <w:r>
                    <w:rPr>
                      <w:rFonts w:hint="eastAsia" w:ascii="Times New Roman" w:hAnsi="Times New Roman" w:cs="Times New Roman"/>
                      <w:b/>
                      <w:bCs/>
                      <w:color w:val="000000" w:themeColor="text1"/>
                      <w:lang w:val="en-US" w:eastAsia="zh-CN"/>
                      <w14:textFill>
                        <w14:solidFill>
                          <w14:schemeClr w14:val="tx1"/>
                        </w14:solidFill>
                      </w14:textFill>
                    </w:rPr>
                    <w:t>：</w:t>
                  </w:r>
                </w:p>
                <w:p w14:paraId="10E9F128">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禁止销售、使用高污染燃料。禁止新建、扩建燃用高污染燃料的设施。已建成的，应当在市人民政府规定的期限内停止使用或者改用天然气、页岩气、煤层气、液化石油气、干热岩、电、太阳能或者其他清洁能源。</w:t>
                  </w:r>
                </w:p>
                <w:p w14:paraId="0A9E8C46">
                  <w:pPr>
                    <w:keepNext w:val="0"/>
                    <w:keepLines w:val="0"/>
                    <w:numPr>
                      <w:ilvl w:val="0"/>
                      <w:numId w:val="0"/>
                    </w:numPr>
                    <w:suppressLineNumbers w:val="0"/>
                    <w:spacing w:before="0" w:beforeAutospacing="0" w:after="0" w:afterAutospacing="0" w:line="240" w:lineRule="auto"/>
                    <w:ind w:left="210" w:leftChars="100" w:right="0" w:rightChars="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2.禁止燃放烟花爆竹。</w:t>
                  </w:r>
                </w:p>
              </w:tc>
              <w:tc>
                <w:tcPr>
                  <w:tcW w:w="349" w:type="pct"/>
                  <w:vMerge w:val="continue"/>
                  <w:tcBorders>
                    <w:tl2br w:val="nil"/>
                    <w:tr2bl w:val="nil"/>
                  </w:tcBorders>
                  <w:noWrap w:val="0"/>
                  <w:vAlign w:val="center"/>
                </w:tcPr>
                <w:p w14:paraId="12C0659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559" w:type="pct"/>
                  <w:tcBorders>
                    <w:tl2br w:val="nil"/>
                    <w:tr2bl w:val="nil"/>
                  </w:tcBorders>
                  <w:noWrap w:val="0"/>
                  <w:vAlign w:val="center"/>
                </w:tcPr>
                <w:p w14:paraId="27772B8E">
                  <w:pPr>
                    <w:keepNext w:val="0"/>
                    <w:keepLines w:val="0"/>
                    <w:numPr>
                      <w:ilvl w:val="0"/>
                      <w:numId w:val="0"/>
                    </w:numPr>
                    <w:suppressLineNumbers w:val="0"/>
                    <w:spacing w:before="0" w:beforeAutospacing="0" w:after="0" w:afterAutospacing="0"/>
                    <w:ind w:left="0" w:right="0" w:rightChars="0" w:firstLine="210"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未央经典（西旅逸都）小区居民生活的配套设施</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，用于</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采暖季</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供热</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供暖</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，锅炉采用清洁能源，</w:t>
                  </w:r>
                  <w:r>
                    <w:rPr>
                      <w:rFonts w:hint="default" w:ascii="Times New Roman" w:hAnsi="Times New Roman" w:cs="Times New Roman"/>
                      <w:color w:val="000000" w:themeColor="text1"/>
                      <w:lang w:val="en-US" w:eastAsia="zh-CN"/>
                      <w14:textFill>
                        <w14:solidFill>
                          <w14:schemeClr w14:val="tx1"/>
                        </w14:solidFill>
                      </w14:textFill>
                    </w:rPr>
                    <w:t>污染物</w:t>
                  </w:r>
                  <w:r>
                    <w:rPr>
                      <w:rFonts w:hint="eastAsia" w:ascii="Times New Roman" w:hAnsi="Times New Roman" w:cs="Times New Roman"/>
                      <w:color w:val="000000" w:themeColor="text1"/>
                      <w:lang w:val="en-US" w:eastAsia="zh-CN"/>
                      <w14:textFill>
                        <w14:solidFill>
                          <w14:schemeClr w14:val="tx1"/>
                        </w14:solidFill>
                      </w14:textFill>
                    </w:rPr>
                    <w:t>满足超低排放要求</w:t>
                  </w:r>
                </w:p>
                <w:p w14:paraId="002A00C8">
                  <w:pPr>
                    <w:keepNext w:val="0"/>
                    <w:keepLines w:val="0"/>
                    <w:numPr>
                      <w:ilvl w:val="0"/>
                      <w:numId w:val="0"/>
                    </w:numPr>
                    <w:suppressLineNumbers w:val="0"/>
                    <w:spacing w:before="0" w:beforeAutospacing="0" w:after="0" w:afterAutospacing="0"/>
                    <w:ind w:left="0" w:right="0" w:rightChars="0" w:firstLine="210" w:firstLineChars="100"/>
                    <w:jc w:val="both"/>
                    <w:rPr>
                      <w:rFonts w:hint="default"/>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2.本项目不涉及</w:t>
                  </w:r>
                  <w:r>
                    <w:rPr>
                      <w:rFonts w:hint="default" w:ascii="Times New Roman" w:hAnsi="Times New Roman" w:cs="Times New Roman"/>
                      <w:color w:val="000000" w:themeColor="text1"/>
                      <w:lang w:val="en-US" w:eastAsia="zh-CN"/>
                      <w14:textFill>
                        <w14:solidFill>
                          <w14:schemeClr w14:val="tx1"/>
                        </w14:solidFill>
                      </w14:textFill>
                    </w:rPr>
                    <w:t>燃放烟花爆竹</w:t>
                  </w:r>
                  <w:r>
                    <w:rPr>
                      <w:rFonts w:hint="eastAsia" w:ascii="Times New Roman" w:hAnsi="Times New Roman" w:cs="Times New Roman"/>
                      <w:color w:val="000000" w:themeColor="text1"/>
                      <w:lang w:val="en-US" w:eastAsia="zh-CN"/>
                      <w14:textFill>
                        <w14:solidFill>
                          <w14:schemeClr w14:val="tx1"/>
                        </w14:solidFill>
                      </w14:textFill>
                    </w:rPr>
                    <w:t>。</w:t>
                  </w:r>
                </w:p>
              </w:tc>
            </w:tr>
          </w:tbl>
          <w:p w14:paraId="4A54863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color w:val="000000" w:themeColor="text1"/>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说明：对照“西安市生态环境分区管控准入清单”中的重点管控单元要求，本项目满足各单元在空间布局约束、污染物排放管控、资源利用效率等管控要求，</w:t>
            </w:r>
            <w:r>
              <w:rPr>
                <w:rFonts w:hint="default" w:ascii="Times New Roman" w:hAnsi="Times New Roman" w:eastAsia="宋体" w:cs="Times New Roman"/>
                <w:color w:val="000000" w:themeColor="text1"/>
                <w:sz w:val="24"/>
                <w:szCs w:val="32"/>
                <w14:textFill>
                  <w14:solidFill>
                    <w14:schemeClr w14:val="tx1"/>
                  </w14:solidFill>
                </w14:textFill>
              </w:rPr>
              <w:t>本项目位于重点管控单元，重点管控单元应优化空间布局和产业布局，结合生态环境质量达标情况以及经济社会发展水平等，按照差别化的生态环境准入要求，加强污染物排放控制和环境风险防控，不断提升资源利用效率，稳步改善生态</w:t>
            </w:r>
          </w:p>
        </w:tc>
      </w:tr>
    </w:tbl>
    <w:p w14:paraId="55C022ED">
      <w:pPr>
        <w:bidi w:val="0"/>
        <w:rPr>
          <w:rFonts w:hint="default"/>
          <w:color w:val="000000" w:themeColor="text1"/>
          <w:lang w:val="en-US" w:eastAsia="zh-CN"/>
          <w14:textFill>
            <w14:solidFill>
              <w14:schemeClr w14:val="tx1"/>
            </w14:solidFill>
          </w14:textFill>
        </w:rPr>
        <w:sectPr>
          <w:pgSz w:w="16838" w:h="11906" w:orient="landscape"/>
          <w:pgMar w:top="1440" w:right="1440" w:bottom="1440" w:left="1440" w:header="850" w:footer="907"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4"/>
        <w:gridCol w:w="7772"/>
      </w:tblGrid>
      <w:tr w14:paraId="22F80C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4" w:type="dxa"/>
            <w:tcBorders>
              <w:tl2br w:val="nil"/>
              <w:tr2bl w:val="nil"/>
            </w:tcBorders>
            <w:vAlign w:val="center"/>
          </w:tcPr>
          <w:p w14:paraId="70CF318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其他符合性分析</w:t>
            </w:r>
          </w:p>
        </w:tc>
        <w:tc>
          <w:tcPr>
            <w:tcW w:w="7772" w:type="dxa"/>
            <w:tcBorders>
              <w:tl2br w:val="nil"/>
              <w:tr2bl w:val="nil"/>
            </w:tcBorders>
            <w:vAlign w:val="center"/>
          </w:tcPr>
          <w:p w14:paraId="252EB22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000000" w:themeColor="text1"/>
                <w:sz w:val="24"/>
                <w:szCs w:val="32"/>
                <w14:textFill>
                  <w14:solidFill>
                    <w14:schemeClr w14:val="tx1"/>
                  </w14:solidFill>
                </w14:textFill>
              </w:rPr>
            </w:pPr>
            <w:r>
              <w:rPr>
                <w:rFonts w:hint="default" w:ascii="Times New Roman" w:hAnsi="Times New Roman" w:eastAsia="宋体" w:cs="Times New Roman"/>
                <w:color w:val="000000" w:themeColor="text1"/>
                <w:sz w:val="24"/>
                <w:szCs w:val="32"/>
                <w14:textFill>
                  <w14:solidFill>
                    <w14:schemeClr w14:val="tx1"/>
                  </w14:solidFill>
                </w14:textFill>
              </w:rPr>
              <w:t>环境质量，符合西安市</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相关要求。</w:t>
            </w:r>
          </w:p>
          <w:p w14:paraId="1279430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14:textFill>
                  <w14:solidFill>
                    <w14:schemeClr w14:val="tx1"/>
                  </w14:solidFill>
                </w14:textFill>
              </w:rPr>
            </w:pPr>
            <w:r>
              <w:rPr>
                <w:rFonts w:hint="default" w:ascii="Times New Roman" w:hAnsi="Times New Roman" w:eastAsia="宋体" w:cs="Times New Roman"/>
                <w:color w:val="000000" w:themeColor="text1"/>
                <w:sz w:val="24"/>
                <w:szCs w:val="32"/>
                <w14:textFill>
                  <w14:solidFill>
                    <w14:schemeClr w14:val="tx1"/>
                  </w14:solidFill>
                </w14:textFill>
              </w:rPr>
              <w:t>综上，本项目符合</w:t>
            </w:r>
            <w:r>
              <w:rPr>
                <w:rFonts w:hint="eastAsia" w:ascii="Times New Roman" w:hAnsi="Times New Roman" w:eastAsia="宋体"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ascii="Times New Roman" w:hAnsi="Times New Roman" w:eastAsia="宋体"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管控要求。</w:t>
            </w:r>
          </w:p>
          <w:p w14:paraId="03FF066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olor w:val="000000" w:themeColor="text1"/>
                <w:kern w:val="0"/>
                <w:sz w:val="24"/>
                <w:highlight w:val="none"/>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6.项目选址合理性分析</w:t>
            </w:r>
          </w:p>
          <w:p w14:paraId="0A7B955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根据现场踏勘可知</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本项目位于陕西省</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，小区所在区域未铺设集中供暖管道，不具备集中供暖条件；本项目与西安市集中供热区域供热管道位置关系图见附图9。</w:t>
            </w:r>
          </w:p>
          <w:p w14:paraId="480B1C6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未央经典（西旅逸都）项目于</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2010</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年</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8</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月</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26</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日取得《西安市环境保护局关于西安饮食股份有限公司未央经典住宅小区建设项目环境报告书的批复》（市环发</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[2010]302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号），根据环评报告书及环评批复，项目冬季采暖采用分户天然气壁挂锅炉供热。项目建设过程中，西安饮食股份有限公司综合考虑分户天然气壁挂锅炉供热方式的安全性和供热效率较差，设计在项目原有地下设备间建设集中燃气锅炉供热中心，满足未央经典住宅小区的供热需求，是该小区集中供热基础设施的迫切需要。</w:t>
            </w:r>
          </w:p>
          <w:p w14:paraId="1A546C65">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为了保障该住宅小区的整体生活质量，建设单位在未央经典（西旅逸都）小区地下一层原设备用房建设项目供热中心，包括锅炉房</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座及换热站，安装</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台</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1.4MW</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真空热水锅炉，以及热泵机组</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台，为未央经典（西旅逸都）住宅小区冬季提供集中供暖，供热面积约10万平方米。</w:t>
            </w:r>
          </w:p>
          <w:p w14:paraId="54C52BC6">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供热中心已经于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2017</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年</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11</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月底完成设备安装，并于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2018</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年</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11</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月</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15</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日投入使用，开始为西旅逸都小区供热。</w:t>
            </w:r>
          </w:p>
          <w:p w14:paraId="2951517D">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所在区域已经完善了市政路网、通讯网、电力网、供排水网、天然气管网、公共绿化等；本项目建设地已具备较强的基础承载和产业配套能力，交通便利，便于项目建设与运营；项目建设占地性质为二类居住用地，符合用地要求。</w:t>
            </w:r>
          </w:p>
          <w:p w14:paraId="09E1C89A">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根据现场调查，</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在</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地下</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一层原设备用房建设项目供热中心，本项目所在小区的外部四邻关系：东侧及南侧紧邻车刘村小区、南侧及西南侧紧邻欣欣家园小区，北侧紧邻西安高架快速干道。</w:t>
            </w:r>
          </w:p>
          <w:p w14:paraId="29B531D1">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本项目内部四邻关系：东侧为未央经典小区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住宅楼（最近环境保护目标距离本项目15m），南侧为小区大门口（距离本项目49m），西侧为未央经典小区4</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住宅楼（最近环境保护目标距离本项目15m），北侧为未央经典（西旅逸都）小区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住宅楼（距离本项目60m）、</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住宅楼（距离本项目60m）、</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住宅楼（距离本项目20m）</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1133B434">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color w:val="000000" w:themeColor="text1"/>
                <w:kern w:val="0"/>
                <w:sz w:val="24"/>
                <w:highlight w:val="none"/>
                <w14:textFill>
                  <w14:solidFill>
                    <w14:schemeClr w14:val="tx1"/>
                  </w14:solidFill>
                </w14:textFill>
              </w:rPr>
            </w:pPr>
            <w:r>
              <w:rPr>
                <w:rFonts w:hint="eastAsia" w:ascii="Times New Roman" w:hAnsi="Times New Roman"/>
                <w:color w:val="000000" w:themeColor="text1"/>
                <w:kern w:val="0"/>
                <w:sz w:val="24"/>
                <w:highlight w:val="none"/>
                <w14:textFill>
                  <w14:solidFill>
                    <w14:schemeClr w14:val="tx1"/>
                  </w14:solidFill>
                </w14:textFill>
              </w:rPr>
              <w:t>本项目所产生的“三废”产生量及排放量较小，能做到有效的处理，三废达标排放，对区域环境影响较小。</w:t>
            </w:r>
          </w:p>
          <w:p w14:paraId="3DA525AA">
            <w:pPr>
              <w:keepNext w:val="0"/>
              <w:keepLines w:val="0"/>
              <w:suppressLineNumbers w:val="0"/>
              <w:spacing w:before="0" w:beforeAutospacing="0" w:after="0" w:afterAutospacing="0" w:line="360" w:lineRule="auto"/>
              <w:ind w:left="0" w:right="0" w:firstLine="480" w:firstLineChars="200"/>
              <w:contextualSpacing/>
              <w:rPr>
                <w:rFonts w:ascii="Times New Roman" w:hAnsi="Times New Roman" w:eastAsia="宋体" w:cs="Times New Roman"/>
                <w:color w:val="000000" w:themeColor="text1"/>
                <w:kern w:val="0"/>
                <w:sz w:val="24"/>
                <w:szCs w:val="24"/>
                <w:highlight w:val="none"/>
                <w14:textFill>
                  <w14:solidFill>
                    <w14:schemeClr w14:val="tx1"/>
                  </w14:solidFill>
                </w14:textFill>
              </w:rPr>
            </w:pPr>
            <w:r>
              <w:rPr>
                <w:rFonts w:ascii="Times New Roman" w:hAnsi="Times New Roman" w:eastAsia="宋体" w:cs="Times New Roman"/>
                <w:color w:val="000000" w:themeColor="text1"/>
                <w:kern w:val="0"/>
                <w:sz w:val="24"/>
                <w:szCs w:val="24"/>
                <w:highlight w:val="none"/>
                <w14:textFill>
                  <w14:solidFill>
                    <w14:schemeClr w14:val="tx1"/>
                  </w14:solidFill>
                </w14:textFill>
              </w:rPr>
              <w:t>综上所述，本项目对各项污染物均采取了相应的环保措施，可做到达标排放或妥善处置，对周围环境影响较小，因此，从环境保护角度分析，本项目选址合理。</w:t>
            </w:r>
          </w:p>
          <w:p w14:paraId="28D3CB08">
            <w:pPr>
              <w:pStyle w:val="2"/>
              <w:suppressLineNumbers w:val="0"/>
              <w:spacing w:before="0" w:beforeAutospacing="0" w:afterAutospacing="0"/>
              <w:ind w:left="0" w:leftChars="0" w:right="0" w:firstLine="0" w:firstLineChars="0"/>
              <w:rPr>
                <w:rFonts w:ascii="Times New Roman" w:hAnsi="Times New Roman" w:eastAsia="宋体" w:cs="Times New Roman"/>
                <w:color w:val="000000" w:themeColor="text1"/>
                <w:kern w:val="0"/>
                <w:sz w:val="24"/>
                <w:szCs w:val="24"/>
                <w:highlight w:val="none"/>
                <w14:textFill>
                  <w14:solidFill>
                    <w14:schemeClr w14:val="tx1"/>
                  </w14:solidFill>
                </w14:textFill>
              </w:rPr>
            </w:pPr>
          </w:p>
          <w:p w14:paraId="15EE492E">
            <w:pPr>
              <w:keepNext w:val="0"/>
              <w:keepLines w:val="0"/>
              <w:suppressLineNumbers w:val="0"/>
              <w:spacing w:before="0" w:beforeAutospacing="0" w:after="0" w:afterAutospacing="0"/>
              <w:ind w:left="0" w:right="0"/>
              <w:rPr>
                <w:rFonts w:ascii="Times New Roman" w:hAnsi="Times New Roman" w:eastAsia="宋体" w:cs="Times New Roman"/>
                <w:color w:val="000000" w:themeColor="text1"/>
                <w:kern w:val="0"/>
                <w:sz w:val="24"/>
                <w:szCs w:val="24"/>
                <w:highlight w:val="none"/>
                <w14:textFill>
                  <w14:solidFill>
                    <w14:schemeClr w14:val="tx1"/>
                  </w14:solidFill>
                </w14:textFill>
              </w:rPr>
            </w:pPr>
          </w:p>
          <w:p w14:paraId="2197D596">
            <w:pPr>
              <w:keepNext w:val="0"/>
              <w:keepLines w:val="0"/>
              <w:suppressLineNumbers w:val="0"/>
              <w:spacing w:before="0" w:beforeAutospacing="0" w:after="0" w:afterAutospacing="0"/>
              <w:ind w:left="0" w:right="0"/>
              <w:rPr>
                <w:rFonts w:ascii="Times New Roman" w:hAnsi="Times New Roman" w:eastAsia="宋体" w:cs="Times New Roman"/>
                <w:color w:val="000000" w:themeColor="text1"/>
                <w:kern w:val="0"/>
                <w:sz w:val="24"/>
                <w:szCs w:val="24"/>
                <w:highlight w:val="none"/>
                <w14:textFill>
                  <w14:solidFill>
                    <w14:schemeClr w14:val="tx1"/>
                  </w14:solidFill>
                </w14:textFill>
              </w:rPr>
            </w:pPr>
          </w:p>
          <w:p w14:paraId="5CC76E00">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0135C0E8">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280B23BD">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553C75CF">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6CF49772">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7F8DE3D3">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2C7AF559">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24481A60">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5473B307">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293FD6CF">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51F4D964">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7EA2EFD5">
            <w:pPr>
              <w:pStyle w:val="2"/>
              <w:suppressLineNumbers w:val="0"/>
              <w:spacing w:before="0" w:beforeAutospacing="0" w:afterAutospacing="0"/>
              <w:ind w:left="0" w:leftChars="0" w:right="0" w:firstLine="0" w:firstLineChars="0"/>
              <w:rPr>
                <w:color w:val="000000" w:themeColor="text1"/>
                <w14:textFill>
                  <w14:solidFill>
                    <w14:schemeClr w14:val="tx1"/>
                  </w14:solidFill>
                </w14:textFill>
              </w:rPr>
            </w:pPr>
          </w:p>
          <w:p w14:paraId="20E69216">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7CB69A78">
            <w:pPr>
              <w:keepNext w:val="0"/>
              <w:keepLines w:val="0"/>
              <w:suppressLineNumbers w:val="0"/>
              <w:spacing w:before="0" w:beforeAutospacing="0" w:after="0" w:afterAutospacing="0"/>
              <w:ind w:left="0" w:right="0"/>
              <w:rPr>
                <w:color w:val="000000" w:themeColor="text1"/>
                <w14:textFill>
                  <w14:solidFill>
                    <w14:schemeClr w14:val="tx1"/>
                  </w14:solidFill>
                </w14:textFill>
              </w:rPr>
            </w:pPr>
          </w:p>
          <w:p w14:paraId="6BEF26E4">
            <w:pPr>
              <w:keepNext w:val="0"/>
              <w:keepLines w:val="0"/>
              <w:suppressLineNumbers w:val="0"/>
              <w:spacing w:before="0" w:beforeAutospacing="0" w:after="0" w:afterAutospacing="0"/>
              <w:ind w:left="0" w:right="0"/>
              <w:rPr>
                <w:rFonts w:hint="default"/>
                <w:color w:val="000000" w:themeColor="text1"/>
                <w:lang w:eastAsia="zh-CN"/>
                <w14:textFill>
                  <w14:solidFill>
                    <w14:schemeClr w14:val="tx1"/>
                  </w14:solidFill>
                </w14:textFill>
              </w:rPr>
            </w:pPr>
          </w:p>
          <w:p w14:paraId="7B45E918">
            <w:pPr>
              <w:pStyle w:val="2"/>
              <w:suppressLineNumbers w:val="0"/>
              <w:spacing w:before="0" w:beforeAutospacing="0" w:afterAutospacing="0"/>
              <w:ind w:left="0" w:leftChars="0" w:right="0" w:firstLine="0" w:firstLineChars="0"/>
              <w:rPr>
                <w:rFonts w:hint="default"/>
                <w:color w:val="000000" w:themeColor="text1"/>
                <w:lang w:eastAsia="zh-CN"/>
                <w14:textFill>
                  <w14:solidFill>
                    <w14:schemeClr w14:val="tx1"/>
                  </w14:solidFill>
                </w14:textFill>
              </w:rPr>
            </w:pPr>
          </w:p>
        </w:tc>
      </w:tr>
    </w:tbl>
    <w:p w14:paraId="37AD0867">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b/>
          <w:bCs/>
          <w:snapToGrid w:val="0"/>
          <w:color w:val="000000" w:themeColor="text1"/>
          <w:sz w:val="30"/>
          <w:szCs w:val="30"/>
          <w:lang w:eastAsia="zh-CN"/>
          <w14:textFill>
            <w14:solidFill>
              <w14:schemeClr w14:val="tx1"/>
            </w14:solidFill>
          </w14:textFill>
        </w:rPr>
        <w:sectPr>
          <w:pgSz w:w="11906" w:h="16838"/>
          <w:pgMar w:top="1440" w:right="1803" w:bottom="1440"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0F0B4AE1">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二、建设项目工程分析</w:t>
      </w:r>
    </w:p>
    <w:tbl>
      <w:tblPr>
        <w:tblStyle w:val="26"/>
        <w:tblW w:w="88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68"/>
        <w:gridCol w:w="7904"/>
      </w:tblGrid>
      <w:tr w14:paraId="444DC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8" w:type="dxa"/>
            <w:tcBorders>
              <w:tl2br w:val="nil"/>
              <w:tr2bl w:val="nil"/>
            </w:tcBorders>
            <w:shd w:val="clear" w:color="auto" w:fill="auto"/>
            <w:vAlign w:val="center"/>
          </w:tcPr>
          <w:p w14:paraId="347D1310">
            <w:pPr>
              <w:pStyle w:val="23"/>
              <w:widowControl/>
              <w:adjustRightInd w:val="0"/>
              <w:snapToGrid w:val="0"/>
              <w:spacing w:before="0" w:beforeAutospacing="0" w:after="0" w:afterAutospacing="0"/>
              <w:ind w:left="0" w:right="0"/>
              <w:jc w:val="center"/>
              <w:rPr>
                <w:rFonts w:cs="宋体"/>
                <w:b/>
                <w:bCs/>
                <w:color w:val="000000" w:themeColor="text1"/>
                <w:kern w:val="2"/>
                <w:sz w:val="24"/>
                <w:szCs w:val="24"/>
                <w14:textFill>
                  <w14:solidFill>
                    <w14:schemeClr w14:val="tx1"/>
                  </w14:solidFill>
                </w14:textFill>
              </w:rPr>
            </w:pPr>
            <w:r>
              <w:rPr>
                <w:rFonts w:cs="宋体"/>
                <w:b/>
                <w:bCs/>
                <w:color w:val="000000" w:themeColor="text1"/>
                <w:kern w:val="2"/>
                <w:sz w:val="24"/>
                <w:szCs w:val="24"/>
                <w14:textFill>
                  <w14:solidFill>
                    <w14:schemeClr w14:val="tx1"/>
                  </w14:solidFill>
                </w14:textFill>
              </w:rPr>
              <w:t>建设</w:t>
            </w:r>
          </w:p>
          <w:p w14:paraId="46BE9BF5">
            <w:pPr>
              <w:pStyle w:val="23"/>
              <w:widowControl/>
              <w:adjustRightInd w:val="0"/>
              <w:snapToGrid w:val="0"/>
              <w:spacing w:before="0" w:beforeAutospacing="0" w:after="0" w:afterAutospacing="0"/>
              <w:ind w:left="0" w:right="0"/>
              <w:jc w:val="center"/>
              <w:rPr>
                <w:rFonts w:cs="宋体"/>
                <w:color w:val="000000" w:themeColor="text1"/>
                <w:kern w:val="2"/>
                <w:sz w:val="21"/>
                <w:szCs w:val="21"/>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内容</w:t>
            </w:r>
          </w:p>
        </w:tc>
        <w:tc>
          <w:tcPr>
            <w:tcW w:w="7904" w:type="dxa"/>
            <w:tcBorders>
              <w:tl2br w:val="nil"/>
              <w:tr2bl w:val="nil"/>
            </w:tcBorders>
            <w:shd w:val="clear" w:color="auto" w:fill="auto"/>
            <w:vAlign w:val="top"/>
          </w:tcPr>
          <w:p w14:paraId="45DC2C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1 项目概况</w:t>
            </w:r>
          </w:p>
          <w:p w14:paraId="2A84F3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 xml:space="preserve">1.1 </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项目由来</w:t>
            </w:r>
          </w:p>
          <w:p w14:paraId="72884AA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城市集中供热是城市重要的市政基础设施之一，集中供热普及率、热化率是现代化城市和环境友好型城市的重要标志，它反映一座城市的生活质量、环境质量、能源利用效率的综合管理水平。</w:t>
            </w:r>
          </w:p>
          <w:p w14:paraId="399957A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根据</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西安市集中供热区域规划图，</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未央经典（西旅逸都）</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小区所在区域未铺设集中供暖管道，不具备集中供暖条件；</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为保障未央经典（西旅逸都）小区的冬季提供集中供暖，陕西秦华热力有限公司计划在未央经典（西旅逸都）小区地下一层原设备用房建设项目供热中心。</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本项目与西安市集中供热区域供热管道位置关系图见附图9。</w:t>
            </w:r>
          </w:p>
          <w:p w14:paraId="6870FDF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为了保障未央经典（西旅逸都）小区的整体生活质量，2018年8月，陕西秦华热力有限公司计划在未央经典（西旅逸都）小区地下一层原设备用房建设项目供热中心，项目备案文号</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为“</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2018-611203-44-03-050511</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”，项目包括锅炉房1座，安装5台1.4MW真空热水锅炉</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，以及热泵机组2台，为未央经典（西旅逸都）住宅小区冬季提供集中供暖。项目立项完毕后由陕西阳光供热运营有限公司负责锅炉房的建设及供暖期的运营，供热中心的建设管理合同见附件10。</w:t>
            </w:r>
          </w:p>
          <w:p w14:paraId="2F9586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 xml:space="preserve"> </w:t>
            </w: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项目建设位置及四邻关系</w:t>
            </w:r>
          </w:p>
          <w:p w14:paraId="33C73B0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（1）项目建设位置：</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本项目位于陕西省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小区地下一层设备间</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，项目紧邻地下车库出入口及5#住宅楼地下一层</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7A358AA3">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（2）项目四邻关系：根据现场调查，本项</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目所在小区的外部四邻关系：东侧及南侧紧邻车刘村小区、南侧及西南侧紧邻欣欣家园小区，北侧紧邻西安高架快速干道。</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内部四邻关系：东侧为未央经典小区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住宅楼（最近环境保护目标距离本项目15m），南侧为小区大门口（距离本项目49m），西侧为未央经典小区4</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住宅楼（最近环境保护目标距离本项目15m），北侧为未央经典（西旅逸都）小区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住宅楼（距离本项目60m）、</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住宅楼（距离本项目60m）、</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住宅楼（距离本项目20m）</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33A96D6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本</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项目地理位置图详见附图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，未央经典（西旅逸都）小区总平面图详见附图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项目四邻关系见</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附图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0E8186E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（3）项目</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行政处罚情况</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：本项目锅炉房为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未央经典</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西旅逸都</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）的</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小区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配套设施，2018年11月建成，未办理环评；本项目锅炉房运行至今，未发生相关环境污染及投诉事件；根据《中华人民共和国环境保护法》第六十一条及《中华人民共和国环境影响评价法》第三十一条规定</w:t>
            </w:r>
            <w:r>
              <w:rPr>
                <w:rFonts w:hint="eastAsia" w:ascii="Times New Roman" w:hAnsi="Times New Roman" w:cs="Times New Roman"/>
                <w:color w:val="000000" w:themeColor="text1"/>
                <w:sz w:val="24"/>
                <w:szCs w:val="32"/>
                <w:lang w:val="en-US" w:eastAsia="zh-CN"/>
                <w14:textFill>
                  <w14:solidFill>
                    <w14:schemeClr w14:val="tx1"/>
                  </w14:solidFill>
                </w14:textFill>
              </w:rPr>
              <w:t>，本项目“未批先建”行政处罚已完成，处罚文件见附件9，本项目属于补报环评。</w:t>
            </w:r>
          </w:p>
          <w:p w14:paraId="5F3B392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 xml:space="preserve">2.3 </w:t>
            </w:r>
            <w:r>
              <w:rPr>
                <w:rFonts w:ascii="Times New Roman" w:hAnsi="Times New Roman" w:cs="Times New Roman"/>
                <w:b/>
                <w:bCs/>
                <w:color w:val="000000" w:themeColor="text1"/>
                <w:sz w:val="24"/>
                <w:szCs w:val="24"/>
                <w14:textFill>
                  <w14:solidFill>
                    <w14:schemeClr w14:val="tx1"/>
                  </w14:solidFill>
                </w14:textFill>
              </w:rPr>
              <w:t>建设内容与规模</w:t>
            </w:r>
          </w:p>
          <w:p w14:paraId="665EA8B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本项目工程供热范围内的热负荷性质全部为采暖热负荷，在未央经典（西旅逸都）小区地下一层原设备用房建设供热中心，设备间面积</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210m</w:t>
            </w:r>
            <w:r>
              <w:rPr>
                <w:rFonts w:hint="default"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，包括锅炉房</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座，规模为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5×1.4MW</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燃气真空热水锅炉，以及热泵机组</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台，同时新建与之配套的电气工程、给排水工程、土建工程、控制工程等。本项目供热管网仅涉及供热站一次供热及二次板换供热管网建设，不包括用户端及输送管网建设。该项目建成后主要用于未央经典（西旅逸都）小区的冬季供暖，总供热面积约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100000m</w:t>
            </w:r>
            <w:r>
              <w:rPr>
                <w:rFonts w:hint="default"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1DBA69BC">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b w:val="0"/>
                <w:snapToGrid/>
                <w:color w:val="000000" w:themeColor="text1"/>
                <w:spacing w:val="0"/>
                <w:kern w:val="2"/>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本项目由主体工程、辅助工程、公用工程、环保工程及依托工程组成，主要建设内容见表2-1。</w:t>
            </w:r>
          </w:p>
          <w:p w14:paraId="12FACEC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ascii="Times New Roman" w:hAnsi="Times New Roman"/>
                <w:b/>
                <w:color w:val="000000" w:themeColor="text1"/>
                <w:sz w:val="24"/>
                <w:szCs w:val="24"/>
                <w:highlight w:val="none"/>
                <w14:textFill>
                  <w14:solidFill>
                    <w14:schemeClr w14:val="tx1"/>
                  </w14:solidFill>
                </w14:textFill>
              </w:rPr>
            </w:pPr>
            <w:r>
              <w:rPr>
                <w:rFonts w:ascii="Times New Roman" w:hAnsi="Times New Roman"/>
                <w:b/>
                <w:color w:val="000000" w:themeColor="text1"/>
                <w:sz w:val="24"/>
                <w:szCs w:val="24"/>
                <w:highlight w:val="none"/>
                <w14:textFill>
                  <w14:solidFill>
                    <w14:schemeClr w14:val="tx1"/>
                  </w14:solidFill>
                </w14:textFill>
              </w:rPr>
              <w:t>表</w:t>
            </w:r>
            <w:r>
              <w:rPr>
                <w:rFonts w:hint="eastAsia" w:ascii="Times New Roman" w:hAnsi="Times New Roman"/>
                <w:b/>
                <w:color w:val="000000" w:themeColor="text1"/>
                <w:sz w:val="24"/>
                <w:szCs w:val="24"/>
                <w:highlight w:val="none"/>
                <w:lang w:val="en-US" w:eastAsia="zh-CN"/>
                <w14:textFill>
                  <w14:solidFill>
                    <w14:schemeClr w14:val="tx1"/>
                  </w14:solidFill>
                </w14:textFill>
              </w:rPr>
              <w:t>2</w:t>
            </w:r>
            <w:r>
              <w:rPr>
                <w:rFonts w:ascii="Times New Roman" w:hAnsi="Times New Roman"/>
                <w:b/>
                <w:color w:val="000000" w:themeColor="text1"/>
                <w:sz w:val="24"/>
                <w:szCs w:val="24"/>
                <w:highlight w:val="none"/>
                <w14:textFill>
                  <w14:solidFill>
                    <w14:schemeClr w14:val="tx1"/>
                  </w14:solidFill>
                </w14:textFill>
              </w:rPr>
              <w:t>-</w:t>
            </w:r>
            <w:r>
              <w:rPr>
                <w:rFonts w:hint="eastAsia" w:ascii="Times New Roman" w:hAnsi="Times New Roman"/>
                <w:b/>
                <w:color w:val="000000" w:themeColor="text1"/>
                <w:sz w:val="24"/>
                <w:szCs w:val="24"/>
                <w:highlight w:val="none"/>
                <w:lang w:val="en-US" w:eastAsia="zh-CN"/>
                <w14:textFill>
                  <w14:solidFill>
                    <w14:schemeClr w14:val="tx1"/>
                  </w14:solidFill>
                </w14:textFill>
              </w:rPr>
              <w:t>1</w:t>
            </w:r>
            <w:r>
              <w:rPr>
                <w:rFonts w:ascii="Times New Roman" w:hAnsi="Times New Roman"/>
                <w:b/>
                <w:color w:val="000000" w:themeColor="text1"/>
                <w:sz w:val="24"/>
                <w:szCs w:val="24"/>
                <w:highlight w:val="none"/>
                <w14:textFill>
                  <w14:solidFill>
                    <w14:schemeClr w14:val="tx1"/>
                  </w14:solidFill>
                </w14:textFill>
              </w:rPr>
              <w:t xml:space="preserve">  工程组成情况表</w:t>
            </w:r>
          </w:p>
          <w:tbl>
            <w:tblPr>
              <w:tblStyle w:val="26"/>
              <w:tblW w:w="768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838"/>
              <w:gridCol w:w="1210"/>
              <w:gridCol w:w="1175"/>
              <w:gridCol w:w="3579"/>
              <w:gridCol w:w="881"/>
            </w:tblGrid>
            <w:tr w14:paraId="5EDD30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tcBorders>
                    <w:tl2br w:val="nil"/>
                    <w:tr2bl w:val="nil"/>
                  </w:tcBorders>
                  <w:noWrap w:val="0"/>
                  <w:vAlign w:val="center"/>
                </w:tcPr>
                <w:p w14:paraId="426362D1">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787" w:type="pct"/>
                  <w:tcBorders>
                    <w:tl2br w:val="nil"/>
                    <w:tr2bl w:val="nil"/>
                  </w:tcBorders>
                  <w:noWrap w:val="0"/>
                  <w:vAlign w:val="center"/>
                </w:tcPr>
                <w:p w14:paraId="29394BB3">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项目名称</w:t>
                  </w:r>
                </w:p>
              </w:tc>
              <w:tc>
                <w:tcPr>
                  <w:tcW w:w="764" w:type="pct"/>
                  <w:tcBorders>
                    <w:tl2br w:val="nil"/>
                    <w:tr2bl w:val="nil"/>
                  </w:tcBorders>
                  <w:noWrap w:val="0"/>
                  <w:vAlign w:val="center"/>
                </w:tcPr>
                <w:p w14:paraId="7465D1FD">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项目组成</w:t>
                  </w:r>
                </w:p>
              </w:tc>
              <w:tc>
                <w:tcPr>
                  <w:tcW w:w="2329" w:type="pct"/>
                  <w:tcBorders>
                    <w:tl2br w:val="nil"/>
                    <w:tr2bl w:val="nil"/>
                  </w:tcBorders>
                  <w:noWrap w:val="0"/>
                  <w:vAlign w:val="center"/>
                </w:tcPr>
                <w:p w14:paraId="5050C309">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规模</w:t>
                  </w:r>
                </w:p>
              </w:tc>
              <w:tc>
                <w:tcPr>
                  <w:tcW w:w="573" w:type="pct"/>
                  <w:tcBorders>
                    <w:tl2br w:val="nil"/>
                    <w:tr2bl w:val="nil"/>
                  </w:tcBorders>
                  <w:noWrap w:val="0"/>
                  <w:vAlign w:val="center"/>
                </w:tcPr>
                <w:p w14:paraId="21BDE7C8">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备注</w:t>
                  </w:r>
                </w:p>
              </w:tc>
            </w:tr>
            <w:tr w14:paraId="7B12F46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tcBorders>
                    <w:tl2br w:val="nil"/>
                    <w:tr2bl w:val="nil"/>
                  </w:tcBorders>
                  <w:noWrap w:val="0"/>
                  <w:vAlign w:val="center"/>
                </w:tcPr>
                <w:p w14:paraId="175E74F5">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787" w:type="pct"/>
                  <w:tcBorders>
                    <w:tl2br w:val="nil"/>
                    <w:tr2bl w:val="nil"/>
                  </w:tcBorders>
                  <w:noWrap w:val="0"/>
                  <w:vAlign w:val="center"/>
                </w:tcPr>
                <w:p w14:paraId="2B6E6A97">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主体工程</w:t>
                  </w:r>
                </w:p>
              </w:tc>
              <w:tc>
                <w:tcPr>
                  <w:tcW w:w="764" w:type="pct"/>
                  <w:tcBorders>
                    <w:tl2br w:val="nil"/>
                    <w:tr2bl w:val="nil"/>
                  </w:tcBorders>
                  <w:noWrap w:val="0"/>
                  <w:vAlign w:val="center"/>
                </w:tcPr>
                <w:p w14:paraId="3D2F51A1">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锅炉房</w:t>
                  </w:r>
                </w:p>
              </w:tc>
              <w:tc>
                <w:tcPr>
                  <w:tcW w:w="2329" w:type="pct"/>
                  <w:tcBorders>
                    <w:tl2br w:val="nil"/>
                    <w:tr2bl w:val="nil"/>
                  </w:tcBorders>
                  <w:noWrap w:val="0"/>
                  <w:vAlign w:val="center"/>
                </w:tcPr>
                <w:p w14:paraId="4621F3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210" w:firstLineChars="100"/>
                    <w:textAlignment w:val="auto"/>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地下一层建设锅炉房</w:t>
                  </w:r>
                  <w:r>
                    <w:rPr>
                      <w:rFonts w:hint="eastAsia" w:ascii="Times New Roman" w:hAnsi="Times New Roman" w:eastAsia="宋体" w:cs="Times New Roman"/>
                      <w:color w:val="000000" w:themeColor="text1"/>
                      <w:lang w:val="en-US" w:eastAsia="zh-CN"/>
                      <w14:textFill>
                        <w14:solidFill>
                          <w14:schemeClr w14:val="tx1"/>
                        </w14:solidFill>
                      </w14:textFill>
                    </w:rPr>
                    <w:t>1</w:t>
                  </w:r>
                  <w:r>
                    <w:rPr>
                      <w:rFonts w:hint="default" w:ascii="Times New Roman" w:hAnsi="Times New Roman" w:eastAsia="宋体" w:cs="Times New Roman"/>
                      <w:color w:val="000000" w:themeColor="text1"/>
                      <w:lang w:val="en-US" w:eastAsia="zh-CN"/>
                      <w14:textFill>
                        <w14:solidFill>
                          <w14:schemeClr w14:val="tx1"/>
                        </w14:solidFill>
                      </w14:textFill>
                    </w:rPr>
                    <w:t>座，面积</w:t>
                  </w:r>
                  <w:r>
                    <w:rPr>
                      <w:rFonts w:hint="eastAsia" w:ascii="Times New Roman" w:hAnsi="Times New Roman" w:eastAsia="宋体" w:cs="Times New Roman"/>
                      <w:color w:val="000000" w:themeColor="text1"/>
                      <w:lang w:val="en-US" w:eastAsia="zh-CN"/>
                      <w14:textFill>
                        <w14:solidFill>
                          <w14:schemeClr w14:val="tx1"/>
                        </w14:solidFill>
                      </w14:textFill>
                    </w:rPr>
                    <w:t>为</w:t>
                  </w:r>
                  <w:r>
                    <w:rPr>
                      <w:rFonts w:hint="default" w:ascii="Times New Roman" w:hAnsi="Times New Roman" w:eastAsia="宋体" w:cs="Times New Roman"/>
                      <w:color w:val="000000" w:themeColor="text1"/>
                      <w:lang w:val="en-US" w:eastAsia="zh-CN"/>
                      <w14:textFill>
                        <w14:solidFill>
                          <w14:schemeClr w14:val="tx1"/>
                        </w14:solidFill>
                      </w14:textFill>
                    </w:rPr>
                    <w:t>210m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lang w:val="en-US" w:eastAsia="zh-CN"/>
                      <w14:textFill>
                        <w14:solidFill>
                          <w14:schemeClr w14:val="tx1"/>
                        </w14:solidFill>
                      </w14:textFill>
                    </w:rPr>
                    <w:t>，安装5台1.4M</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的</w:t>
                  </w:r>
                  <w:r>
                    <w:rPr>
                      <w:rFonts w:hint="eastAsia" w:ascii="宋体" w:hAnsi="宋体" w:eastAsia="宋体" w:cs="宋体"/>
                      <w:color w:val="000000" w:themeColor="text1"/>
                      <w:kern w:val="0"/>
                      <w:sz w:val="21"/>
                      <w:szCs w:val="21"/>
                      <w:lang w:val="en-US" w:eastAsia="zh-CN" w:bidi="ar"/>
                      <w14:textFill>
                        <w14:solidFill>
                          <w14:schemeClr w14:val="tx1"/>
                        </w14:solidFill>
                      </w14:textFill>
                    </w:rPr>
                    <w:t>燃气热水锅炉；换热站，安装热泵机组</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w:t>
                  </w:r>
                  <w:r>
                    <w:rPr>
                      <w:rFonts w:hint="eastAsia" w:ascii="宋体" w:hAnsi="宋体" w:eastAsia="宋体" w:cs="宋体"/>
                      <w:color w:val="000000" w:themeColor="text1"/>
                      <w:kern w:val="0"/>
                      <w:sz w:val="21"/>
                      <w:szCs w:val="21"/>
                      <w:lang w:val="en-US" w:eastAsia="zh-CN" w:bidi="ar"/>
                      <w14:textFill>
                        <w14:solidFill>
                          <w14:schemeClr w14:val="tx1"/>
                        </w14:solidFill>
                      </w14:textFill>
                    </w:rPr>
                    <w:t>台；燃气热水锅炉</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额定热功率：</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MW，额定出水/回水温度：</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5℃/50℃；热效率：9</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%；年最大耗气量</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72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万m</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/a；</w:t>
                  </w:r>
                </w:p>
              </w:tc>
              <w:tc>
                <w:tcPr>
                  <w:tcW w:w="573" w:type="pct"/>
                  <w:tcBorders>
                    <w:tl2br w:val="nil"/>
                    <w:tr2bl w:val="nil"/>
                  </w:tcBorders>
                  <w:noWrap w:val="0"/>
                  <w:vAlign w:val="center"/>
                </w:tcPr>
                <w:p w14:paraId="21CB6EDD">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eastAsia" w:asciiTheme="minorHAnsi" w:hAnsiTheme="minorHAnsi" w:eastAsiaTheme="minorEastAsia" w:cstheme="minorBidi"/>
                      <w:bCs/>
                      <w:color w:val="000000" w:themeColor="text1"/>
                      <w:kern w:val="2"/>
                      <w:sz w:val="21"/>
                      <w:szCs w:val="21"/>
                      <w:lang w:val="en-US" w:eastAsia="zh-CN" w:bidi="ar-SA"/>
                      <w14:textFill>
                        <w14:solidFill>
                          <w14:schemeClr w14:val="tx1"/>
                        </w14:solidFill>
                      </w14:textFill>
                    </w:rPr>
                  </w:pPr>
                  <w:r>
                    <w:rPr>
                      <w:bCs/>
                      <w:color w:val="000000" w:themeColor="text1"/>
                      <w:szCs w:val="21"/>
                      <w14:textFill>
                        <w14:solidFill>
                          <w14:schemeClr w14:val="tx1"/>
                        </w14:solidFill>
                      </w14:textFill>
                    </w:rPr>
                    <w:t>已建成</w:t>
                  </w:r>
                </w:p>
              </w:tc>
            </w:tr>
            <w:tr w14:paraId="21EF18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restart"/>
                  <w:tcBorders>
                    <w:tl2br w:val="nil"/>
                    <w:tr2bl w:val="nil"/>
                  </w:tcBorders>
                  <w:noWrap w:val="0"/>
                  <w:vAlign w:val="center"/>
                </w:tcPr>
                <w:p w14:paraId="52AF102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787" w:type="pct"/>
                  <w:vMerge w:val="restart"/>
                  <w:tcBorders>
                    <w:tl2br w:val="nil"/>
                    <w:tr2bl w:val="nil"/>
                  </w:tcBorders>
                  <w:noWrap w:val="0"/>
                  <w:vAlign w:val="center"/>
                </w:tcPr>
                <w:p w14:paraId="04EEEB0C">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辅助工程</w:t>
                  </w:r>
                </w:p>
              </w:tc>
              <w:tc>
                <w:tcPr>
                  <w:tcW w:w="764" w:type="pct"/>
                  <w:tcBorders>
                    <w:tl2br w:val="nil"/>
                    <w:tr2bl w:val="nil"/>
                  </w:tcBorders>
                  <w:noWrap w:val="0"/>
                  <w:vAlign w:val="center"/>
                </w:tcPr>
                <w:p w14:paraId="2321593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供气管网</w:t>
                  </w:r>
                </w:p>
              </w:tc>
              <w:tc>
                <w:tcPr>
                  <w:tcW w:w="2329" w:type="pct"/>
                  <w:tcBorders>
                    <w:tl2br w:val="nil"/>
                    <w:tr2bl w:val="nil"/>
                  </w:tcBorders>
                  <w:noWrap w:val="0"/>
                  <w:vAlign w:val="center"/>
                </w:tcPr>
                <w:p w14:paraId="6426E837">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firstLine="210" w:firstLineChars="100"/>
                    <w:jc w:val="both"/>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锅炉房引入</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低压燃气DN</w:t>
                  </w:r>
                  <w:r>
                    <w:rPr>
                      <w:rFonts w:hint="eastAsia" w:ascii="Times New Roman" w:eastAsia="宋体" w:cs="Times New Roman"/>
                      <w:color w:val="000000" w:themeColor="text1"/>
                      <w:kern w:val="0"/>
                      <w:sz w:val="21"/>
                      <w:szCs w:val="21"/>
                      <w:lang w:val="en-US" w:eastAsia="zh-CN" w:bidi="ar-SA"/>
                      <w14:textFill>
                        <w14:solidFill>
                          <w14:schemeClr w14:val="tx1"/>
                        </w14:solidFill>
                      </w14:textFill>
                    </w:rPr>
                    <w:t>200</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管道</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573" w:type="pct"/>
                  <w:tcBorders>
                    <w:tl2br w:val="nil"/>
                    <w:tr2bl w:val="nil"/>
                  </w:tcBorders>
                  <w:noWrap w:val="0"/>
                  <w:vAlign w:val="center"/>
                </w:tcPr>
                <w:p w14:paraId="003FE5F7">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已建成</w:t>
                  </w:r>
                </w:p>
              </w:tc>
            </w:tr>
            <w:tr w14:paraId="1FD070A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467D0121">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87" w:type="pct"/>
                  <w:vMerge w:val="continue"/>
                  <w:tcBorders>
                    <w:tl2br w:val="nil"/>
                    <w:tr2bl w:val="nil"/>
                  </w:tcBorders>
                  <w:noWrap w:val="0"/>
                  <w:vAlign w:val="center"/>
                </w:tcPr>
                <w:p w14:paraId="78587457">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764" w:type="pct"/>
                  <w:tcBorders>
                    <w:tl2br w:val="nil"/>
                    <w:tr2bl w:val="nil"/>
                  </w:tcBorders>
                  <w:noWrap w:val="0"/>
                  <w:vAlign w:val="center"/>
                </w:tcPr>
                <w:p w14:paraId="118F801A">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软水制备</w:t>
                  </w:r>
                </w:p>
              </w:tc>
              <w:tc>
                <w:tcPr>
                  <w:tcW w:w="2329" w:type="pct"/>
                  <w:tcBorders>
                    <w:tl2br w:val="nil"/>
                    <w:tr2bl w:val="nil"/>
                  </w:tcBorders>
                  <w:noWrap w:val="0"/>
                  <w:vAlign w:val="center"/>
                </w:tcPr>
                <w:p w14:paraId="32723A76">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锅炉房安装</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1</w:t>
                  </w:r>
                  <w:r>
                    <w:rPr>
                      <w:rFonts w:hint="eastAsia" w:ascii="Times New Roman" w:eastAsia="宋体" w:cs="Times New Roman"/>
                      <w:color w:val="000000" w:themeColor="text1"/>
                      <w:kern w:val="0"/>
                      <w:sz w:val="21"/>
                      <w:szCs w:val="21"/>
                      <w:lang w:val="en-US" w:eastAsia="zh-CN" w:bidi="ar-SA"/>
                      <w14:textFill>
                        <w14:solidFill>
                          <w14:schemeClr w14:val="tx1"/>
                        </w14:solidFill>
                      </w14:textFill>
                    </w:rPr>
                    <w:t>台</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全自动软水设备；</w:t>
                  </w:r>
                </w:p>
              </w:tc>
              <w:tc>
                <w:tcPr>
                  <w:tcW w:w="573" w:type="pct"/>
                  <w:tcBorders>
                    <w:tl2br w:val="nil"/>
                    <w:tr2bl w:val="nil"/>
                  </w:tcBorders>
                  <w:noWrap w:val="0"/>
                  <w:vAlign w:val="center"/>
                </w:tcPr>
                <w:p w14:paraId="328A04F6">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已建成</w:t>
                  </w:r>
                </w:p>
              </w:tc>
            </w:tr>
            <w:tr w14:paraId="76CEC29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5ADD3A2B">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87" w:type="pct"/>
                  <w:vMerge w:val="continue"/>
                  <w:tcBorders>
                    <w:tl2br w:val="nil"/>
                    <w:tr2bl w:val="nil"/>
                  </w:tcBorders>
                  <w:noWrap w:val="0"/>
                  <w:vAlign w:val="center"/>
                </w:tcPr>
                <w:p w14:paraId="20C0D237">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764" w:type="pct"/>
                  <w:tcBorders>
                    <w:tl2br w:val="nil"/>
                    <w:tr2bl w:val="nil"/>
                  </w:tcBorders>
                  <w:noWrap w:val="0"/>
                  <w:vAlign w:val="center"/>
                </w:tcPr>
                <w:p w14:paraId="7D2C578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降温池</w:t>
                  </w:r>
                </w:p>
              </w:tc>
              <w:tc>
                <w:tcPr>
                  <w:tcW w:w="2329" w:type="pct"/>
                  <w:tcBorders>
                    <w:tl2br w:val="nil"/>
                    <w:tr2bl w:val="nil"/>
                  </w:tcBorders>
                  <w:noWrap w:val="0"/>
                  <w:vAlign w:val="center"/>
                </w:tcPr>
                <w:p w14:paraId="65FAEF70">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1座（1.5m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降温池</w:t>
                  </w:r>
                </w:p>
              </w:tc>
              <w:tc>
                <w:tcPr>
                  <w:tcW w:w="573" w:type="pct"/>
                  <w:tcBorders>
                    <w:tl2br w:val="nil"/>
                    <w:tr2bl w:val="nil"/>
                  </w:tcBorders>
                  <w:noWrap w:val="0"/>
                  <w:vAlign w:val="center"/>
                </w:tcPr>
                <w:p w14:paraId="3369D2F1">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已建成</w:t>
                  </w:r>
                </w:p>
              </w:tc>
            </w:tr>
            <w:tr w14:paraId="04E32C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restart"/>
                  <w:tcBorders>
                    <w:tl2br w:val="nil"/>
                    <w:tr2bl w:val="nil"/>
                  </w:tcBorders>
                  <w:noWrap w:val="0"/>
                  <w:vAlign w:val="center"/>
                </w:tcPr>
                <w:p w14:paraId="256A132F">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787" w:type="pct"/>
                  <w:vMerge w:val="restart"/>
                  <w:tcBorders>
                    <w:tl2br w:val="nil"/>
                    <w:tr2bl w:val="nil"/>
                  </w:tcBorders>
                  <w:noWrap w:val="0"/>
                  <w:vAlign w:val="center"/>
                </w:tcPr>
                <w:p w14:paraId="08D86E96">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w:t>
                  </w:r>
                </w:p>
                <w:p w14:paraId="7C7E1A29">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764" w:type="pct"/>
                  <w:tcBorders>
                    <w:tl2br w:val="nil"/>
                    <w:tr2bl w:val="nil"/>
                  </w:tcBorders>
                  <w:noWrap w:val="0"/>
                  <w:vAlign w:val="center"/>
                </w:tcPr>
                <w:p w14:paraId="0EBC0E34">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供水</w:t>
                  </w:r>
                </w:p>
              </w:tc>
              <w:tc>
                <w:tcPr>
                  <w:tcW w:w="2329" w:type="pct"/>
                  <w:tcBorders>
                    <w:tl2br w:val="nil"/>
                    <w:tr2bl w:val="nil"/>
                  </w:tcBorders>
                  <w:noWrap w:val="0"/>
                  <w:vAlign w:val="center"/>
                </w:tcPr>
                <w:p w14:paraId="53FD2FF5">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市政给水管网</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573" w:type="pct"/>
                  <w:tcBorders>
                    <w:tl2br w:val="nil"/>
                    <w:tr2bl w:val="nil"/>
                  </w:tcBorders>
                  <w:noWrap w:val="0"/>
                  <w:vAlign w:val="center"/>
                </w:tcPr>
                <w:p w14:paraId="093F7A5D">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7FA7B9B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2A50C6E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87" w:type="pct"/>
                  <w:vMerge w:val="continue"/>
                  <w:tcBorders>
                    <w:tl2br w:val="nil"/>
                    <w:tr2bl w:val="nil"/>
                  </w:tcBorders>
                  <w:noWrap w:val="0"/>
                  <w:vAlign w:val="center"/>
                </w:tcPr>
                <w:p w14:paraId="2B83C146">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64" w:type="pct"/>
                  <w:tcBorders>
                    <w:tl2br w:val="nil"/>
                    <w:tr2bl w:val="nil"/>
                  </w:tcBorders>
                  <w:noWrap w:val="0"/>
                  <w:vAlign w:val="center"/>
                </w:tcPr>
                <w:p w14:paraId="24D8B7BB">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排水</w:t>
                  </w:r>
                </w:p>
              </w:tc>
              <w:tc>
                <w:tcPr>
                  <w:tcW w:w="2329" w:type="pct"/>
                  <w:tcBorders>
                    <w:tl2br w:val="nil"/>
                    <w:tr2bl w:val="nil"/>
                  </w:tcBorders>
                  <w:noWrap w:val="0"/>
                  <w:vAlign w:val="center"/>
                </w:tcPr>
                <w:p w14:paraId="01398119">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排至</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市政</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污水管网</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573" w:type="pct"/>
                  <w:tcBorders>
                    <w:tl2br w:val="nil"/>
                    <w:tr2bl w:val="nil"/>
                  </w:tcBorders>
                  <w:noWrap w:val="0"/>
                  <w:vAlign w:val="center"/>
                </w:tcPr>
                <w:p w14:paraId="0E192858">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4FB01B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043F4773">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87" w:type="pct"/>
                  <w:vMerge w:val="continue"/>
                  <w:tcBorders>
                    <w:tl2br w:val="nil"/>
                    <w:tr2bl w:val="nil"/>
                  </w:tcBorders>
                  <w:noWrap w:val="0"/>
                  <w:vAlign w:val="center"/>
                </w:tcPr>
                <w:p w14:paraId="20480D60">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64" w:type="pct"/>
                  <w:tcBorders>
                    <w:tl2br w:val="nil"/>
                    <w:tr2bl w:val="nil"/>
                  </w:tcBorders>
                  <w:noWrap w:val="0"/>
                  <w:vAlign w:val="center"/>
                </w:tcPr>
                <w:p w14:paraId="2A8FD1A8">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2329" w:type="pct"/>
                  <w:tcBorders>
                    <w:tl2br w:val="nil"/>
                    <w:tr2bl w:val="nil"/>
                  </w:tcBorders>
                  <w:noWrap w:val="0"/>
                  <w:vAlign w:val="center"/>
                </w:tcPr>
                <w:p w14:paraId="3D9CE9C6">
                  <w:pPr>
                    <w:pStyle w:val="3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市政开闭所引入1路10kV电源进线</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573" w:type="pct"/>
                  <w:tcBorders>
                    <w:tl2br w:val="nil"/>
                    <w:tr2bl w:val="nil"/>
                  </w:tcBorders>
                  <w:noWrap w:val="0"/>
                  <w:vAlign w:val="center"/>
                </w:tcPr>
                <w:p w14:paraId="2BB0B5EF">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51028E6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2E64243B">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87" w:type="pct"/>
                  <w:vMerge w:val="continue"/>
                  <w:tcBorders>
                    <w:tl2br w:val="nil"/>
                    <w:tr2bl w:val="nil"/>
                  </w:tcBorders>
                  <w:noWrap w:val="0"/>
                  <w:vAlign w:val="center"/>
                </w:tcPr>
                <w:p w14:paraId="1AEA77C0">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64" w:type="pct"/>
                  <w:tcBorders>
                    <w:tl2br w:val="nil"/>
                    <w:tr2bl w:val="nil"/>
                  </w:tcBorders>
                  <w:noWrap w:val="0"/>
                  <w:vAlign w:val="center"/>
                </w:tcPr>
                <w:p w14:paraId="228DD0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240" w:lineRule="exact"/>
                    <w:ind w:left="0" w:right="0" w:rightChars="0"/>
                    <w:jc w:val="center"/>
                    <w:textAlignment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供气</w:t>
                  </w:r>
                </w:p>
              </w:tc>
              <w:tc>
                <w:tcPr>
                  <w:tcW w:w="2329" w:type="pct"/>
                  <w:tcBorders>
                    <w:tl2br w:val="nil"/>
                    <w:tr2bl w:val="nil"/>
                  </w:tcBorders>
                  <w:noWrap w:val="0"/>
                  <w:vAlign w:val="center"/>
                </w:tcPr>
                <w:p w14:paraId="10687C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240" w:lineRule="exact"/>
                    <w:ind w:left="0" w:right="0" w:rightChars="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天然气由市政供气管网引入</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c>
                <w:tcPr>
                  <w:tcW w:w="573" w:type="pct"/>
                  <w:tcBorders>
                    <w:tl2br w:val="nil"/>
                    <w:tr2bl w:val="nil"/>
                  </w:tcBorders>
                  <w:noWrap w:val="0"/>
                  <w:vAlign w:val="center"/>
                </w:tcPr>
                <w:p w14:paraId="57D49891">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6E696B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restart"/>
                  <w:tcBorders>
                    <w:tl2br w:val="nil"/>
                    <w:tr2bl w:val="nil"/>
                  </w:tcBorders>
                  <w:noWrap w:val="0"/>
                  <w:vAlign w:val="center"/>
                </w:tcPr>
                <w:p w14:paraId="55FE0C4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787" w:type="pct"/>
                  <w:vMerge w:val="restart"/>
                  <w:tcBorders>
                    <w:tl2br w:val="nil"/>
                    <w:tr2bl w:val="nil"/>
                  </w:tcBorders>
                  <w:noWrap w:val="0"/>
                  <w:vAlign w:val="center"/>
                </w:tcPr>
                <w:p w14:paraId="0A063C0D">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环保工程</w:t>
                  </w:r>
                </w:p>
              </w:tc>
              <w:tc>
                <w:tcPr>
                  <w:tcW w:w="764" w:type="pct"/>
                  <w:tcBorders>
                    <w:tl2br w:val="nil"/>
                    <w:tr2bl w:val="nil"/>
                  </w:tcBorders>
                  <w:noWrap w:val="0"/>
                  <w:vAlign w:val="center"/>
                </w:tcPr>
                <w:p w14:paraId="5F6CC8F5">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p>
              </w:tc>
              <w:tc>
                <w:tcPr>
                  <w:tcW w:w="2329" w:type="pct"/>
                  <w:tcBorders>
                    <w:tl2br w:val="nil"/>
                    <w:tr2bl w:val="nil"/>
                  </w:tcBorders>
                  <w:noWrap w:val="0"/>
                  <w:vAlign w:val="center"/>
                </w:tcPr>
                <w:p w14:paraId="14C48C8C">
                  <w:pPr>
                    <w:keepNext w:val="0"/>
                    <w:keepLines w:val="0"/>
                    <w:pageBreakBefore w:val="0"/>
                    <w:suppressLineNumbers w:val="0"/>
                    <w:kinsoku/>
                    <w:wordWrap/>
                    <w:overflowPunct/>
                    <w:topLinePunct w:val="0"/>
                    <w:bidi w:val="0"/>
                    <w:spacing w:before="0" w:beforeAutospacing="0" w:after="0" w:afterAutospacing="0" w:line="240" w:lineRule="exact"/>
                    <w:ind w:left="0" w:right="0" w:firstLine="210" w:firstLineChars="100"/>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highlight w:val="none"/>
                      <w:shd w:val="clear"/>
                      <w:lang w:val="en-US" w:eastAsia="zh-CN"/>
                      <w14:textFill>
                        <w14:solidFill>
                          <w14:schemeClr w14:val="tx1"/>
                        </w14:solidFill>
                      </w14:textFill>
                    </w:rPr>
                    <w:t>5</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台</w:t>
                  </w:r>
                  <w:r>
                    <w:rPr>
                      <w:rFonts w:hint="default" w:ascii="Times New Roman" w:hAnsi="Times New Roman" w:cs="Times New Roman"/>
                      <w:color w:val="000000" w:themeColor="text1"/>
                      <w:sz w:val="21"/>
                      <w:szCs w:val="21"/>
                      <w:highlight w:val="none"/>
                      <w:shd w:val="clear"/>
                      <w:lang w:val="en-US" w:eastAsia="zh-CN"/>
                      <w14:textFill>
                        <w14:solidFill>
                          <w14:schemeClr w14:val="tx1"/>
                        </w14:solidFill>
                      </w14:textFill>
                    </w:rPr>
                    <w:t>1.4MW</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燃气热水锅炉</w:t>
                  </w:r>
                  <w:r>
                    <w:rPr>
                      <w:rFonts w:hint="default" w:ascii="Times New Roman" w:hAnsi="Times New Roman" w:cs="Times New Roman"/>
                      <w:color w:val="000000" w:themeColor="text1"/>
                      <w:sz w:val="21"/>
                      <w:szCs w:val="21"/>
                      <w:highlight w:val="none"/>
                      <w:shd w:val="clear"/>
                      <w:lang w:eastAsia="zh-CN"/>
                      <w14:textFill>
                        <w14:solidFill>
                          <w14:schemeClr w14:val="tx1"/>
                        </w14:solidFill>
                      </w14:textFill>
                    </w:rPr>
                    <w:t>自带低氮</w:t>
                  </w:r>
                  <w:r>
                    <w:rPr>
                      <w:rFonts w:hint="default" w:ascii="Times New Roman" w:hAnsi="Times New Roman" w:cs="Times New Roman"/>
                      <w:color w:val="000000" w:themeColor="text1"/>
                      <w:sz w:val="21"/>
                      <w:szCs w:val="21"/>
                      <w:lang w:eastAsia="zh-CN"/>
                      <w14:textFill>
                        <w14:solidFill>
                          <w14:schemeClr w14:val="tx1"/>
                        </w14:solidFill>
                      </w14:textFill>
                    </w:rPr>
                    <w:t>燃烧器，锅炉废气经过</w:t>
                  </w:r>
                  <w:r>
                    <w:rPr>
                      <w:rFonts w:hint="eastAsia" w:ascii="Times New Roman" w:hAnsi="Times New Roman" w:cs="Times New Roman"/>
                      <w:color w:val="000000" w:themeColor="text1"/>
                      <w:sz w:val="21"/>
                      <w:szCs w:val="21"/>
                      <w:lang w:val="en-US" w:eastAsia="zh-CN"/>
                      <w14:textFill>
                        <w14:solidFill>
                          <w14:schemeClr w14:val="tx1"/>
                        </w14:solidFill>
                      </w14:textFill>
                    </w:rPr>
                    <w:t>H：37</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m</w:t>
                  </w:r>
                  <w:r>
                    <w:rPr>
                      <w:rFonts w:hint="eastAsia" w:ascii="Times New Roman" w:hAnsi="Times New Roman" w:cs="Times New Roman"/>
                      <w:color w:val="000000" w:themeColor="text1"/>
                      <w:sz w:val="21"/>
                      <w:szCs w:val="21"/>
                      <w:highlight w:val="none"/>
                      <w:shd w:val="clear"/>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D=1000mm</w:t>
                  </w:r>
                  <w:r>
                    <w:rPr>
                      <w:rFonts w:hint="default" w:ascii="Times New Roman" w:hAnsi="Times New Roman" w:cs="Times New Roman"/>
                      <w:color w:val="000000" w:themeColor="text1"/>
                      <w:sz w:val="21"/>
                      <w:szCs w:val="21"/>
                      <w:highlight w:val="none"/>
                      <w:shd w:val="clear"/>
                      <w:lang w:eastAsia="zh-CN"/>
                      <w14:textFill>
                        <w14:solidFill>
                          <w14:schemeClr w14:val="tx1"/>
                        </w14:solidFill>
                      </w14:textFill>
                    </w:rPr>
                    <w:t>排气筒（DA001）排放</w:t>
                  </w:r>
                  <w:r>
                    <w:rPr>
                      <w:rFonts w:hint="eastAsia" w:ascii="Times New Roman" w:hAnsi="Times New Roman" w:cs="Times New Roman"/>
                      <w:color w:val="000000" w:themeColor="text1"/>
                      <w:sz w:val="21"/>
                      <w:szCs w:val="21"/>
                      <w:highlight w:val="none"/>
                      <w:shd w:val="clear"/>
                      <w:lang w:eastAsia="zh-CN"/>
                      <w14:textFill>
                        <w14:solidFill>
                          <w14:schemeClr w14:val="tx1"/>
                        </w14:solidFill>
                      </w14:textFill>
                    </w:rPr>
                    <w:t>；</w:t>
                  </w:r>
                </w:p>
              </w:tc>
              <w:tc>
                <w:tcPr>
                  <w:tcW w:w="573" w:type="pct"/>
                  <w:tcBorders>
                    <w:tl2br w:val="nil"/>
                    <w:tr2bl w:val="nil"/>
                  </w:tcBorders>
                  <w:noWrap w:val="0"/>
                  <w:vAlign w:val="center"/>
                </w:tcPr>
                <w:p w14:paraId="6C2824A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bCs/>
                      <w:color w:val="000000" w:themeColor="text1"/>
                      <w:szCs w:val="21"/>
                      <w14:textFill>
                        <w14:solidFill>
                          <w14:schemeClr w14:val="tx1"/>
                        </w14:solidFill>
                      </w14:textFill>
                    </w:rPr>
                    <w:t>已建成</w:t>
                  </w:r>
                </w:p>
              </w:tc>
            </w:tr>
            <w:tr w14:paraId="7EB820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6BA313C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87" w:type="pct"/>
                  <w:vMerge w:val="continue"/>
                  <w:tcBorders>
                    <w:tl2br w:val="nil"/>
                    <w:tr2bl w:val="nil"/>
                  </w:tcBorders>
                  <w:noWrap w:val="0"/>
                  <w:vAlign w:val="center"/>
                </w:tcPr>
                <w:p w14:paraId="72FA8A7D">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64" w:type="pct"/>
                  <w:tcBorders>
                    <w:tl2br w:val="nil"/>
                    <w:tr2bl w:val="nil"/>
                  </w:tcBorders>
                  <w:noWrap w:val="0"/>
                  <w:vAlign w:val="center"/>
                </w:tcPr>
                <w:p w14:paraId="195BEBB0">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w:t>
                  </w:r>
                </w:p>
              </w:tc>
              <w:tc>
                <w:tcPr>
                  <w:tcW w:w="2329" w:type="pct"/>
                  <w:tcBorders>
                    <w:tl2br w:val="nil"/>
                    <w:tr2bl w:val="nil"/>
                  </w:tcBorders>
                  <w:noWrap w:val="0"/>
                  <w:vAlign w:val="center"/>
                </w:tcPr>
                <w:p w14:paraId="7957E70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firstLine="210" w:firstLineChars="1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锅炉定期排污水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、反冲洗废水及软化水系统排水经锅炉房降温池沉淀后进入小区</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化粪池</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预处理</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后排入市政污水管道</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，最终进入西安净水处理有限责任公司第六再生水厂进行处理</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573" w:type="pct"/>
                  <w:tcBorders>
                    <w:tl2br w:val="nil"/>
                    <w:tr2bl w:val="nil"/>
                  </w:tcBorders>
                  <w:noWrap w:val="0"/>
                  <w:vAlign w:val="center"/>
                </w:tcPr>
                <w:p w14:paraId="0E3B1EB0">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1C835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392DFF94">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87" w:type="pct"/>
                  <w:vMerge w:val="continue"/>
                  <w:tcBorders>
                    <w:tl2br w:val="nil"/>
                    <w:tr2bl w:val="nil"/>
                  </w:tcBorders>
                  <w:noWrap w:val="0"/>
                  <w:vAlign w:val="center"/>
                </w:tcPr>
                <w:p w14:paraId="339571CF">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64" w:type="pct"/>
                  <w:tcBorders>
                    <w:tl2br w:val="nil"/>
                    <w:tr2bl w:val="nil"/>
                  </w:tcBorders>
                  <w:noWrap w:val="0"/>
                  <w:vAlign w:val="center"/>
                </w:tcPr>
                <w:p w14:paraId="57BFE494">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2329" w:type="pct"/>
                  <w:tcBorders>
                    <w:tl2br w:val="nil"/>
                    <w:tr2bl w:val="nil"/>
                  </w:tcBorders>
                  <w:noWrap w:val="0"/>
                  <w:vAlign w:val="center"/>
                </w:tcPr>
                <w:p w14:paraId="5F5C274B">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firstLine="210" w:firstLineChars="100"/>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设备选用低噪声型设备，采取基础减振、</w:t>
                  </w:r>
                  <w:r>
                    <w:rPr>
                      <w:rFonts w:hint="eastAsia" w:ascii="Times New Roman" w:hAnsi="Times New Roman" w:cs="Times New Roman"/>
                      <w:color w:val="000000" w:themeColor="text1"/>
                      <w:sz w:val="21"/>
                      <w:szCs w:val="21"/>
                      <w:lang w:val="en-US" w:eastAsia="zh-CN"/>
                      <w14:textFill>
                        <w14:solidFill>
                          <w14:schemeClr w14:val="tx1"/>
                        </w14:solidFill>
                      </w14:textFill>
                    </w:rPr>
                    <w:t>隔声门窗</w:t>
                  </w:r>
                  <w:r>
                    <w:rPr>
                      <w:rFonts w:hint="default" w:ascii="Times New Roman" w:hAnsi="Times New Roman" w:cs="Times New Roman"/>
                      <w:color w:val="000000" w:themeColor="text1"/>
                      <w:sz w:val="21"/>
                      <w:szCs w:val="21"/>
                      <w14:textFill>
                        <w14:solidFill>
                          <w14:schemeClr w14:val="tx1"/>
                        </w14:solidFill>
                      </w14:textFill>
                    </w:rPr>
                    <w:t>等降噪措施</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573" w:type="pct"/>
                  <w:tcBorders>
                    <w:tl2br w:val="nil"/>
                    <w:tr2bl w:val="nil"/>
                  </w:tcBorders>
                  <w:noWrap w:val="0"/>
                  <w:vAlign w:val="center"/>
                </w:tcPr>
                <w:p w14:paraId="36F8C60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bCs/>
                      <w:color w:val="000000" w:themeColor="text1"/>
                      <w:szCs w:val="21"/>
                      <w14:textFill>
                        <w14:solidFill>
                          <w14:schemeClr w14:val="tx1"/>
                        </w14:solidFill>
                      </w14:textFill>
                    </w:rPr>
                    <w:t>已建成</w:t>
                  </w:r>
                </w:p>
              </w:tc>
            </w:tr>
            <w:tr w14:paraId="50777BE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45" w:type="pct"/>
                  <w:vMerge w:val="continue"/>
                  <w:tcBorders>
                    <w:tl2br w:val="nil"/>
                    <w:tr2bl w:val="nil"/>
                  </w:tcBorders>
                  <w:noWrap w:val="0"/>
                  <w:vAlign w:val="center"/>
                </w:tcPr>
                <w:p w14:paraId="09BAFE6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rPr>
                      <w:color w:val="000000" w:themeColor="text1"/>
                      <w14:textFill>
                        <w14:solidFill>
                          <w14:schemeClr w14:val="tx1"/>
                        </w14:solidFill>
                      </w14:textFill>
                    </w:rPr>
                  </w:pPr>
                </w:p>
              </w:tc>
              <w:tc>
                <w:tcPr>
                  <w:tcW w:w="787" w:type="pct"/>
                  <w:vMerge w:val="continue"/>
                  <w:tcBorders>
                    <w:tl2br w:val="nil"/>
                    <w:tr2bl w:val="nil"/>
                  </w:tcBorders>
                  <w:noWrap w:val="0"/>
                  <w:vAlign w:val="center"/>
                </w:tcPr>
                <w:p w14:paraId="32AA7FB4">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rPr>
                      <w:color w:val="000000" w:themeColor="text1"/>
                      <w14:textFill>
                        <w14:solidFill>
                          <w14:schemeClr w14:val="tx1"/>
                        </w14:solidFill>
                      </w14:textFill>
                    </w:rPr>
                  </w:pPr>
                </w:p>
              </w:tc>
              <w:tc>
                <w:tcPr>
                  <w:tcW w:w="764" w:type="pct"/>
                  <w:tcBorders>
                    <w:tl2br w:val="nil"/>
                    <w:tr2bl w:val="nil"/>
                  </w:tcBorders>
                  <w:noWrap w:val="0"/>
                  <w:vAlign w:val="center"/>
                </w:tcPr>
                <w:p w14:paraId="6F6FF3E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固废</w:t>
                  </w:r>
                </w:p>
              </w:tc>
              <w:tc>
                <w:tcPr>
                  <w:tcW w:w="2329" w:type="pct"/>
                  <w:tcBorders>
                    <w:tl2br w:val="nil"/>
                    <w:tr2bl w:val="nil"/>
                  </w:tcBorders>
                  <w:noWrap w:val="0"/>
                  <w:vAlign w:val="center"/>
                </w:tcPr>
                <w:p w14:paraId="6BAA022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firstLine="210" w:firstLineChars="100"/>
                    <w:jc w:val="both"/>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软水制备过程产生废离子树脂（根据《</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固体废物分类与代码目录</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》（生态环境部公告，2024年第4号），代码为“900-008-S59”</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），年产生量约0.11t/a，废离子交换树脂不属于危险废物，</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交由离子</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交换树脂厂家定期更换后回收带走，不在锅炉房存储。</w:t>
                  </w:r>
                </w:p>
              </w:tc>
              <w:tc>
                <w:tcPr>
                  <w:tcW w:w="573" w:type="pct"/>
                  <w:tcBorders>
                    <w:tl2br w:val="nil"/>
                    <w:tr2bl w:val="nil"/>
                  </w:tcBorders>
                  <w:noWrap w:val="0"/>
                  <w:vAlign w:val="center"/>
                </w:tcPr>
                <w:p w14:paraId="35CAC322">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r>
          </w:tbl>
          <w:p w14:paraId="5AB1B0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 xml:space="preserve">2.4 </w:t>
            </w:r>
            <w:r>
              <w:rPr>
                <w:rFonts w:hint="default" w:ascii="Times New Roman" w:hAnsi="Times New Roman" w:eastAsia="宋体" w:cs="Times New Roman"/>
                <w:b/>
                <w:bCs/>
                <w:color w:val="000000" w:themeColor="text1"/>
                <w:sz w:val="24"/>
                <w:lang w:val="en-US" w:eastAsia="zh-CN"/>
                <w14:textFill>
                  <w14:solidFill>
                    <w14:schemeClr w14:val="tx1"/>
                  </w14:solidFill>
                </w14:textFill>
              </w:rPr>
              <w:t>主要生产设施及设施参数</w:t>
            </w:r>
          </w:p>
          <w:p w14:paraId="3CEE173A">
            <w:pPr>
              <w:keepNext w:val="0"/>
              <w:keepLines w:val="0"/>
              <w:suppressLineNumbers w:val="0"/>
              <w:spacing w:before="0" w:beforeAutospacing="0" w:after="0" w:afterAutospacing="0" w:line="240" w:lineRule="auto"/>
              <w:ind w:left="0" w:right="0"/>
              <w:jc w:val="cente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-2 </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 xml:space="preserve"> </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主要经济技术指标表</w:t>
            </w:r>
          </w:p>
          <w:tbl>
            <w:tblPr>
              <w:tblStyle w:val="27"/>
              <w:tblW w:w="768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71"/>
              <w:gridCol w:w="2645"/>
              <w:gridCol w:w="1010"/>
              <w:gridCol w:w="1362"/>
            </w:tblGrid>
            <w:tr w14:paraId="3ED7A2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550DCED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序号</w:t>
                  </w:r>
                </w:p>
              </w:tc>
              <w:tc>
                <w:tcPr>
                  <w:tcW w:w="2645" w:type="dxa"/>
                  <w:tcBorders>
                    <w:tl2br w:val="nil"/>
                    <w:tr2bl w:val="nil"/>
                  </w:tcBorders>
                  <w:vAlign w:val="center"/>
                </w:tcPr>
                <w:p w14:paraId="48D4F91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项目名称</w:t>
                  </w:r>
                </w:p>
              </w:tc>
              <w:tc>
                <w:tcPr>
                  <w:tcW w:w="1010" w:type="dxa"/>
                  <w:tcBorders>
                    <w:tl2br w:val="nil"/>
                    <w:tr2bl w:val="nil"/>
                  </w:tcBorders>
                  <w:vAlign w:val="center"/>
                </w:tcPr>
                <w:p w14:paraId="14BB67A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单位</w:t>
                  </w:r>
                </w:p>
              </w:tc>
              <w:tc>
                <w:tcPr>
                  <w:tcW w:w="1362" w:type="dxa"/>
                  <w:tcBorders>
                    <w:tl2br w:val="nil"/>
                    <w:tr2bl w:val="nil"/>
                  </w:tcBorders>
                  <w:vAlign w:val="center"/>
                </w:tcPr>
                <w:p w14:paraId="2E710A5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数据</w:t>
                  </w:r>
                </w:p>
              </w:tc>
            </w:tr>
            <w:tr w14:paraId="57E305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7C1C25D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2645" w:type="dxa"/>
                  <w:tcBorders>
                    <w:tl2br w:val="nil"/>
                    <w:tr2bl w:val="nil"/>
                  </w:tcBorders>
                  <w:vAlign w:val="center"/>
                </w:tcPr>
                <w:p w14:paraId="46CB6F8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供热中心建筑面积</w:t>
                  </w:r>
                </w:p>
              </w:tc>
              <w:tc>
                <w:tcPr>
                  <w:tcW w:w="1010" w:type="dxa"/>
                  <w:tcBorders>
                    <w:tl2br w:val="nil"/>
                    <w:tr2bl w:val="nil"/>
                  </w:tcBorders>
                  <w:vAlign w:val="center"/>
                </w:tcPr>
                <w:p w14:paraId="6D338D9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2</w:t>
                  </w:r>
                </w:p>
              </w:tc>
              <w:tc>
                <w:tcPr>
                  <w:tcW w:w="1362" w:type="dxa"/>
                  <w:tcBorders>
                    <w:tl2br w:val="nil"/>
                    <w:tr2bl w:val="nil"/>
                  </w:tcBorders>
                  <w:vAlign w:val="center"/>
                </w:tcPr>
                <w:p w14:paraId="3CAFBF1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210</w:t>
                  </w:r>
                </w:p>
              </w:tc>
            </w:tr>
            <w:tr w14:paraId="634796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1E52175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2645" w:type="dxa"/>
                  <w:tcBorders>
                    <w:tl2br w:val="nil"/>
                    <w:tr2bl w:val="nil"/>
                  </w:tcBorders>
                  <w:vAlign w:val="center"/>
                </w:tcPr>
                <w:p w14:paraId="36CEC71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锅炉房建筑面积</w:t>
                  </w:r>
                </w:p>
              </w:tc>
              <w:tc>
                <w:tcPr>
                  <w:tcW w:w="1010" w:type="dxa"/>
                  <w:tcBorders>
                    <w:tl2br w:val="nil"/>
                    <w:tr2bl w:val="nil"/>
                  </w:tcBorders>
                  <w:vAlign w:val="center"/>
                </w:tcPr>
                <w:p w14:paraId="59FEB9D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2</w:t>
                  </w:r>
                </w:p>
              </w:tc>
              <w:tc>
                <w:tcPr>
                  <w:tcW w:w="1362" w:type="dxa"/>
                  <w:tcBorders>
                    <w:tl2br w:val="nil"/>
                    <w:tr2bl w:val="nil"/>
                  </w:tcBorders>
                  <w:vAlign w:val="center"/>
                </w:tcPr>
                <w:p w14:paraId="053370D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110</w:t>
                  </w:r>
                </w:p>
              </w:tc>
            </w:tr>
            <w:tr w14:paraId="6B3179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4066154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2645" w:type="dxa"/>
                  <w:tcBorders>
                    <w:tl2br w:val="nil"/>
                    <w:tr2bl w:val="nil"/>
                  </w:tcBorders>
                  <w:vAlign w:val="center"/>
                </w:tcPr>
                <w:p w14:paraId="00E1922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换热站建筑面积</w:t>
                  </w:r>
                </w:p>
              </w:tc>
              <w:tc>
                <w:tcPr>
                  <w:tcW w:w="1010" w:type="dxa"/>
                  <w:tcBorders>
                    <w:tl2br w:val="nil"/>
                    <w:tr2bl w:val="nil"/>
                  </w:tcBorders>
                  <w:vAlign w:val="center"/>
                </w:tcPr>
                <w:p w14:paraId="2F73175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2</w:t>
                  </w:r>
                </w:p>
              </w:tc>
              <w:tc>
                <w:tcPr>
                  <w:tcW w:w="1362" w:type="dxa"/>
                  <w:tcBorders>
                    <w:tl2br w:val="nil"/>
                    <w:tr2bl w:val="nil"/>
                  </w:tcBorders>
                  <w:vAlign w:val="center"/>
                </w:tcPr>
                <w:p w14:paraId="6364FFB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85</w:t>
                  </w:r>
                </w:p>
              </w:tc>
            </w:tr>
            <w:tr w14:paraId="41CA4A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0742EEC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2645" w:type="dxa"/>
                  <w:tcBorders>
                    <w:tl2br w:val="nil"/>
                    <w:tr2bl w:val="nil"/>
                  </w:tcBorders>
                  <w:vAlign w:val="center"/>
                </w:tcPr>
                <w:p w14:paraId="7E7489E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控制中心建筑面积</w:t>
                  </w:r>
                </w:p>
              </w:tc>
              <w:tc>
                <w:tcPr>
                  <w:tcW w:w="1010" w:type="dxa"/>
                  <w:tcBorders>
                    <w:tl2br w:val="nil"/>
                    <w:tr2bl w:val="nil"/>
                  </w:tcBorders>
                  <w:vAlign w:val="center"/>
                </w:tcPr>
                <w:p w14:paraId="0CF6D1A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2</w:t>
                  </w:r>
                </w:p>
              </w:tc>
              <w:tc>
                <w:tcPr>
                  <w:tcW w:w="1362" w:type="dxa"/>
                  <w:tcBorders>
                    <w:tl2br w:val="nil"/>
                    <w:tr2bl w:val="nil"/>
                  </w:tcBorders>
                  <w:vAlign w:val="center"/>
                </w:tcPr>
                <w:p w14:paraId="0AB3212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w:t>
                  </w:r>
                </w:p>
              </w:tc>
            </w:tr>
            <w:tr w14:paraId="3044E3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2E84425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2645" w:type="dxa"/>
                  <w:tcBorders>
                    <w:tl2br w:val="nil"/>
                    <w:tr2bl w:val="nil"/>
                  </w:tcBorders>
                  <w:vAlign w:val="center"/>
                </w:tcPr>
                <w:p w14:paraId="4177C90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年生产天数</w:t>
                  </w:r>
                </w:p>
              </w:tc>
              <w:tc>
                <w:tcPr>
                  <w:tcW w:w="1010" w:type="dxa"/>
                  <w:tcBorders>
                    <w:tl2br w:val="nil"/>
                    <w:tr2bl w:val="nil"/>
                  </w:tcBorders>
                  <w:vAlign w:val="center"/>
                </w:tcPr>
                <w:p w14:paraId="7A5613E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c>
                <w:tcPr>
                  <w:tcW w:w="1362" w:type="dxa"/>
                  <w:tcBorders>
                    <w:tl2br w:val="nil"/>
                    <w:tr2bl w:val="nil"/>
                  </w:tcBorders>
                  <w:vAlign w:val="center"/>
                </w:tcPr>
                <w:p w14:paraId="0E13DB0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120</w:t>
                  </w:r>
                </w:p>
              </w:tc>
            </w:tr>
            <w:tr w14:paraId="0F3B4C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1" w:type="dxa"/>
                  <w:tcBorders>
                    <w:tl2br w:val="nil"/>
                    <w:tr2bl w:val="nil"/>
                  </w:tcBorders>
                  <w:vAlign w:val="center"/>
                </w:tcPr>
                <w:p w14:paraId="77F1AC7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2645" w:type="dxa"/>
                  <w:tcBorders>
                    <w:tl2br w:val="nil"/>
                    <w:tr2bl w:val="nil"/>
                  </w:tcBorders>
                  <w:vAlign w:val="center"/>
                </w:tcPr>
                <w:p w14:paraId="33B95C8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总投资</w:t>
                  </w:r>
                </w:p>
              </w:tc>
              <w:tc>
                <w:tcPr>
                  <w:tcW w:w="1010" w:type="dxa"/>
                  <w:tcBorders>
                    <w:tl2br w:val="nil"/>
                    <w:tr2bl w:val="nil"/>
                  </w:tcBorders>
                  <w:vAlign w:val="center"/>
                </w:tcPr>
                <w:p w14:paraId="2CC23EF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c>
                <w:tcPr>
                  <w:tcW w:w="1362" w:type="dxa"/>
                  <w:tcBorders>
                    <w:tl2br w:val="nil"/>
                    <w:tr2bl w:val="nil"/>
                  </w:tcBorders>
                  <w:vAlign w:val="center"/>
                </w:tcPr>
                <w:p w14:paraId="28CB49C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126</w:t>
                  </w:r>
                </w:p>
              </w:tc>
            </w:tr>
          </w:tbl>
          <w:p w14:paraId="4EA3C9D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3</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 xml:space="preserve"> </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主要经济技术指标表</w:t>
            </w:r>
          </w:p>
          <w:tbl>
            <w:tblPr>
              <w:tblStyle w:val="27"/>
              <w:tblW w:w="76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80"/>
              <w:gridCol w:w="4997"/>
            </w:tblGrid>
            <w:tr w14:paraId="2FB205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37DE2EF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序号</w:t>
                  </w:r>
                </w:p>
              </w:tc>
              <w:tc>
                <w:tcPr>
                  <w:tcW w:w="4997" w:type="dxa"/>
                  <w:tcBorders>
                    <w:tl2br w:val="nil"/>
                    <w:tr2bl w:val="nil"/>
                  </w:tcBorders>
                  <w:vAlign w:val="center"/>
                </w:tcPr>
                <w:p w14:paraId="5350C78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项目名称</w:t>
                  </w:r>
                </w:p>
              </w:tc>
            </w:tr>
            <w:tr w14:paraId="02C5BD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515FD41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锅炉型号</w:t>
                  </w:r>
                </w:p>
              </w:tc>
              <w:tc>
                <w:tcPr>
                  <w:tcW w:w="4997" w:type="dxa"/>
                  <w:tcBorders>
                    <w:tl2br w:val="nil"/>
                    <w:tr2bl w:val="nil"/>
                  </w:tcBorders>
                  <w:vAlign w:val="center"/>
                </w:tcPr>
                <w:p w14:paraId="65F8FB0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C630-350ECO</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Q=1400kW</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N=3kW</w:t>
                  </w:r>
                </w:p>
              </w:tc>
            </w:tr>
            <w:tr w14:paraId="07220C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22EA570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锅炉形式</w:t>
                  </w:r>
                </w:p>
              </w:tc>
              <w:tc>
                <w:tcPr>
                  <w:tcW w:w="4997" w:type="dxa"/>
                  <w:tcBorders>
                    <w:tl2br w:val="nil"/>
                    <w:tr2bl w:val="nil"/>
                  </w:tcBorders>
                  <w:vAlign w:val="center"/>
                </w:tcPr>
                <w:p w14:paraId="13C3C89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真空热水锅炉</w:t>
                  </w:r>
                </w:p>
              </w:tc>
            </w:tr>
            <w:tr w14:paraId="566A22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0077EF4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额定供热量</w:t>
                  </w:r>
                </w:p>
              </w:tc>
              <w:tc>
                <w:tcPr>
                  <w:tcW w:w="4997" w:type="dxa"/>
                  <w:tcBorders>
                    <w:tl2br w:val="nil"/>
                    <w:tr2bl w:val="nil"/>
                  </w:tcBorders>
                  <w:vAlign w:val="center"/>
                </w:tcPr>
                <w:p w14:paraId="6C598D7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.4MW</w:t>
                  </w:r>
                </w:p>
              </w:tc>
            </w:tr>
            <w:tr w14:paraId="50B904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70DEE8F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额定工作压力</w:t>
                  </w:r>
                </w:p>
              </w:tc>
              <w:tc>
                <w:tcPr>
                  <w:tcW w:w="4997" w:type="dxa"/>
                  <w:tcBorders>
                    <w:tl2br w:val="nil"/>
                    <w:tr2bl w:val="nil"/>
                  </w:tcBorders>
                  <w:vAlign w:val="center"/>
                </w:tcPr>
                <w:p w14:paraId="39817E3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常压</w:t>
                  </w:r>
                </w:p>
              </w:tc>
            </w:tr>
            <w:tr w14:paraId="02E83F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7DA1EE1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额定出水</w:t>
                  </w:r>
                  <w:r>
                    <w:rPr>
                      <w:rFonts w:hint="default" w:ascii="Times New Roman" w:hAnsi="Times New Roman" w:cs="Times New Roman"/>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回水温度</w:t>
                  </w:r>
                </w:p>
              </w:tc>
              <w:tc>
                <w:tcPr>
                  <w:tcW w:w="4997" w:type="dxa"/>
                  <w:tcBorders>
                    <w:tl2br w:val="nil"/>
                    <w:tr2bl w:val="nil"/>
                  </w:tcBorders>
                  <w:vAlign w:val="center"/>
                </w:tcPr>
                <w:p w14:paraId="7FF178B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eastAsia" w:ascii="Times New Roman" w:hAnsi="Times New Roman" w:cs="Times New Roman"/>
                      <w:color w:val="000000" w:themeColor="text1"/>
                      <w:sz w:val="21"/>
                      <w:szCs w:val="21"/>
                      <w:lang w:val="en-US" w:eastAsia="zh-CN"/>
                      <w14:textFill>
                        <w14:solidFill>
                          <w14:schemeClr w14:val="tx1"/>
                        </w14:solidFill>
                      </w14:textFill>
                    </w:rPr>
                    <w:t>50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40EE24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80" w:type="dxa"/>
                  <w:tcBorders>
                    <w:tl2br w:val="nil"/>
                    <w:tr2bl w:val="nil"/>
                  </w:tcBorders>
                  <w:vAlign w:val="center"/>
                </w:tcPr>
                <w:p w14:paraId="3C2F032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锅炉台数</w:t>
                  </w:r>
                </w:p>
              </w:tc>
              <w:tc>
                <w:tcPr>
                  <w:tcW w:w="4997" w:type="dxa"/>
                  <w:tcBorders>
                    <w:tl2br w:val="nil"/>
                    <w:tr2bl w:val="nil"/>
                  </w:tcBorders>
                  <w:vAlign w:val="center"/>
                </w:tcPr>
                <w:p w14:paraId="592A3F4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r>
          </w:tbl>
          <w:p w14:paraId="46D27D2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-4</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主要设备清单</w:t>
            </w:r>
          </w:p>
          <w:tbl>
            <w:tblPr>
              <w:tblStyle w:val="27"/>
              <w:tblW w:w="76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977"/>
              <w:gridCol w:w="1848"/>
              <w:gridCol w:w="788"/>
              <w:gridCol w:w="741"/>
              <w:gridCol w:w="1602"/>
            </w:tblGrid>
            <w:tr w14:paraId="58F680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699C0FF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序号</w:t>
                  </w:r>
                </w:p>
              </w:tc>
              <w:tc>
                <w:tcPr>
                  <w:tcW w:w="1977" w:type="dxa"/>
                  <w:tcBorders>
                    <w:tl2br w:val="nil"/>
                    <w:tr2bl w:val="nil"/>
                  </w:tcBorders>
                  <w:noWrap w:val="0"/>
                  <w:vAlign w:val="center"/>
                </w:tcPr>
                <w:p w14:paraId="4FB9637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lang w:val="en-US" w:eastAsia="zh-CN"/>
                      <w14:textFill>
                        <w14:solidFill>
                          <w14:schemeClr w14:val="tx1"/>
                        </w14:solidFill>
                      </w14:textFill>
                    </w:rPr>
                    <w:t>设备名</w:t>
                  </w:r>
                  <w:r>
                    <w:rPr>
                      <w:rFonts w:hint="default" w:ascii="Times New Roman" w:hAnsi="Times New Roman" w:eastAsia="宋体" w:cs="Times New Roman"/>
                      <w:b/>
                      <w:bCs/>
                      <w:color w:val="000000" w:themeColor="text1"/>
                      <w14:textFill>
                        <w14:solidFill>
                          <w14:schemeClr w14:val="tx1"/>
                        </w14:solidFill>
                      </w14:textFill>
                    </w:rPr>
                    <w:t>称</w:t>
                  </w:r>
                </w:p>
              </w:tc>
              <w:tc>
                <w:tcPr>
                  <w:tcW w:w="1848" w:type="dxa"/>
                  <w:tcBorders>
                    <w:tl2br w:val="nil"/>
                    <w:tr2bl w:val="nil"/>
                  </w:tcBorders>
                  <w:noWrap w:val="0"/>
                  <w:vAlign w:val="center"/>
                </w:tcPr>
                <w:p w14:paraId="2BF56D1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规格型号</w:t>
                  </w:r>
                </w:p>
              </w:tc>
              <w:tc>
                <w:tcPr>
                  <w:tcW w:w="788" w:type="dxa"/>
                  <w:tcBorders>
                    <w:tl2br w:val="nil"/>
                    <w:tr2bl w:val="nil"/>
                  </w:tcBorders>
                  <w:noWrap w:val="0"/>
                  <w:vAlign w:val="center"/>
                </w:tcPr>
                <w:p w14:paraId="4D89F08A">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单位</w:t>
                  </w:r>
                </w:p>
              </w:tc>
              <w:tc>
                <w:tcPr>
                  <w:tcW w:w="741" w:type="dxa"/>
                  <w:tcBorders>
                    <w:tl2br w:val="nil"/>
                    <w:tr2bl w:val="nil"/>
                  </w:tcBorders>
                  <w:noWrap w:val="0"/>
                  <w:vAlign w:val="center"/>
                </w:tcPr>
                <w:p w14:paraId="6607C2D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数量</w:t>
                  </w:r>
                </w:p>
              </w:tc>
              <w:tc>
                <w:tcPr>
                  <w:tcW w:w="1602" w:type="dxa"/>
                  <w:tcBorders>
                    <w:tl2br w:val="nil"/>
                    <w:tr2bl w:val="nil"/>
                  </w:tcBorders>
                  <w:noWrap w:val="0"/>
                  <w:vAlign w:val="center"/>
                </w:tcPr>
                <w:p w14:paraId="3BF881D9">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备注</w:t>
                  </w:r>
                </w:p>
              </w:tc>
            </w:tr>
            <w:tr w14:paraId="0C0D9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617EDD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w:t>
                  </w:r>
                </w:p>
              </w:tc>
              <w:tc>
                <w:tcPr>
                  <w:tcW w:w="1977" w:type="dxa"/>
                  <w:tcBorders>
                    <w:tl2br w:val="nil"/>
                    <w:tr2bl w:val="nil"/>
                  </w:tcBorders>
                  <w:noWrap w:val="0"/>
                  <w:vAlign w:val="center"/>
                </w:tcPr>
                <w:p w14:paraId="1E5804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软水箱</w:t>
                  </w:r>
                </w:p>
              </w:tc>
              <w:tc>
                <w:tcPr>
                  <w:tcW w:w="1848" w:type="dxa"/>
                  <w:tcBorders>
                    <w:tl2br w:val="nil"/>
                    <w:tr2bl w:val="nil"/>
                  </w:tcBorders>
                  <w:noWrap w:val="0"/>
                  <w:vAlign w:val="center"/>
                </w:tcPr>
                <w:p w14:paraId="04AFF8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V=9m</w:t>
                  </w:r>
                  <w:r>
                    <w:rPr>
                      <w:rFonts w:hint="default" w:ascii="Times New Roman" w:hAnsi="Times New Roman" w:eastAsia="宋体" w:cs="Times New Roman"/>
                      <w:color w:val="000000" w:themeColor="text1"/>
                      <w:vertAlign w:val="superscript"/>
                      <w14:textFill>
                        <w14:solidFill>
                          <w14:schemeClr w14:val="tx1"/>
                        </w14:solidFill>
                      </w14:textFill>
                    </w:rPr>
                    <w:t>3</w:t>
                  </w:r>
                </w:p>
              </w:tc>
              <w:tc>
                <w:tcPr>
                  <w:tcW w:w="788" w:type="dxa"/>
                  <w:tcBorders>
                    <w:tl2br w:val="nil"/>
                    <w:tr2bl w:val="nil"/>
                  </w:tcBorders>
                  <w:noWrap w:val="0"/>
                  <w:vAlign w:val="center"/>
                </w:tcPr>
                <w:p w14:paraId="6B7B7C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9BC2C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w:t>
                  </w:r>
                </w:p>
              </w:tc>
              <w:tc>
                <w:tcPr>
                  <w:tcW w:w="1602" w:type="dxa"/>
                  <w:tcBorders>
                    <w:tl2br w:val="nil"/>
                    <w:tr2bl w:val="nil"/>
                  </w:tcBorders>
                  <w:noWrap w:val="0"/>
                  <w:vAlign w:val="center"/>
                </w:tcPr>
                <w:p w14:paraId="17A2A29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3E7C4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46252B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977" w:type="dxa"/>
                  <w:tcBorders>
                    <w:tl2br w:val="nil"/>
                    <w:tr2bl w:val="nil"/>
                  </w:tcBorders>
                  <w:noWrap w:val="0"/>
                  <w:vAlign w:val="center"/>
                </w:tcPr>
                <w:p w14:paraId="5D1F74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全自动软水器</w:t>
                  </w:r>
                </w:p>
              </w:tc>
              <w:tc>
                <w:tcPr>
                  <w:tcW w:w="1848" w:type="dxa"/>
                  <w:tcBorders>
                    <w:tl2br w:val="nil"/>
                    <w:tr2bl w:val="nil"/>
                  </w:tcBorders>
                  <w:noWrap w:val="0"/>
                  <w:vAlign w:val="center"/>
                </w:tcPr>
                <w:p w14:paraId="482D42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10m</w:t>
                  </w:r>
                  <w:r>
                    <w:rPr>
                      <w:rFonts w:hint="default" w:ascii="Times New Roman" w:hAnsi="Times New Roman" w:eastAsia="宋体" w:cs="Times New Roman"/>
                      <w:color w:val="000000" w:themeColor="text1"/>
                      <w:vertAlign w:val="superscript"/>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/h</w:t>
                  </w:r>
                </w:p>
              </w:tc>
              <w:tc>
                <w:tcPr>
                  <w:tcW w:w="788" w:type="dxa"/>
                  <w:tcBorders>
                    <w:tl2br w:val="nil"/>
                    <w:tr2bl w:val="nil"/>
                  </w:tcBorders>
                  <w:noWrap w:val="0"/>
                  <w:vAlign w:val="center"/>
                </w:tcPr>
                <w:p w14:paraId="2357EB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6DC9217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w:t>
                  </w:r>
                </w:p>
              </w:tc>
              <w:tc>
                <w:tcPr>
                  <w:tcW w:w="1602" w:type="dxa"/>
                  <w:tcBorders>
                    <w:tl2br w:val="nil"/>
                    <w:tr2bl w:val="nil"/>
                  </w:tcBorders>
                  <w:noWrap w:val="0"/>
                  <w:vAlign w:val="center"/>
                </w:tcPr>
                <w:p w14:paraId="2B2035D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5434B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201F7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w:t>
                  </w:r>
                </w:p>
              </w:tc>
              <w:tc>
                <w:tcPr>
                  <w:tcW w:w="1977" w:type="dxa"/>
                  <w:tcBorders>
                    <w:tl2br w:val="nil"/>
                    <w:tr2bl w:val="nil"/>
                  </w:tcBorders>
                  <w:noWrap w:val="0"/>
                  <w:vAlign w:val="center"/>
                </w:tcPr>
                <w:p w14:paraId="55077A5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冷凝器</w:t>
                  </w:r>
                </w:p>
              </w:tc>
              <w:tc>
                <w:tcPr>
                  <w:tcW w:w="1848" w:type="dxa"/>
                  <w:tcBorders>
                    <w:tl2br w:val="nil"/>
                    <w:tr2bl w:val="nil"/>
                  </w:tcBorders>
                  <w:noWrap w:val="0"/>
                  <w:vAlign w:val="center"/>
                </w:tcPr>
                <w:p w14:paraId="3E302FB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3XAW300-140-G1</w:t>
                  </w:r>
                </w:p>
              </w:tc>
              <w:tc>
                <w:tcPr>
                  <w:tcW w:w="788" w:type="dxa"/>
                  <w:tcBorders>
                    <w:tl2br w:val="nil"/>
                    <w:tr2bl w:val="nil"/>
                  </w:tcBorders>
                  <w:noWrap w:val="0"/>
                  <w:vAlign w:val="center"/>
                </w:tcPr>
                <w:p w14:paraId="7D00F9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组</w:t>
                  </w:r>
                </w:p>
              </w:tc>
              <w:tc>
                <w:tcPr>
                  <w:tcW w:w="741" w:type="dxa"/>
                  <w:tcBorders>
                    <w:tl2br w:val="nil"/>
                    <w:tr2bl w:val="nil"/>
                  </w:tcBorders>
                  <w:noWrap w:val="0"/>
                  <w:vAlign w:val="center"/>
                </w:tcPr>
                <w:p w14:paraId="35F170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10</w:t>
                  </w:r>
                </w:p>
              </w:tc>
              <w:tc>
                <w:tcPr>
                  <w:tcW w:w="1602" w:type="dxa"/>
                  <w:tcBorders>
                    <w:tl2br w:val="nil"/>
                    <w:tr2bl w:val="nil"/>
                  </w:tcBorders>
                  <w:noWrap w:val="0"/>
                  <w:vAlign w:val="center"/>
                </w:tcPr>
                <w:p w14:paraId="1D7325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一、二级各五组</w:t>
                  </w:r>
                </w:p>
              </w:tc>
            </w:tr>
            <w:tr w14:paraId="2C6C0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016E7C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4</w:t>
                  </w:r>
                </w:p>
              </w:tc>
              <w:tc>
                <w:tcPr>
                  <w:tcW w:w="1977" w:type="dxa"/>
                  <w:tcBorders>
                    <w:tl2br w:val="nil"/>
                    <w:tr2bl w:val="nil"/>
                  </w:tcBorders>
                  <w:noWrap w:val="0"/>
                  <w:vAlign w:val="center"/>
                </w:tcPr>
                <w:p w14:paraId="7865BE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一次热网循环泵</w:t>
                  </w:r>
                </w:p>
              </w:tc>
              <w:tc>
                <w:tcPr>
                  <w:tcW w:w="1848" w:type="dxa"/>
                  <w:tcBorders>
                    <w:tl2br w:val="nil"/>
                    <w:tr2bl w:val="nil"/>
                  </w:tcBorders>
                  <w:noWrap w:val="0"/>
                  <w:vAlign w:val="center"/>
                </w:tcPr>
                <w:p w14:paraId="5FD50B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TD150-17/4</w:t>
                  </w:r>
                </w:p>
              </w:tc>
              <w:tc>
                <w:tcPr>
                  <w:tcW w:w="788" w:type="dxa"/>
                  <w:tcBorders>
                    <w:tl2br w:val="nil"/>
                    <w:tr2bl w:val="nil"/>
                  </w:tcBorders>
                  <w:noWrap w:val="0"/>
                  <w:vAlign w:val="center"/>
                </w:tcPr>
                <w:p w14:paraId="136748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52F626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w:t>
                  </w:r>
                </w:p>
              </w:tc>
              <w:tc>
                <w:tcPr>
                  <w:tcW w:w="1602" w:type="dxa"/>
                  <w:tcBorders>
                    <w:tl2br w:val="nil"/>
                    <w:tr2bl w:val="nil"/>
                  </w:tcBorders>
                  <w:noWrap w:val="0"/>
                  <w:vAlign w:val="center"/>
                </w:tcPr>
                <w:p w14:paraId="56A552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两用一备</w:t>
                  </w:r>
                </w:p>
              </w:tc>
            </w:tr>
            <w:tr w14:paraId="03EE4E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51A4BE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5</w:t>
                  </w:r>
                </w:p>
              </w:tc>
              <w:tc>
                <w:tcPr>
                  <w:tcW w:w="1977" w:type="dxa"/>
                  <w:tcBorders>
                    <w:tl2br w:val="nil"/>
                    <w:tr2bl w:val="nil"/>
                  </w:tcBorders>
                  <w:noWrap w:val="0"/>
                  <w:vAlign w:val="center"/>
                </w:tcPr>
                <w:p w14:paraId="56D6C7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高位膨胀水箱</w:t>
                  </w:r>
                </w:p>
              </w:tc>
              <w:tc>
                <w:tcPr>
                  <w:tcW w:w="1848" w:type="dxa"/>
                  <w:tcBorders>
                    <w:tl2br w:val="nil"/>
                    <w:tr2bl w:val="nil"/>
                  </w:tcBorders>
                  <w:noWrap w:val="0"/>
                  <w:vAlign w:val="center"/>
                </w:tcPr>
                <w:p w14:paraId="48320B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V=4.5m³</w:t>
                  </w:r>
                </w:p>
              </w:tc>
              <w:tc>
                <w:tcPr>
                  <w:tcW w:w="788" w:type="dxa"/>
                  <w:tcBorders>
                    <w:tl2br w:val="nil"/>
                    <w:tr2bl w:val="nil"/>
                  </w:tcBorders>
                  <w:noWrap w:val="0"/>
                  <w:vAlign w:val="center"/>
                </w:tcPr>
                <w:p w14:paraId="736C13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7EB70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36291DC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0E82AE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0F14A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6</w:t>
                  </w:r>
                </w:p>
              </w:tc>
              <w:tc>
                <w:tcPr>
                  <w:tcW w:w="1977" w:type="dxa"/>
                  <w:tcBorders>
                    <w:tl2br w:val="nil"/>
                    <w:tr2bl w:val="nil"/>
                  </w:tcBorders>
                  <w:noWrap w:val="0"/>
                  <w:vAlign w:val="center"/>
                </w:tcPr>
                <w:p w14:paraId="6B1DA3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低区板式换热器</w:t>
                  </w:r>
                </w:p>
              </w:tc>
              <w:tc>
                <w:tcPr>
                  <w:tcW w:w="1848" w:type="dxa"/>
                  <w:tcBorders>
                    <w:tl2br w:val="nil"/>
                    <w:tr2bl w:val="nil"/>
                  </w:tcBorders>
                  <w:noWrap w:val="0"/>
                  <w:vAlign w:val="center"/>
                </w:tcPr>
                <w:p w14:paraId="67A28C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P=2500</w:t>
                  </w:r>
                </w:p>
              </w:tc>
              <w:tc>
                <w:tcPr>
                  <w:tcW w:w="788" w:type="dxa"/>
                  <w:tcBorders>
                    <w:tl2br w:val="nil"/>
                    <w:tr2bl w:val="nil"/>
                  </w:tcBorders>
                  <w:noWrap w:val="0"/>
                  <w:vAlign w:val="center"/>
                </w:tcPr>
                <w:p w14:paraId="0E2DF7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6217F9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71391EE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12B099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8FD1B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7</w:t>
                  </w:r>
                </w:p>
              </w:tc>
              <w:tc>
                <w:tcPr>
                  <w:tcW w:w="1977" w:type="dxa"/>
                  <w:tcBorders>
                    <w:tl2br w:val="nil"/>
                    <w:tr2bl w:val="nil"/>
                  </w:tcBorders>
                  <w:noWrap w:val="0"/>
                  <w:vAlign w:val="center"/>
                </w:tcPr>
                <w:p w14:paraId="593927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低区循环水泵</w:t>
                  </w:r>
                </w:p>
              </w:tc>
              <w:tc>
                <w:tcPr>
                  <w:tcW w:w="1848" w:type="dxa"/>
                  <w:tcBorders>
                    <w:tl2br w:val="nil"/>
                    <w:tr2bl w:val="nil"/>
                  </w:tcBorders>
                  <w:noWrap w:val="0"/>
                  <w:vAlign w:val="center"/>
                </w:tcPr>
                <w:p w14:paraId="44A7C1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TD125-22/4</w:t>
                  </w:r>
                </w:p>
              </w:tc>
              <w:tc>
                <w:tcPr>
                  <w:tcW w:w="788" w:type="dxa"/>
                  <w:tcBorders>
                    <w:tl2br w:val="nil"/>
                    <w:tr2bl w:val="nil"/>
                  </w:tcBorders>
                  <w:noWrap w:val="0"/>
                  <w:vAlign w:val="center"/>
                </w:tcPr>
                <w:p w14:paraId="4DE6CE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4F1CC19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c>
                <w:tcPr>
                  <w:tcW w:w="1602" w:type="dxa"/>
                  <w:tcBorders>
                    <w:tl2br w:val="nil"/>
                    <w:tr2bl w:val="nil"/>
                  </w:tcBorders>
                  <w:noWrap w:val="0"/>
                  <w:vAlign w:val="center"/>
                </w:tcPr>
                <w:p w14:paraId="127D7A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三用一备</w:t>
                  </w:r>
                </w:p>
              </w:tc>
            </w:tr>
            <w:tr w14:paraId="32FC0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033AC6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8</w:t>
                  </w:r>
                </w:p>
              </w:tc>
              <w:tc>
                <w:tcPr>
                  <w:tcW w:w="1977" w:type="dxa"/>
                  <w:tcBorders>
                    <w:tl2br w:val="nil"/>
                    <w:tr2bl w:val="nil"/>
                  </w:tcBorders>
                  <w:noWrap w:val="0"/>
                  <w:vAlign w:val="center"/>
                </w:tcPr>
                <w:p w14:paraId="72AA85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高区板式换热器</w:t>
                  </w:r>
                </w:p>
              </w:tc>
              <w:tc>
                <w:tcPr>
                  <w:tcW w:w="1848" w:type="dxa"/>
                  <w:tcBorders>
                    <w:tl2br w:val="nil"/>
                    <w:tr2bl w:val="nil"/>
                  </w:tcBorders>
                  <w:noWrap w:val="0"/>
                  <w:vAlign w:val="center"/>
                </w:tcPr>
                <w:p w14:paraId="40319D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P=2500</w:t>
                  </w:r>
                </w:p>
              </w:tc>
              <w:tc>
                <w:tcPr>
                  <w:tcW w:w="788" w:type="dxa"/>
                  <w:tcBorders>
                    <w:tl2br w:val="nil"/>
                    <w:tr2bl w:val="nil"/>
                  </w:tcBorders>
                  <w:noWrap w:val="0"/>
                  <w:vAlign w:val="center"/>
                </w:tcPr>
                <w:p w14:paraId="13E107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55A732A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308E404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5519A7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349265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9</w:t>
                  </w:r>
                </w:p>
              </w:tc>
              <w:tc>
                <w:tcPr>
                  <w:tcW w:w="1977" w:type="dxa"/>
                  <w:tcBorders>
                    <w:tl2br w:val="nil"/>
                    <w:tr2bl w:val="nil"/>
                  </w:tcBorders>
                  <w:noWrap w:val="0"/>
                  <w:vAlign w:val="center"/>
                </w:tcPr>
                <w:p w14:paraId="102920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高区循环水泵</w:t>
                  </w:r>
                </w:p>
              </w:tc>
              <w:tc>
                <w:tcPr>
                  <w:tcW w:w="1848" w:type="dxa"/>
                  <w:tcBorders>
                    <w:tl2br w:val="nil"/>
                    <w:tr2bl w:val="nil"/>
                  </w:tcBorders>
                  <w:noWrap w:val="0"/>
                  <w:vAlign w:val="center"/>
                </w:tcPr>
                <w:p w14:paraId="640344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TD125-22/4</w:t>
                  </w:r>
                </w:p>
              </w:tc>
              <w:tc>
                <w:tcPr>
                  <w:tcW w:w="788" w:type="dxa"/>
                  <w:tcBorders>
                    <w:tl2br w:val="nil"/>
                    <w:tr2bl w:val="nil"/>
                  </w:tcBorders>
                  <w:noWrap w:val="0"/>
                  <w:vAlign w:val="center"/>
                </w:tcPr>
                <w:p w14:paraId="6889C9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58E7C98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c>
                <w:tcPr>
                  <w:tcW w:w="1602" w:type="dxa"/>
                  <w:tcBorders>
                    <w:tl2br w:val="nil"/>
                    <w:tr2bl w:val="nil"/>
                  </w:tcBorders>
                  <w:noWrap w:val="0"/>
                  <w:vAlign w:val="center"/>
                </w:tcPr>
                <w:p w14:paraId="3019EC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三用一备</w:t>
                  </w:r>
                </w:p>
              </w:tc>
            </w:tr>
            <w:tr w14:paraId="4A763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5AB05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10</w:t>
                  </w:r>
                </w:p>
              </w:tc>
              <w:tc>
                <w:tcPr>
                  <w:tcW w:w="1977" w:type="dxa"/>
                  <w:tcBorders>
                    <w:tl2br w:val="nil"/>
                    <w:tr2bl w:val="nil"/>
                  </w:tcBorders>
                  <w:noWrap w:val="0"/>
                  <w:vAlign w:val="center"/>
                </w:tcPr>
                <w:p w14:paraId="04303F8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低区系统补水泵</w:t>
                  </w:r>
                </w:p>
              </w:tc>
              <w:tc>
                <w:tcPr>
                  <w:tcW w:w="1848" w:type="dxa"/>
                  <w:tcBorders>
                    <w:tl2br w:val="nil"/>
                    <w:tr2bl w:val="nil"/>
                  </w:tcBorders>
                  <w:noWrap w:val="0"/>
                  <w:vAlign w:val="center"/>
                </w:tcPr>
                <w:p w14:paraId="186645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CDL8-8</w:t>
                  </w:r>
                </w:p>
              </w:tc>
              <w:tc>
                <w:tcPr>
                  <w:tcW w:w="788" w:type="dxa"/>
                  <w:tcBorders>
                    <w:tl2br w:val="nil"/>
                    <w:tr2bl w:val="nil"/>
                  </w:tcBorders>
                  <w:noWrap w:val="0"/>
                  <w:vAlign w:val="center"/>
                </w:tcPr>
                <w:p w14:paraId="5E36A7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FFDA6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7CF6FF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39321F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28B454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11</w:t>
                  </w:r>
                </w:p>
              </w:tc>
              <w:tc>
                <w:tcPr>
                  <w:tcW w:w="1977" w:type="dxa"/>
                  <w:tcBorders>
                    <w:tl2br w:val="nil"/>
                    <w:tr2bl w:val="nil"/>
                  </w:tcBorders>
                  <w:noWrap w:val="0"/>
                  <w:vAlign w:val="center"/>
                </w:tcPr>
                <w:p w14:paraId="79C6F0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高区系统补水泵</w:t>
                  </w:r>
                </w:p>
              </w:tc>
              <w:tc>
                <w:tcPr>
                  <w:tcW w:w="1848" w:type="dxa"/>
                  <w:tcBorders>
                    <w:tl2br w:val="nil"/>
                    <w:tr2bl w:val="nil"/>
                  </w:tcBorders>
                  <w:noWrap w:val="0"/>
                  <w:vAlign w:val="center"/>
                </w:tcPr>
                <w:p w14:paraId="22163A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CDL8-12</w:t>
                  </w:r>
                </w:p>
              </w:tc>
              <w:tc>
                <w:tcPr>
                  <w:tcW w:w="788" w:type="dxa"/>
                  <w:tcBorders>
                    <w:tl2br w:val="nil"/>
                    <w:tr2bl w:val="nil"/>
                  </w:tcBorders>
                  <w:noWrap w:val="0"/>
                  <w:vAlign w:val="center"/>
                </w:tcPr>
                <w:p w14:paraId="6392E9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01BD09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1218C9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147A3D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488575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12</w:t>
                  </w:r>
                </w:p>
              </w:tc>
              <w:tc>
                <w:tcPr>
                  <w:tcW w:w="1977" w:type="dxa"/>
                  <w:tcBorders>
                    <w:tl2br w:val="nil"/>
                    <w:tr2bl w:val="nil"/>
                  </w:tcBorders>
                  <w:noWrap w:val="0"/>
                  <w:vAlign w:val="center"/>
                </w:tcPr>
                <w:p w14:paraId="3F35FB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热泵机组</w:t>
                  </w:r>
                </w:p>
              </w:tc>
              <w:tc>
                <w:tcPr>
                  <w:tcW w:w="1848" w:type="dxa"/>
                  <w:tcBorders>
                    <w:tl2br w:val="nil"/>
                    <w:tr2bl w:val="nil"/>
                  </w:tcBorders>
                  <w:noWrap w:val="0"/>
                  <w:vAlign w:val="center"/>
                </w:tcPr>
                <w:p w14:paraId="6FB4EB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WGZ040B5</w:t>
                  </w:r>
                </w:p>
              </w:tc>
              <w:tc>
                <w:tcPr>
                  <w:tcW w:w="788" w:type="dxa"/>
                  <w:tcBorders>
                    <w:tl2br w:val="nil"/>
                    <w:tr2bl w:val="nil"/>
                  </w:tcBorders>
                  <w:noWrap w:val="0"/>
                  <w:vAlign w:val="center"/>
                </w:tcPr>
                <w:p w14:paraId="4B0AF4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0A1089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72A55F9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4A2B0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38E222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13</w:t>
                  </w:r>
                </w:p>
              </w:tc>
              <w:tc>
                <w:tcPr>
                  <w:tcW w:w="1977" w:type="dxa"/>
                  <w:tcBorders>
                    <w:tl2br w:val="nil"/>
                    <w:tr2bl w:val="nil"/>
                  </w:tcBorders>
                  <w:noWrap w:val="0"/>
                  <w:vAlign w:val="center"/>
                </w:tcPr>
                <w:p w14:paraId="348860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热泵冷冻水循环泵</w:t>
                  </w:r>
                </w:p>
              </w:tc>
              <w:tc>
                <w:tcPr>
                  <w:tcW w:w="1848" w:type="dxa"/>
                  <w:tcBorders>
                    <w:tl2br w:val="nil"/>
                    <w:tr2bl w:val="nil"/>
                  </w:tcBorders>
                  <w:noWrap w:val="0"/>
                  <w:vAlign w:val="center"/>
                </w:tcPr>
                <w:p w14:paraId="76F3DF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TD125-11/4</w:t>
                  </w:r>
                </w:p>
              </w:tc>
              <w:tc>
                <w:tcPr>
                  <w:tcW w:w="788" w:type="dxa"/>
                  <w:tcBorders>
                    <w:tl2br w:val="nil"/>
                    <w:tr2bl w:val="nil"/>
                  </w:tcBorders>
                  <w:noWrap w:val="0"/>
                  <w:vAlign w:val="center"/>
                </w:tcPr>
                <w:p w14:paraId="1096A5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11D76B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5F2452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502B4C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212D6C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14</w:t>
                  </w:r>
                </w:p>
              </w:tc>
              <w:tc>
                <w:tcPr>
                  <w:tcW w:w="1977" w:type="dxa"/>
                  <w:tcBorders>
                    <w:tl2br w:val="nil"/>
                    <w:tr2bl w:val="nil"/>
                  </w:tcBorders>
                  <w:noWrap w:val="0"/>
                  <w:vAlign w:val="center"/>
                </w:tcPr>
                <w:p w14:paraId="611827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冷却水环泵</w:t>
                  </w:r>
                </w:p>
              </w:tc>
              <w:tc>
                <w:tcPr>
                  <w:tcW w:w="1848" w:type="dxa"/>
                  <w:tcBorders>
                    <w:tl2br w:val="nil"/>
                    <w:tr2bl w:val="nil"/>
                  </w:tcBorders>
                  <w:noWrap w:val="0"/>
                  <w:vAlign w:val="center"/>
                </w:tcPr>
                <w:p w14:paraId="6A6D75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SLWT80-160A</w:t>
                  </w:r>
                </w:p>
              </w:tc>
              <w:tc>
                <w:tcPr>
                  <w:tcW w:w="788" w:type="dxa"/>
                  <w:tcBorders>
                    <w:tl2br w:val="nil"/>
                    <w:tr2bl w:val="nil"/>
                  </w:tcBorders>
                  <w:noWrap w:val="0"/>
                  <w:vAlign w:val="center"/>
                </w:tcPr>
                <w:p w14:paraId="6711E7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F16000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751C36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005F5C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6652A4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15</w:t>
                  </w:r>
                </w:p>
              </w:tc>
              <w:tc>
                <w:tcPr>
                  <w:tcW w:w="1977" w:type="dxa"/>
                  <w:tcBorders>
                    <w:tl2br w:val="nil"/>
                    <w:tr2bl w:val="nil"/>
                  </w:tcBorders>
                  <w:noWrap w:val="0"/>
                  <w:vAlign w:val="center"/>
                </w:tcPr>
                <w:p w14:paraId="43EA98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燃气热水锅炉</w:t>
                  </w:r>
                </w:p>
              </w:tc>
              <w:tc>
                <w:tcPr>
                  <w:tcW w:w="1848" w:type="dxa"/>
                  <w:tcBorders>
                    <w:tl2br w:val="nil"/>
                    <w:tr2bl w:val="nil"/>
                  </w:tcBorders>
                  <w:noWrap w:val="0"/>
                  <w:vAlign w:val="center"/>
                </w:tcPr>
                <w:p w14:paraId="4B4CD4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C630-350ECO</w:t>
                  </w:r>
                </w:p>
              </w:tc>
              <w:tc>
                <w:tcPr>
                  <w:tcW w:w="788" w:type="dxa"/>
                  <w:tcBorders>
                    <w:tl2br w:val="nil"/>
                    <w:tr2bl w:val="nil"/>
                  </w:tcBorders>
                  <w:noWrap w:val="0"/>
                  <w:vAlign w:val="center"/>
                </w:tcPr>
                <w:p w14:paraId="4ADBF2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6E7C04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5</w:t>
                  </w:r>
                </w:p>
              </w:tc>
              <w:tc>
                <w:tcPr>
                  <w:tcW w:w="1602" w:type="dxa"/>
                  <w:tcBorders>
                    <w:tl2br w:val="nil"/>
                    <w:tr2bl w:val="nil"/>
                  </w:tcBorders>
                  <w:noWrap w:val="0"/>
                  <w:vAlign w:val="center"/>
                </w:tcPr>
                <w:p w14:paraId="14F24EE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5D586C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E4393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16</w:t>
                  </w:r>
                </w:p>
              </w:tc>
              <w:tc>
                <w:tcPr>
                  <w:tcW w:w="1977" w:type="dxa"/>
                  <w:tcBorders>
                    <w:tl2br w:val="nil"/>
                    <w:tr2bl w:val="nil"/>
                  </w:tcBorders>
                  <w:noWrap w:val="0"/>
                  <w:vAlign w:val="center"/>
                </w:tcPr>
                <w:p w14:paraId="60C6996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降温池</w:t>
                  </w:r>
                </w:p>
              </w:tc>
              <w:tc>
                <w:tcPr>
                  <w:tcW w:w="1848" w:type="dxa"/>
                  <w:tcBorders>
                    <w:tl2br w:val="nil"/>
                    <w:tr2bl w:val="nil"/>
                  </w:tcBorders>
                  <w:noWrap w:val="0"/>
                  <w:vAlign w:val="center"/>
                </w:tcPr>
                <w:p w14:paraId="693AB0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1.5m</w:t>
                  </w:r>
                  <w:r>
                    <w:rPr>
                      <w:rFonts w:hint="default" w:ascii="Arial" w:hAnsi="Arial" w:eastAsia="宋体" w:cs="Arial"/>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1.5m</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1.5m</w:t>
                  </w:r>
                </w:p>
              </w:tc>
              <w:tc>
                <w:tcPr>
                  <w:tcW w:w="788" w:type="dxa"/>
                  <w:tcBorders>
                    <w:tl2br w:val="nil"/>
                    <w:tr2bl w:val="nil"/>
                  </w:tcBorders>
                  <w:noWrap w:val="0"/>
                  <w:vAlign w:val="center"/>
                </w:tcPr>
                <w:p w14:paraId="25BEF9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座</w:t>
                  </w:r>
                </w:p>
              </w:tc>
              <w:tc>
                <w:tcPr>
                  <w:tcW w:w="741" w:type="dxa"/>
                  <w:tcBorders>
                    <w:tl2br w:val="nil"/>
                    <w:tr2bl w:val="nil"/>
                  </w:tcBorders>
                  <w:noWrap w:val="0"/>
                  <w:vAlign w:val="center"/>
                </w:tcPr>
                <w:p w14:paraId="3A5168B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w:t>
                  </w:r>
                </w:p>
              </w:tc>
              <w:tc>
                <w:tcPr>
                  <w:tcW w:w="1602" w:type="dxa"/>
                  <w:tcBorders>
                    <w:tl2br w:val="nil"/>
                    <w:tr2bl w:val="nil"/>
                  </w:tcBorders>
                  <w:noWrap w:val="0"/>
                  <w:vAlign w:val="center"/>
                </w:tcPr>
                <w:p w14:paraId="71F10F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bl>
          <w:p w14:paraId="066C1EEC">
            <w:pPr>
              <w:keepNext w:val="0"/>
              <w:keepLines w:val="0"/>
              <w:suppressLineNumbers w:val="0"/>
              <w:spacing w:before="0" w:beforeAutospacing="0" w:after="0" w:afterAutospacing="0" w:line="240" w:lineRule="auto"/>
              <w:ind w:left="0" w:right="0"/>
              <w:jc w:val="cente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原辅材料供应情况</w:t>
            </w:r>
          </w:p>
          <w:tbl>
            <w:tblPr>
              <w:tblStyle w:val="26"/>
              <w:tblW w:w="7611"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Layout w:type="fixed"/>
              <w:tblCellMar>
                <w:top w:w="0" w:type="dxa"/>
                <w:left w:w="108" w:type="dxa"/>
                <w:bottom w:w="0" w:type="dxa"/>
                <w:right w:w="108" w:type="dxa"/>
              </w:tblCellMar>
            </w:tblPr>
            <w:tblGrid>
              <w:gridCol w:w="688"/>
              <w:gridCol w:w="1959"/>
              <w:gridCol w:w="1829"/>
              <w:gridCol w:w="1550"/>
              <w:gridCol w:w="1585"/>
            </w:tblGrid>
            <w:tr w14:paraId="7EFF705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688" w:type="dxa"/>
                  <w:tcBorders>
                    <w:tl2br w:val="nil"/>
                    <w:tr2bl w:val="nil"/>
                  </w:tcBorders>
                  <w:noWrap w:val="0"/>
                  <w:vAlign w:val="center"/>
                </w:tcPr>
                <w:p w14:paraId="5C5C6F6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959" w:type="dxa"/>
                  <w:tcBorders>
                    <w:tl2br w:val="nil"/>
                    <w:tr2bl w:val="nil"/>
                  </w:tcBorders>
                  <w:noWrap w:val="0"/>
                  <w:vAlign w:val="center"/>
                </w:tcPr>
                <w:p w14:paraId="4C43EC6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1829" w:type="dxa"/>
                  <w:tcBorders>
                    <w:tl2br w:val="nil"/>
                    <w:tr2bl w:val="nil"/>
                  </w:tcBorders>
                  <w:noWrap w:val="0"/>
                  <w:vAlign w:val="center"/>
                </w:tcPr>
                <w:p w14:paraId="5A65A82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消耗量</w:t>
                  </w:r>
                </w:p>
              </w:tc>
              <w:tc>
                <w:tcPr>
                  <w:tcW w:w="1550" w:type="dxa"/>
                  <w:tcBorders>
                    <w:tl2br w:val="nil"/>
                    <w:tr2bl w:val="nil"/>
                  </w:tcBorders>
                  <w:noWrap w:val="0"/>
                  <w:vAlign w:val="center"/>
                </w:tcPr>
                <w:p w14:paraId="4F7E4014">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单位</w:t>
                  </w:r>
                </w:p>
              </w:tc>
              <w:tc>
                <w:tcPr>
                  <w:tcW w:w="1585" w:type="dxa"/>
                  <w:tcBorders>
                    <w:tl2br w:val="nil"/>
                    <w:tr2bl w:val="nil"/>
                  </w:tcBorders>
                  <w:noWrap w:val="0"/>
                  <w:vAlign w:val="center"/>
                </w:tcPr>
                <w:p w14:paraId="6F6444BC">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储存方式</w:t>
                  </w:r>
                </w:p>
              </w:tc>
            </w:tr>
            <w:tr w14:paraId="2063EB5F">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688" w:type="dxa"/>
                  <w:tcBorders>
                    <w:tl2br w:val="nil"/>
                    <w:tr2bl w:val="nil"/>
                  </w:tcBorders>
                  <w:noWrap w:val="0"/>
                  <w:vAlign w:val="center"/>
                </w:tcPr>
                <w:p w14:paraId="04E13AC4">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1959" w:type="dxa"/>
                  <w:tcBorders>
                    <w:tl2br w:val="nil"/>
                    <w:tr2bl w:val="nil"/>
                  </w:tcBorders>
                  <w:noWrap w:val="0"/>
                  <w:vAlign w:val="center"/>
                </w:tcPr>
                <w:p w14:paraId="0D1A02FA">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天然气</w:t>
                  </w:r>
                </w:p>
              </w:tc>
              <w:tc>
                <w:tcPr>
                  <w:tcW w:w="1829" w:type="dxa"/>
                  <w:tcBorders>
                    <w:tl2br w:val="nil"/>
                    <w:tr2bl w:val="nil"/>
                  </w:tcBorders>
                  <w:noWrap w:val="0"/>
                  <w:vAlign w:val="center"/>
                </w:tcPr>
                <w:p w14:paraId="1769B5F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720163.35</w:t>
                  </w:r>
                </w:p>
              </w:tc>
              <w:tc>
                <w:tcPr>
                  <w:tcW w:w="1550" w:type="dxa"/>
                  <w:tcBorders>
                    <w:tl2br w:val="nil"/>
                    <w:tr2bl w:val="nil"/>
                  </w:tcBorders>
                  <w:noWrap w:val="0"/>
                  <w:vAlign w:val="center"/>
                </w:tcPr>
                <w:p w14:paraId="338B51D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585" w:type="dxa"/>
                  <w:tcBorders>
                    <w:tl2br w:val="nil"/>
                    <w:tr2bl w:val="nil"/>
                  </w:tcBorders>
                  <w:noWrap w:val="0"/>
                  <w:vAlign w:val="center"/>
                </w:tcPr>
                <w:p w14:paraId="5E255BF8">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管道</w:t>
                  </w:r>
                </w:p>
              </w:tc>
            </w:tr>
            <w:tr w14:paraId="7F647BE6">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688" w:type="dxa"/>
                  <w:tcBorders>
                    <w:tl2br w:val="nil"/>
                    <w:tr2bl w:val="nil"/>
                  </w:tcBorders>
                  <w:noWrap w:val="0"/>
                  <w:vAlign w:val="center"/>
                </w:tcPr>
                <w:p w14:paraId="6C1F2D09">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1959" w:type="dxa"/>
                  <w:tcBorders>
                    <w:tl2br w:val="nil"/>
                    <w:tr2bl w:val="nil"/>
                  </w:tcBorders>
                  <w:noWrap w:val="0"/>
                  <w:vAlign w:val="center"/>
                </w:tcPr>
                <w:p w14:paraId="03BC5857">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水</w:t>
                  </w:r>
                </w:p>
              </w:tc>
              <w:tc>
                <w:tcPr>
                  <w:tcW w:w="1829" w:type="dxa"/>
                  <w:tcBorders>
                    <w:tl2br w:val="nil"/>
                    <w:tr2bl w:val="nil"/>
                  </w:tcBorders>
                  <w:noWrap w:val="0"/>
                  <w:vAlign w:val="center"/>
                </w:tcPr>
                <w:p w14:paraId="1A3C7C9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6871.06</w:t>
                  </w:r>
                </w:p>
              </w:tc>
              <w:tc>
                <w:tcPr>
                  <w:tcW w:w="1550" w:type="dxa"/>
                  <w:tcBorders>
                    <w:tl2br w:val="nil"/>
                    <w:tr2bl w:val="nil"/>
                  </w:tcBorders>
                  <w:noWrap w:val="0"/>
                  <w:vAlign w:val="center"/>
                </w:tcPr>
                <w:p w14:paraId="5B67305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585" w:type="dxa"/>
                  <w:tcBorders>
                    <w:tl2br w:val="nil"/>
                    <w:tr2bl w:val="nil"/>
                  </w:tcBorders>
                  <w:noWrap w:val="0"/>
                  <w:vAlign w:val="center"/>
                </w:tcPr>
                <w:p w14:paraId="7B52E2EC">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管网</w:t>
                  </w:r>
                  <w:r>
                    <w:rPr>
                      <w:rFonts w:hint="default" w:ascii="Times New Roman" w:hAnsi="Times New Roman" w:cs="Times New Roman"/>
                      <w:color w:val="000000" w:themeColor="text1"/>
                      <w:szCs w:val="21"/>
                      <w14:textFill>
                        <w14:solidFill>
                          <w14:schemeClr w14:val="tx1"/>
                        </w14:solidFill>
                      </w14:textFill>
                    </w:rPr>
                    <w:t>供给</w:t>
                  </w:r>
                </w:p>
              </w:tc>
            </w:tr>
            <w:tr w14:paraId="322EBFC2">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688" w:type="dxa"/>
                  <w:tcBorders>
                    <w:tl2br w:val="nil"/>
                    <w:tr2bl w:val="nil"/>
                  </w:tcBorders>
                  <w:noWrap w:val="0"/>
                  <w:vAlign w:val="center"/>
                </w:tcPr>
                <w:p w14:paraId="15C6DC5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w:t>
                  </w:r>
                </w:p>
              </w:tc>
              <w:tc>
                <w:tcPr>
                  <w:tcW w:w="1959" w:type="dxa"/>
                  <w:tcBorders>
                    <w:tl2br w:val="nil"/>
                    <w:tr2bl w:val="nil"/>
                  </w:tcBorders>
                  <w:noWrap w:val="0"/>
                  <w:vAlign w:val="center"/>
                </w:tcPr>
                <w:p w14:paraId="2BAA92F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电</w:t>
                  </w:r>
                </w:p>
              </w:tc>
              <w:tc>
                <w:tcPr>
                  <w:tcW w:w="1829" w:type="dxa"/>
                  <w:tcBorders>
                    <w:tl2br w:val="nil"/>
                    <w:tr2bl w:val="nil"/>
                  </w:tcBorders>
                  <w:noWrap w:val="0"/>
                  <w:vAlign w:val="center"/>
                </w:tcPr>
                <w:p w14:paraId="5BDCEAA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175103</w:t>
                  </w:r>
                </w:p>
              </w:tc>
              <w:tc>
                <w:tcPr>
                  <w:tcW w:w="1550" w:type="dxa"/>
                  <w:tcBorders>
                    <w:tl2br w:val="nil"/>
                    <w:tr2bl w:val="nil"/>
                  </w:tcBorders>
                  <w:noWrap w:val="0"/>
                  <w:vAlign w:val="center"/>
                </w:tcPr>
                <w:p w14:paraId="472D68D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kW•h</w:t>
                  </w:r>
                </w:p>
              </w:tc>
              <w:tc>
                <w:tcPr>
                  <w:tcW w:w="1585" w:type="dxa"/>
                  <w:tcBorders>
                    <w:tl2br w:val="nil"/>
                    <w:tr2bl w:val="nil"/>
                  </w:tcBorders>
                  <w:noWrap w:val="0"/>
                  <w:vAlign w:val="center"/>
                </w:tcPr>
                <w:p w14:paraId="40CACE4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市政供电系统</w:t>
                  </w:r>
                </w:p>
              </w:tc>
            </w:tr>
          </w:tbl>
          <w:p w14:paraId="189EEBC1">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both"/>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2.5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总平面布置</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及换热布局</w:t>
            </w:r>
          </w:p>
          <w:p w14:paraId="31F4D6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项目位于未央经典</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西旅逸都</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小区地下一层，设备间面积为210m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。该供热中心由锅炉房、换热站和控制室组成，锅炉房位于东侧，由北向南布设5台1.4MW热水锅炉，锅炉南侧布置补水泵和循环水泵</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换热站位于西侧，分为低区换热机组和高区换热机组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控制室位于中间。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锅炉房内部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总平面布置图见附图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14:paraId="197D2D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2.6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与污染排放有关的物质分析</w:t>
            </w:r>
          </w:p>
          <w:p w14:paraId="781755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本项目天然气</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来自</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市政燃气管网，天然气燃烧会产生一定量的颗粒物、二氧化硫及氮氧化物。</w:t>
            </w:r>
          </w:p>
          <w:p w14:paraId="73DD86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天然气理化性质：天然气是存在于地下岩石储集层中以烃为主体的混合气体的统称，比空气轻，具有无色、无味、无毒之特性。天然气主要成分是烷烃，其中甲烷占绝大多数，另有少量的乙烷、丙烷和丁烷，此外一般有硫化氢、二氧化碳、氮和水气和少量一氧化碳及微量的稀有气体，如氦和氩等。本项目天然气成分见表2</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746E8D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color w:val="000000" w:themeColor="text1"/>
                <w:sz w:val="24"/>
                <w:szCs w:val="32"/>
                <w14:textFill>
                  <w14:solidFill>
                    <w14:schemeClr w14:val="tx1"/>
                  </w14:solidFill>
                </w14:textFill>
              </w:rPr>
            </w:pPr>
            <w:r>
              <w:rPr>
                <w:rFonts w:hint="default" w:ascii="Times New Roman" w:hAnsi="Times New Roman" w:eastAsia="宋体" w:cs="Times New Roman"/>
                <w:b/>
                <w:bCs/>
                <w:color w:val="000000" w:themeColor="text1"/>
                <w:sz w:val="24"/>
                <w:szCs w:val="32"/>
                <w14:textFill>
                  <w14:solidFill>
                    <w14:schemeClr w14:val="tx1"/>
                  </w14:solidFill>
                </w14:textFill>
              </w:rPr>
              <w:t>表2</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32"/>
                <w14:textFill>
                  <w14:solidFill>
                    <w14:schemeClr w14:val="tx1"/>
                  </w14:solidFill>
                </w14:textFill>
              </w:rPr>
              <w:t>天然气成分表</w:t>
            </w:r>
          </w:p>
          <w:tbl>
            <w:tblPr>
              <w:tblStyle w:val="26"/>
              <w:tblW w:w="49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640"/>
              <w:gridCol w:w="715"/>
              <w:gridCol w:w="762"/>
              <w:gridCol w:w="640"/>
              <w:gridCol w:w="641"/>
              <w:gridCol w:w="635"/>
              <w:gridCol w:w="442"/>
              <w:gridCol w:w="442"/>
              <w:gridCol w:w="1426"/>
            </w:tblGrid>
            <w:tr w14:paraId="575560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77150AA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名称</w:t>
                  </w:r>
                </w:p>
              </w:tc>
              <w:tc>
                <w:tcPr>
                  <w:tcW w:w="6343" w:type="dxa"/>
                  <w:gridSpan w:val="9"/>
                  <w:tcBorders>
                    <w:tl2br w:val="nil"/>
                    <w:tr2bl w:val="nil"/>
                  </w:tcBorders>
                  <w:noWrap w:val="0"/>
                  <w:vAlign w:val="center"/>
                </w:tcPr>
                <w:p w14:paraId="0B0F587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参数</w:t>
                  </w:r>
                </w:p>
              </w:tc>
            </w:tr>
            <w:tr w14:paraId="1B1484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7529147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组分</w:t>
                  </w:r>
                </w:p>
              </w:tc>
              <w:tc>
                <w:tcPr>
                  <w:tcW w:w="640" w:type="dxa"/>
                  <w:tcBorders>
                    <w:tl2br w:val="nil"/>
                    <w:tr2bl w:val="nil"/>
                  </w:tcBorders>
                  <w:noWrap w:val="0"/>
                  <w:vAlign w:val="center"/>
                </w:tcPr>
                <w:p w14:paraId="2648296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715" w:type="dxa"/>
                  <w:tcBorders>
                    <w:tl2br w:val="nil"/>
                    <w:tr2bl w:val="nil"/>
                  </w:tcBorders>
                  <w:noWrap w:val="0"/>
                  <w:vAlign w:val="center"/>
                </w:tcPr>
                <w:p w14:paraId="0444AFA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6</w:t>
                  </w:r>
                </w:p>
              </w:tc>
              <w:tc>
                <w:tcPr>
                  <w:tcW w:w="762" w:type="dxa"/>
                  <w:tcBorders>
                    <w:tl2br w:val="nil"/>
                    <w:tr2bl w:val="nil"/>
                  </w:tcBorders>
                  <w:noWrap w:val="0"/>
                  <w:vAlign w:val="center"/>
                </w:tcPr>
                <w:p w14:paraId="45630A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8</w:t>
                  </w:r>
                </w:p>
              </w:tc>
              <w:tc>
                <w:tcPr>
                  <w:tcW w:w="640" w:type="dxa"/>
                  <w:tcBorders>
                    <w:tl2br w:val="nil"/>
                    <w:tr2bl w:val="nil"/>
                  </w:tcBorders>
                  <w:noWrap w:val="0"/>
                  <w:vAlign w:val="center"/>
                </w:tcPr>
                <w:p w14:paraId="117B649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IC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41" w:type="dxa"/>
                  <w:tcBorders>
                    <w:tl2br w:val="nil"/>
                    <w:tr2bl w:val="nil"/>
                  </w:tcBorders>
                  <w:noWrap w:val="0"/>
                  <w:vAlign w:val="center"/>
                </w:tcPr>
                <w:p w14:paraId="6C76099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35" w:type="dxa"/>
                  <w:tcBorders>
                    <w:tl2br w:val="nil"/>
                    <w:tr2bl w:val="nil"/>
                  </w:tcBorders>
                  <w:noWrap w:val="0"/>
                  <w:vAlign w:val="center"/>
                </w:tcPr>
                <w:p w14:paraId="63FDDE7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442" w:type="dxa"/>
                  <w:tcBorders>
                    <w:tl2br w:val="nil"/>
                    <w:tr2bl w:val="nil"/>
                  </w:tcBorders>
                  <w:noWrap w:val="0"/>
                  <w:vAlign w:val="center"/>
                </w:tcPr>
                <w:p w14:paraId="492F29A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442" w:type="dxa"/>
                  <w:tcBorders>
                    <w:tl2br w:val="nil"/>
                    <w:tr2bl w:val="nil"/>
                  </w:tcBorders>
                  <w:noWrap w:val="0"/>
                  <w:vAlign w:val="center"/>
                </w:tcPr>
                <w:p w14:paraId="2634B41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1426" w:type="dxa"/>
                  <w:tcBorders>
                    <w:tl2br w:val="nil"/>
                    <w:tr2bl w:val="nil"/>
                  </w:tcBorders>
                  <w:noWrap w:val="0"/>
                  <w:vAlign w:val="center"/>
                </w:tcPr>
                <w:p w14:paraId="0F627BC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r>
            <w:tr w14:paraId="7EB481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045647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体积（%）</w:t>
                  </w:r>
                </w:p>
              </w:tc>
              <w:tc>
                <w:tcPr>
                  <w:tcW w:w="640" w:type="dxa"/>
                  <w:tcBorders>
                    <w:tl2br w:val="nil"/>
                    <w:tr2bl w:val="nil"/>
                  </w:tcBorders>
                  <w:noWrap w:val="0"/>
                  <w:vAlign w:val="center"/>
                </w:tcPr>
                <w:p w14:paraId="5A81CD2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96.1</w:t>
                  </w:r>
                </w:p>
              </w:tc>
              <w:tc>
                <w:tcPr>
                  <w:tcW w:w="715" w:type="dxa"/>
                  <w:tcBorders>
                    <w:tl2br w:val="nil"/>
                    <w:tr2bl w:val="nil"/>
                  </w:tcBorders>
                  <w:noWrap w:val="0"/>
                  <w:vAlign w:val="center"/>
                </w:tcPr>
                <w:p w14:paraId="398C2C1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0.45</w:t>
                  </w:r>
                </w:p>
              </w:tc>
              <w:tc>
                <w:tcPr>
                  <w:tcW w:w="762" w:type="dxa"/>
                  <w:tcBorders>
                    <w:tl2br w:val="nil"/>
                    <w:tr2bl w:val="nil"/>
                  </w:tcBorders>
                  <w:noWrap w:val="0"/>
                  <w:vAlign w:val="center"/>
                </w:tcPr>
                <w:p w14:paraId="69426B4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0.075</w:t>
                  </w:r>
                </w:p>
              </w:tc>
              <w:tc>
                <w:tcPr>
                  <w:tcW w:w="640" w:type="dxa"/>
                  <w:tcBorders>
                    <w:tl2br w:val="nil"/>
                    <w:tr2bl w:val="nil"/>
                  </w:tcBorders>
                  <w:noWrap w:val="0"/>
                  <w:vAlign w:val="center"/>
                </w:tcPr>
                <w:p w14:paraId="36A2137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0.02</w:t>
                  </w:r>
                </w:p>
              </w:tc>
              <w:tc>
                <w:tcPr>
                  <w:tcW w:w="641" w:type="dxa"/>
                  <w:tcBorders>
                    <w:tl2br w:val="nil"/>
                    <w:tr2bl w:val="nil"/>
                  </w:tcBorders>
                  <w:noWrap w:val="0"/>
                  <w:vAlign w:val="center"/>
                </w:tcPr>
                <w:p w14:paraId="1617997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0.01</w:t>
                  </w:r>
                </w:p>
              </w:tc>
              <w:tc>
                <w:tcPr>
                  <w:tcW w:w="635" w:type="dxa"/>
                  <w:tcBorders>
                    <w:tl2br w:val="nil"/>
                    <w:tr2bl w:val="nil"/>
                  </w:tcBorders>
                  <w:noWrap w:val="0"/>
                  <w:vAlign w:val="center"/>
                </w:tcPr>
                <w:p w14:paraId="01A72EC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3.2</w:t>
                  </w:r>
                </w:p>
              </w:tc>
              <w:tc>
                <w:tcPr>
                  <w:tcW w:w="442" w:type="dxa"/>
                  <w:tcBorders>
                    <w:tl2br w:val="nil"/>
                    <w:tr2bl w:val="nil"/>
                  </w:tcBorders>
                  <w:noWrap w:val="0"/>
                  <w:vAlign w:val="center"/>
                </w:tcPr>
                <w:p w14:paraId="4DE5E43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微</w:t>
                  </w:r>
                </w:p>
              </w:tc>
              <w:tc>
                <w:tcPr>
                  <w:tcW w:w="442" w:type="dxa"/>
                  <w:tcBorders>
                    <w:tl2br w:val="nil"/>
                    <w:tr2bl w:val="nil"/>
                  </w:tcBorders>
                  <w:noWrap w:val="0"/>
                  <w:vAlign w:val="center"/>
                </w:tcPr>
                <w:p w14:paraId="6B829DF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微</w:t>
                  </w:r>
                </w:p>
              </w:tc>
              <w:tc>
                <w:tcPr>
                  <w:tcW w:w="1426" w:type="dxa"/>
                  <w:tcBorders>
                    <w:tl2br w:val="nil"/>
                    <w:tr2bl w:val="nil"/>
                  </w:tcBorders>
                  <w:noWrap w:val="0"/>
                  <w:vAlign w:val="center"/>
                </w:tcPr>
                <w:p w14:paraId="6C42BBB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≤20mg/Nm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0F438F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649E7D7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高热值</w:t>
                  </w:r>
                </w:p>
              </w:tc>
              <w:tc>
                <w:tcPr>
                  <w:tcW w:w="2757" w:type="dxa"/>
                  <w:gridSpan w:val="4"/>
                  <w:tcBorders>
                    <w:tl2br w:val="nil"/>
                    <w:tr2bl w:val="nil"/>
                  </w:tcBorders>
                  <w:noWrap w:val="0"/>
                  <w:vAlign w:val="center"/>
                </w:tcPr>
                <w:p w14:paraId="75EFCB6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38.7MJ/m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586" w:type="dxa"/>
                  <w:gridSpan w:val="5"/>
                  <w:tcBorders>
                    <w:tl2br w:val="nil"/>
                    <w:tr2bl w:val="nil"/>
                  </w:tcBorders>
                  <w:noWrap w:val="0"/>
                  <w:vAlign w:val="center"/>
                </w:tcPr>
                <w:p w14:paraId="7408924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9245kcal/m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475500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vMerge w:val="restart"/>
                  <w:tcBorders>
                    <w:tl2br w:val="nil"/>
                    <w:tr2bl w:val="nil"/>
                  </w:tcBorders>
                  <w:noWrap w:val="0"/>
                  <w:vAlign w:val="center"/>
                </w:tcPr>
                <w:p w14:paraId="5B00893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低热值</w:t>
                  </w:r>
                </w:p>
              </w:tc>
              <w:tc>
                <w:tcPr>
                  <w:tcW w:w="2757" w:type="dxa"/>
                  <w:gridSpan w:val="4"/>
                  <w:tcBorders>
                    <w:tl2br w:val="nil"/>
                    <w:tr2bl w:val="nil"/>
                  </w:tcBorders>
                  <w:noWrap w:val="0"/>
                  <w:vAlign w:val="center"/>
                </w:tcPr>
                <w:p w14:paraId="2D76429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34.82MJ/m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586" w:type="dxa"/>
                  <w:gridSpan w:val="5"/>
                  <w:tcBorders>
                    <w:tl2br w:val="nil"/>
                    <w:tr2bl w:val="nil"/>
                  </w:tcBorders>
                  <w:noWrap w:val="0"/>
                  <w:vAlign w:val="center"/>
                </w:tcPr>
                <w:p w14:paraId="60275B7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8330kcal/m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2A1D20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vMerge w:val="continue"/>
                  <w:tcBorders>
                    <w:tl2br w:val="nil"/>
                    <w:tr2bl w:val="nil"/>
                  </w:tcBorders>
                  <w:noWrap w:val="0"/>
                  <w:vAlign w:val="center"/>
                </w:tcPr>
                <w:p w14:paraId="658B0D9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p>
              </w:tc>
              <w:tc>
                <w:tcPr>
                  <w:tcW w:w="2757" w:type="dxa"/>
                  <w:gridSpan w:val="4"/>
                  <w:tcBorders>
                    <w:tl2br w:val="nil"/>
                    <w:tr2bl w:val="nil"/>
                  </w:tcBorders>
                  <w:noWrap w:val="0"/>
                  <w:vAlign w:val="center"/>
                </w:tcPr>
                <w:p w14:paraId="5E0A768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33.24MJ/m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（20℃）</w:t>
                  </w:r>
                </w:p>
              </w:tc>
              <w:tc>
                <w:tcPr>
                  <w:tcW w:w="3586" w:type="dxa"/>
                  <w:gridSpan w:val="5"/>
                  <w:tcBorders>
                    <w:tl2br w:val="nil"/>
                    <w:tr2bl w:val="nil"/>
                  </w:tcBorders>
                  <w:noWrap w:val="0"/>
                  <w:vAlign w:val="center"/>
                </w:tcPr>
                <w:p w14:paraId="0B36B81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7940kcal/m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（20℃）</w:t>
                  </w:r>
                </w:p>
              </w:tc>
            </w:tr>
            <w:tr w14:paraId="2740E9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0296605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密度</w:t>
                  </w:r>
                </w:p>
              </w:tc>
              <w:tc>
                <w:tcPr>
                  <w:tcW w:w="2757" w:type="dxa"/>
                  <w:gridSpan w:val="4"/>
                  <w:tcBorders>
                    <w:tl2br w:val="nil"/>
                    <w:tr2bl w:val="nil"/>
                  </w:tcBorders>
                  <w:noWrap w:val="0"/>
                  <w:vAlign w:val="center"/>
                </w:tcPr>
                <w:p w14:paraId="0187A72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0.76kg/Nm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586" w:type="dxa"/>
                  <w:gridSpan w:val="5"/>
                  <w:tcBorders>
                    <w:tl2br w:val="nil"/>
                    <w:tr2bl w:val="nil"/>
                  </w:tcBorders>
                  <w:noWrap w:val="0"/>
                  <w:vAlign w:val="center"/>
                </w:tcPr>
                <w:p w14:paraId="3523012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536801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6D82AE9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比重</w:t>
                  </w:r>
                </w:p>
              </w:tc>
              <w:tc>
                <w:tcPr>
                  <w:tcW w:w="2757" w:type="dxa"/>
                  <w:gridSpan w:val="4"/>
                  <w:tcBorders>
                    <w:tl2br w:val="nil"/>
                    <w:tr2bl w:val="nil"/>
                  </w:tcBorders>
                  <w:noWrap w:val="0"/>
                  <w:vAlign w:val="center"/>
                </w:tcPr>
                <w:p w14:paraId="0D7DFAC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0.589</w:t>
                  </w:r>
                </w:p>
              </w:tc>
              <w:tc>
                <w:tcPr>
                  <w:tcW w:w="3586" w:type="dxa"/>
                  <w:gridSpan w:val="5"/>
                  <w:tcBorders>
                    <w:tl2br w:val="nil"/>
                    <w:tr2bl w:val="nil"/>
                  </w:tcBorders>
                  <w:noWrap w:val="0"/>
                  <w:vAlign w:val="center"/>
                </w:tcPr>
                <w:p w14:paraId="4969485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r w14:paraId="6D7962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6326755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运动粘度</w:t>
                  </w:r>
                </w:p>
              </w:tc>
              <w:tc>
                <w:tcPr>
                  <w:tcW w:w="2757" w:type="dxa"/>
                  <w:gridSpan w:val="4"/>
                  <w:tcBorders>
                    <w:tl2br w:val="nil"/>
                    <w:tr2bl w:val="nil"/>
                  </w:tcBorders>
                  <w:noWrap w:val="0"/>
                  <w:vAlign w:val="center"/>
                </w:tcPr>
                <w:p w14:paraId="7712DE6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13.91×10</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-6</w:t>
                  </w:r>
                  <w:r>
                    <w:rPr>
                      <w:rFonts w:hint="default" w:ascii="Times New Roman" w:hAnsi="Times New Roman" w:cs="Times New Roman" w:eastAsiaTheme="minorEastAsia"/>
                      <w:color w:val="000000" w:themeColor="text1"/>
                      <w:sz w:val="21"/>
                      <w:szCs w:val="21"/>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c>
                <w:tcPr>
                  <w:tcW w:w="3586" w:type="dxa"/>
                  <w:gridSpan w:val="5"/>
                  <w:tcBorders>
                    <w:tl2br w:val="nil"/>
                    <w:tr2bl w:val="nil"/>
                  </w:tcBorders>
                  <w:noWrap w:val="0"/>
                  <w:vAlign w:val="center"/>
                </w:tcPr>
                <w:p w14:paraId="785B266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r w14:paraId="0DF8FC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3843462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爆炸极限</w:t>
                  </w:r>
                </w:p>
              </w:tc>
              <w:tc>
                <w:tcPr>
                  <w:tcW w:w="2757" w:type="dxa"/>
                  <w:gridSpan w:val="4"/>
                  <w:tcBorders>
                    <w:tl2br w:val="nil"/>
                    <w:tr2bl w:val="nil"/>
                  </w:tcBorders>
                  <w:noWrap w:val="0"/>
                  <w:vAlign w:val="center"/>
                </w:tcPr>
                <w:p w14:paraId="2C7BA0D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5.15～15.44%</w:t>
                  </w:r>
                </w:p>
              </w:tc>
              <w:tc>
                <w:tcPr>
                  <w:tcW w:w="3586" w:type="dxa"/>
                  <w:gridSpan w:val="5"/>
                  <w:tcBorders>
                    <w:tl2br w:val="nil"/>
                    <w:tr2bl w:val="nil"/>
                  </w:tcBorders>
                  <w:noWrap w:val="0"/>
                  <w:vAlign w:val="center"/>
                </w:tcPr>
                <w:p w14:paraId="11168DE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bl>
          <w:p w14:paraId="47084C26">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2-7</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天然气的主要性能指标及危险性</w:t>
            </w:r>
          </w:p>
          <w:tbl>
            <w:tblPr>
              <w:tblStyle w:val="27"/>
              <w:tblW w:w="758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739"/>
              <w:gridCol w:w="1805"/>
              <w:gridCol w:w="1911"/>
              <w:gridCol w:w="1307"/>
            </w:tblGrid>
            <w:tr w14:paraId="090AD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0F611B78">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标识</w:t>
                  </w:r>
                </w:p>
              </w:tc>
              <w:tc>
                <w:tcPr>
                  <w:tcW w:w="1739" w:type="dxa"/>
                  <w:tcBorders>
                    <w:tl2br w:val="nil"/>
                    <w:tr2bl w:val="nil"/>
                  </w:tcBorders>
                  <w:noWrap w:val="0"/>
                  <w:vAlign w:val="center"/>
                </w:tcPr>
                <w:p w14:paraId="474A64D5">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中文名</w:t>
                  </w:r>
                </w:p>
              </w:tc>
              <w:tc>
                <w:tcPr>
                  <w:tcW w:w="1805" w:type="dxa"/>
                  <w:tcBorders>
                    <w:tl2br w:val="nil"/>
                    <w:tr2bl w:val="nil"/>
                  </w:tcBorders>
                  <w:noWrap w:val="0"/>
                  <w:vAlign w:val="center"/>
                </w:tcPr>
                <w:p w14:paraId="623A688E">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天然气</w:t>
                  </w:r>
                </w:p>
              </w:tc>
              <w:tc>
                <w:tcPr>
                  <w:tcW w:w="1911" w:type="dxa"/>
                  <w:tcBorders>
                    <w:tl2br w:val="nil"/>
                    <w:tr2bl w:val="nil"/>
                  </w:tcBorders>
                  <w:noWrap w:val="0"/>
                  <w:vAlign w:val="center"/>
                </w:tcPr>
                <w:p w14:paraId="0CAF7D11">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英文名</w:t>
                  </w:r>
                </w:p>
              </w:tc>
              <w:tc>
                <w:tcPr>
                  <w:tcW w:w="1307" w:type="dxa"/>
                  <w:tcBorders>
                    <w:tl2br w:val="nil"/>
                    <w:tr2bl w:val="nil"/>
                  </w:tcBorders>
                  <w:noWrap w:val="0"/>
                  <w:vAlign w:val="center"/>
                </w:tcPr>
                <w:p w14:paraId="3B1F2D1F">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natural gas</w:t>
                  </w:r>
                </w:p>
              </w:tc>
            </w:tr>
            <w:tr w14:paraId="096ACD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6FADA975">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59756967">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分子式</w:t>
                  </w:r>
                </w:p>
              </w:tc>
              <w:tc>
                <w:tcPr>
                  <w:tcW w:w="1805" w:type="dxa"/>
                  <w:tcBorders>
                    <w:tl2br w:val="nil"/>
                    <w:tr2bl w:val="nil"/>
                  </w:tcBorders>
                  <w:noWrap w:val="0"/>
                  <w:vAlign w:val="center"/>
                </w:tcPr>
                <w:p w14:paraId="2F2E1B63">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主要成分为CH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4</w:t>
                  </w:r>
                </w:p>
              </w:tc>
              <w:tc>
                <w:tcPr>
                  <w:tcW w:w="1911" w:type="dxa"/>
                  <w:tcBorders>
                    <w:tl2br w:val="nil"/>
                    <w:tr2bl w:val="nil"/>
                  </w:tcBorders>
                  <w:noWrap w:val="0"/>
                  <w:vAlign w:val="center"/>
                </w:tcPr>
                <w:p w14:paraId="28E3144D">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CAS号</w:t>
                  </w:r>
                </w:p>
              </w:tc>
              <w:tc>
                <w:tcPr>
                  <w:tcW w:w="1307" w:type="dxa"/>
                  <w:tcBorders>
                    <w:tl2br w:val="nil"/>
                    <w:tr2bl w:val="nil"/>
                  </w:tcBorders>
                  <w:noWrap w:val="0"/>
                  <w:vAlign w:val="center"/>
                </w:tcPr>
                <w:p w14:paraId="522E91DA">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8006-14-2</w:t>
                  </w:r>
                </w:p>
              </w:tc>
            </w:tr>
            <w:tr w14:paraId="5AAE00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0A33F34D">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3544" w:type="dxa"/>
                  <w:gridSpan w:val="2"/>
                  <w:tcBorders>
                    <w:tl2br w:val="nil"/>
                    <w:tr2bl w:val="nil"/>
                  </w:tcBorders>
                  <w:noWrap w:val="0"/>
                  <w:vAlign w:val="center"/>
                </w:tcPr>
                <w:p w14:paraId="6DEE4A6C">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危险性类别</w:t>
                  </w:r>
                </w:p>
              </w:tc>
              <w:tc>
                <w:tcPr>
                  <w:tcW w:w="3218" w:type="dxa"/>
                  <w:gridSpan w:val="2"/>
                  <w:tcBorders>
                    <w:tl2br w:val="nil"/>
                    <w:tr2bl w:val="nil"/>
                  </w:tcBorders>
                  <w:noWrap w:val="0"/>
                  <w:vAlign w:val="center"/>
                </w:tcPr>
                <w:p w14:paraId="22124511">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第2.1类易燃气体</w:t>
                  </w:r>
                </w:p>
              </w:tc>
            </w:tr>
            <w:tr w14:paraId="64522C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3EB7180D">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理化特性</w:t>
                  </w:r>
                </w:p>
              </w:tc>
              <w:tc>
                <w:tcPr>
                  <w:tcW w:w="1739" w:type="dxa"/>
                  <w:tcBorders>
                    <w:tl2br w:val="nil"/>
                    <w:tr2bl w:val="nil"/>
                  </w:tcBorders>
                  <w:noWrap w:val="0"/>
                  <w:vAlign w:val="center"/>
                </w:tcPr>
                <w:p w14:paraId="7B669C68">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熔点°C</w:t>
                  </w:r>
                </w:p>
              </w:tc>
              <w:tc>
                <w:tcPr>
                  <w:tcW w:w="1805" w:type="dxa"/>
                  <w:tcBorders>
                    <w:tl2br w:val="nil"/>
                    <w:tr2bl w:val="nil"/>
                  </w:tcBorders>
                  <w:noWrap w:val="0"/>
                  <w:vAlign w:val="center"/>
                </w:tcPr>
                <w:p w14:paraId="1FF54CA3">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-182.6</w:t>
                  </w:r>
                </w:p>
              </w:tc>
              <w:tc>
                <w:tcPr>
                  <w:tcW w:w="1911" w:type="dxa"/>
                  <w:tcBorders>
                    <w:tl2br w:val="nil"/>
                    <w:tr2bl w:val="nil"/>
                  </w:tcBorders>
                  <w:noWrap w:val="0"/>
                  <w:vAlign w:val="center"/>
                </w:tcPr>
                <w:p w14:paraId="7A033728">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沸点（°C）</w:t>
                  </w:r>
                </w:p>
              </w:tc>
              <w:tc>
                <w:tcPr>
                  <w:tcW w:w="1307" w:type="dxa"/>
                  <w:tcBorders>
                    <w:tl2br w:val="nil"/>
                    <w:tr2bl w:val="nil"/>
                  </w:tcBorders>
                  <w:noWrap w:val="0"/>
                  <w:vAlign w:val="center"/>
                </w:tcPr>
                <w:p w14:paraId="559FBD5B">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-161.4</w:t>
                  </w:r>
                </w:p>
              </w:tc>
            </w:tr>
            <w:tr w14:paraId="4E7241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393EA895">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13FE06DF">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外观性状</w:t>
                  </w:r>
                </w:p>
              </w:tc>
              <w:tc>
                <w:tcPr>
                  <w:tcW w:w="5023" w:type="dxa"/>
                  <w:gridSpan w:val="3"/>
                  <w:tcBorders>
                    <w:tl2br w:val="nil"/>
                    <w:tr2bl w:val="nil"/>
                  </w:tcBorders>
                  <w:noWrap w:val="0"/>
                  <w:vAlign w:val="center"/>
                </w:tcPr>
                <w:p w14:paraId="07EDFAAB">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纯品为无色无味气体。</w:t>
                  </w:r>
                </w:p>
              </w:tc>
            </w:tr>
            <w:tr w14:paraId="3D9483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4F8517B8">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74C5DCB6">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溶解性</w:t>
                  </w:r>
                </w:p>
              </w:tc>
              <w:tc>
                <w:tcPr>
                  <w:tcW w:w="5023" w:type="dxa"/>
                  <w:gridSpan w:val="3"/>
                  <w:tcBorders>
                    <w:tl2br w:val="nil"/>
                    <w:tr2bl w:val="nil"/>
                  </w:tcBorders>
                  <w:noWrap w:val="0"/>
                  <w:vAlign w:val="center"/>
                </w:tcPr>
                <w:p w14:paraId="02F8F957">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微溶于水，溶于乙醇、乙醚、苯、甲苯等</w:t>
                  </w:r>
                </w:p>
              </w:tc>
            </w:tr>
            <w:tr w14:paraId="50B89F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7A4AA668">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1C1EC0D1">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稳定性</w:t>
                  </w:r>
                </w:p>
              </w:tc>
              <w:tc>
                <w:tcPr>
                  <w:tcW w:w="5023" w:type="dxa"/>
                  <w:gridSpan w:val="3"/>
                  <w:tcBorders>
                    <w:tl2br w:val="nil"/>
                    <w:tr2bl w:val="nil"/>
                  </w:tcBorders>
                  <w:noWrap w:val="0"/>
                  <w:vAlign w:val="center"/>
                </w:tcPr>
                <w:p w14:paraId="5EDE7537">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稳定</w:t>
                  </w:r>
                </w:p>
              </w:tc>
            </w:tr>
            <w:tr w14:paraId="270CDF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6CFD550B">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49504978">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禁忌物</w:t>
                  </w:r>
                </w:p>
              </w:tc>
              <w:tc>
                <w:tcPr>
                  <w:tcW w:w="5023" w:type="dxa"/>
                  <w:gridSpan w:val="3"/>
                  <w:tcBorders>
                    <w:tl2br w:val="nil"/>
                    <w:tr2bl w:val="nil"/>
                  </w:tcBorders>
                  <w:noWrap w:val="0"/>
                  <w:vAlign w:val="center"/>
                </w:tcPr>
                <w:p w14:paraId="68A06189">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强氧化物、强酸、强碱、卤素</w:t>
                  </w:r>
                </w:p>
              </w:tc>
            </w:tr>
            <w:tr w14:paraId="4E6DE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7B3DCC8C">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燃爆特</w:t>
                  </w:r>
                  <w:r>
                    <w:rPr>
                      <w:rFonts w:hint="default" w:ascii="Times New Roman" w:hAnsi="Times New Roman" w:cs="Times New Roman" w:eastAsiaTheme="minorEastAsia"/>
                      <w:b/>
                      <w:bCs/>
                      <w:color w:val="000000" w:themeColor="text1"/>
                      <w:kern w:val="0"/>
                      <w:sz w:val="21"/>
                      <w:szCs w:val="21"/>
                      <w:lang w:val="en-US" w:eastAsia="zh-CN" w:bidi="ar"/>
                      <w14:textFill>
                        <w14:solidFill>
                          <w14:schemeClr w14:val="tx1"/>
                        </w14:solidFill>
                      </w14:textFill>
                    </w:rPr>
                    <w:t>性</w:t>
                  </w:r>
                </w:p>
              </w:tc>
              <w:tc>
                <w:tcPr>
                  <w:tcW w:w="1739" w:type="dxa"/>
                  <w:tcBorders>
                    <w:tl2br w:val="nil"/>
                    <w:tr2bl w:val="nil"/>
                  </w:tcBorders>
                  <w:noWrap w:val="0"/>
                  <w:vAlign w:val="center"/>
                </w:tcPr>
                <w:p w14:paraId="45BABB10">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燃烧性</w:t>
                  </w:r>
                </w:p>
              </w:tc>
              <w:tc>
                <w:tcPr>
                  <w:tcW w:w="1805" w:type="dxa"/>
                  <w:tcBorders>
                    <w:tl2br w:val="nil"/>
                    <w:tr2bl w:val="nil"/>
                  </w:tcBorders>
                  <w:noWrap w:val="0"/>
                  <w:vAlign w:val="center"/>
                </w:tcPr>
                <w:p w14:paraId="29DE8AC6">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易燃</w:t>
                  </w:r>
                </w:p>
              </w:tc>
              <w:tc>
                <w:tcPr>
                  <w:tcW w:w="1911" w:type="dxa"/>
                  <w:tcBorders>
                    <w:tl2br w:val="nil"/>
                    <w:tr2bl w:val="nil"/>
                  </w:tcBorders>
                  <w:noWrap w:val="0"/>
                  <w:vAlign w:val="center"/>
                </w:tcPr>
                <w:p w14:paraId="3AEFA850">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火险危险性分类</w:t>
                  </w:r>
                </w:p>
              </w:tc>
              <w:tc>
                <w:tcPr>
                  <w:tcW w:w="1307" w:type="dxa"/>
                  <w:tcBorders>
                    <w:tl2br w:val="nil"/>
                    <w:tr2bl w:val="nil"/>
                  </w:tcBorders>
                  <w:noWrap w:val="0"/>
                  <w:vAlign w:val="center"/>
                </w:tcPr>
                <w:p w14:paraId="5874584F">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甲</w:t>
                  </w:r>
                </w:p>
              </w:tc>
            </w:tr>
            <w:tr w14:paraId="7DB854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46BC2A2B">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672A43FF">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闪点，°C</w:t>
                  </w:r>
                </w:p>
              </w:tc>
              <w:tc>
                <w:tcPr>
                  <w:tcW w:w="1805" w:type="dxa"/>
                  <w:tcBorders>
                    <w:tl2br w:val="nil"/>
                    <w:tr2bl w:val="nil"/>
                  </w:tcBorders>
                  <w:noWrap w:val="0"/>
                  <w:vAlign w:val="center"/>
                </w:tcPr>
                <w:p w14:paraId="1E163D55">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-218</w:t>
                  </w:r>
                </w:p>
              </w:tc>
              <w:tc>
                <w:tcPr>
                  <w:tcW w:w="1911" w:type="dxa"/>
                  <w:tcBorders>
                    <w:tl2br w:val="nil"/>
                    <w:tr2bl w:val="nil"/>
                  </w:tcBorders>
                  <w:noWrap w:val="0"/>
                  <w:vAlign w:val="center"/>
                </w:tcPr>
                <w:p w14:paraId="723990E0">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引燃温度（℃）</w:t>
                  </w:r>
                </w:p>
              </w:tc>
              <w:tc>
                <w:tcPr>
                  <w:tcW w:w="1307" w:type="dxa"/>
                  <w:tcBorders>
                    <w:tl2br w:val="nil"/>
                    <w:tr2bl w:val="nil"/>
                  </w:tcBorders>
                  <w:noWrap w:val="0"/>
                  <w:vAlign w:val="center"/>
                </w:tcPr>
                <w:p w14:paraId="64B2C929">
                  <w:pPr>
                    <w:pStyle w:val="39"/>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537</w:t>
                  </w:r>
                </w:p>
              </w:tc>
            </w:tr>
            <w:tr w14:paraId="09B9EE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3A820330">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2E2794B2">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爆炸下限</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（V%）</w:t>
                  </w:r>
                </w:p>
              </w:tc>
              <w:tc>
                <w:tcPr>
                  <w:tcW w:w="1805" w:type="dxa"/>
                  <w:tcBorders>
                    <w:tl2br w:val="nil"/>
                    <w:tr2bl w:val="nil"/>
                  </w:tcBorders>
                  <w:noWrap w:val="0"/>
                  <w:vAlign w:val="center"/>
                </w:tcPr>
                <w:p w14:paraId="51081D60">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5</w:t>
                  </w:r>
                </w:p>
              </w:tc>
              <w:tc>
                <w:tcPr>
                  <w:tcW w:w="1911" w:type="dxa"/>
                  <w:tcBorders>
                    <w:tl2br w:val="nil"/>
                    <w:tr2bl w:val="nil"/>
                  </w:tcBorders>
                  <w:noWrap w:val="0"/>
                  <w:vAlign w:val="center"/>
                </w:tcPr>
                <w:p w14:paraId="0D365E7A">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爆炸上限（V%）</w:t>
                  </w:r>
                </w:p>
              </w:tc>
              <w:tc>
                <w:tcPr>
                  <w:tcW w:w="1307" w:type="dxa"/>
                  <w:tcBorders>
                    <w:tl2br w:val="nil"/>
                    <w:tr2bl w:val="nil"/>
                  </w:tcBorders>
                  <w:noWrap w:val="0"/>
                  <w:vAlign w:val="center"/>
                </w:tcPr>
                <w:p w14:paraId="293C0436">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15</w:t>
                  </w:r>
                </w:p>
              </w:tc>
            </w:tr>
            <w:tr w14:paraId="51FB1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1892AAEC">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152E691A">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危险特性</w:t>
                  </w:r>
                </w:p>
              </w:tc>
              <w:tc>
                <w:tcPr>
                  <w:tcW w:w="5023" w:type="dxa"/>
                  <w:gridSpan w:val="3"/>
                  <w:tcBorders>
                    <w:tl2br w:val="nil"/>
                    <w:tr2bl w:val="nil"/>
                  </w:tcBorders>
                  <w:noWrap w:val="0"/>
                  <w:vAlign w:val="center"/>
                </w:tcPr>
                <w:p w14:paraId="41CB7A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firstLineChars="200"/>
                    <w:jc w:val="both"/>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易燃，与空气混合能形成爆炸性混合物，遇热源和明火有燃烧爆炸的危险。与五氧化溴、氯气、次氯酸、三氟化氮、液氧、二氟化氧及其他强氧化剂接触发生剧烈反应。</w:t>
                  </w:r>
                </w:p>
              </w:tc>
            </w:tr>
            <w:tr w14:paraId="57BF3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6FDDA667">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4F02A7DB">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灭火方法</w:t>
                  </w:r>
                </w:p>
              </w:tc>
              <w:tc>
                <w:tcPr>
                  <w:tcW w:w="5023" w:type="dxa"/>
                  <w:gridSpan w:val="3"/>
                  <w:tcBorders>
                    <w:tl2br w:val="nil"/>
                    <w:tr2bl w:val="nil"/>
                  </w:tcBorders>
                  <w:noWrap w:val="0"/>
                  <w:vAlign w:val="center"/>
                </w:tcPr>
                <w:p w14:paraId="17AD9EBA">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雾状水、泡沫、二氧化碳。</w:t>
                  </w:r>
                </w:p>
              </w:tc>
            </w:tr>
            <w:tr w14:paraId="50F39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7CF4C6E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
                      <w14:textFill>
                        <w14:solidFill>
                          <w14:schemeClr w14:val="tx1"/>
                        </w14:solidFill>
                      </w14:textFill>
                    </w:rPr>
                    <w:t>毒理学及健康危害</w:t>
                  </w:r>
                </w:p>
              </w:tc>
              <w:tc>
                <w:tcPr>
                  <w:tcW w:w="1739" w:type="dxa"/>
                  <w:tcBorders>
                    <w:tl2br w:val="nil"/>
                    <w:tr2bl w:val="nil"/>
                  </w:tcBorders>
                  <w:noWrap w:val="0"/>
                  <w:vAlign w:val="center"/>
                </w:tcPr>
                <w:p w14:paraId="73AB65AB">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毒理学</w:t>
                  </w:r>
                </w:p>
              </w:tc>
              <w:tc>
                <w:tcPr>
                  <w:tcW w:w="5023" w:type="dxa"/>
                  <w:gridSpan w:val="3"/>
                  <w:tcBorders>
                    <w:tl2br w:val="nil"/>
                    <w:tr2bl w:val="nil"/>
                  </w:tcBorders>
                  <w:noWrap w:val="0"/>
                  <w:vAlign w:val="center"/>
                </w:tcPr>
                <w:p w14:paraId="7528F9B4">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急性毒性：LD</w:t>
                  </w:r>
                  <w:r>
                    <w:rPr>
                      <w:rFonts w:hint="default" w:ascii="Times New Roman" w:hAnsi="Times New Roman" w:cs="Times New Roman" w:eastAsiaTheme="minorEastAsia"/>
                      <w:color w:val="000000" w:themeColor="text1"/>
                      <w:kern w:val="0"/>
                      <w:sz w:val="13"/>
                      <w:szCs w:val="13"/>
                      <w:lang w:val="en-US" w:eastAsia="zh-CN" w:bidi="ar"/>
                      <w14:textFill>
                        <w14:solidFill>
                          <w14:schemeClr w14:val="tx1"/>
                        </w14:solidFill>
                      </w14:textFill>
                    </w:rPr>
                    <w:t>50</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：50%（小鼠经口2h）</w:t>
                  </w:r>
                </w:p>
              </w:tc>
            </w:tr>
            <w:tr w14:paraId="5926D1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5" w:type="dxa"/>
                  <w:vMerge w:val="continue"/>
                  <w:tcBorders>
                    <w:tl2br w:val="nil"/>
                    <w:tr2bl w:val="nil"/>
                  </w:tcBorders>
                  <w:noWrap w:val="0"/>
                  <w:vAlign w:val="center"/>
                </w:tcPr>
                <w:p w14:paraId="2DE22EF0">
                  <w:pPr>
                    <w:pStyle w:val="39"/>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67501B6E">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健康危害</w:t>
                  </w:r>
                </w:p>
              </w:tc>
              <w:tc>
                <w:tcPr>
                  <w:tcW w:w="5023" w:type="dxa"/>
                  <w:gridSpan w:val="3"/>
                  <w:tcBorders>
                    <w:tl2br w:val="nil"/>
                    <w:tr2bl w:val="nil"/>
                  </w:tcBorders>
                  <w:noWrap w:val="0"/>
                  <w:vAlign w:val="center"/>
                </w:tcPr>
                <w:p w14:paraId="39115F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firstLineChars="200"/>
                    <w:jc w:val="both"/>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空气中甲烷浓度过高，能使人窒息。当空气中甲烷达25%~30%时，可引起头痛、头晕、乏力、注意力不集中、呼吸和心跳加速、共济失调。若不及时脱离，可窒息死亡。皮肤接触液化气体可致冻伤。</w:t>
                  </w:r>
                </w:p>
              </w:tc>
            </w:tr>
            <w:tr w14:paraId="1BA76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tcBorders>
                    <w:tl2br w:val="nil"/>
                    <w:tr2bl w:val="nil"/>
                  </w:tcBorders>
                  <w:noWrap w:val="0"/>
                  <w:vAlign w:val="center"/>
                </w:tcPr>
                <w:p w14:paraId="1CF66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cs="Times New Roman"/>
                      <w:b/>
                      <w:bCs/>
                      <w:color w:val="000000" w:themeColor="text1"/>
                      <w:sz w:val="21"/>
                      <w:szCs w:val="21"/>
                      <w:highlight w:val="none"/>
                      <w:u w:val="none"/>
                      <w:lang w:val="en-US" w:eastAsia="zh-CN"/>
                      <w14:textFill>
                        <w14:solidFill>
                          <w14:schemeClr w14:val="tx1"/>
                        </w14:solidFill>
                      </w14:textFill>
                    </w:rPr>
                  </w:pPr>
                  <w:r>
                    <w:rPr>
                      <w:rFonts w:hint="default" w:cs="Times New Roman"/>
                      <w:b/>
                      <w:bCs/>
                      <w:color w:val="000000" w:themeColor="text1"/>
                      <w:sz w:val="21"/>
                      <w:szCs w:val="21"/>
                      <w:highlight w:val="none"/>
                      <w:u w:val="none"/>
                      <w:lang w:val="en-US" w:eastAsia="zh-CN"/>
                      <w14:textFill>
                        <w14:solidFill>
                          <w14:schemeClr w14:val="tx1"/>
                        </w14:solidFill>
                      </w14:textFill>
                    </w:rPr>
                    <w:t>职业接触</w:t>
                  </w:r>
                </w:p>
                <w:p w14:paraId="65B1F3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cs="Times New Roman"/>
                      <w:b/>
                      <w:bCs/>
                      <w:color w:val="000000" w:themeColor="text1"/>
                      <w:sz w:val="21"/>
                      <w:szCs w:val="21"/>
                      <w:highlight w:val="none"/>
                      <w:u w:val="none"/>
                      <w:lang w:val="en-US" w:eastAsia="zh-CN"/>
                      <w14:textFill>
                        <w14:solidFill>
                          <w14:schemeClr w14:val="tx1"/>
                        </w14:solidFill>
                      </w14:textFill>
                    </w:rPr>
                    <w:t>限值</w:t>
                  </w:r>
                </w:p>
              </w:tc>
              <w:tc>
                <w:tcPr>
                  <w:tcW w:w="6762" w:type="dxa"/>
                  <w:gridSpan w:val="4"/>
                  <w:tcBorders>
                    <w:tl2br w:val="nil"/>
                    <w:tr2bl w:val="nil"/>
                  </w:tcBorders>
                  <w:noWrap w:val="0"/>
                  <w:vAlign w:val="center"/>
                </w:tcPr>
                <w:p w14:paraId="14FE2EDF">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中国未制定标准，美国（ACGIH）未制定标准。</w:t>
                  </w:r>
                </w:p>
              </w:tc>
            </w:tr>
          </w:tbl>
          <w:p w14:paraId="743024F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2.7 劳动定员及工作制度</w:t>
            </w:r>
          </w:p>
          <w:p w14:paraId="2C3B4D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本项目每天运行</w:t>
            </w:r>
            <w:r>
              <w:rPr>
                <w:rFonts w:hint="default" w:ascii="Times New Roman" w:hAnsi="Times New Roman" w:cs="Times New Roman"/>
                <w:color w:val="000000" w:themeColor="text1"/>
                <w:sz w:val="24"/>
                <w:lang w:val="en-US" w:eastAsia="zh-CN"/>
                <w14:textFill>
                  <w14:solidFill>
                    <w14:schemeClr w14:val="tx1"/>
                  </w14:solidFill>
                </w14:textFill>
              </w:rPr>
              <w:t>10</w:t>
            </w:r>
            <w:r>
              <w:rPr>
                <w:rFonts w:hint="eastAsia" w:ascii="Times New Roman" w:hAnsi="Times New Roman" w:cs="Times New Roman"/>
                <w:color w:val="000000" w:themeColor="text1"/>
                <w:sz w:val="24"/>
                <w:lang w:val="en-US" w:eastAsia="zh-CN"/>
                <w14:textFill>
                  <w14:solidFill>
                    <w14:schemeClr w14:val="tx1"/>
                  </w14:solidFill>
                </w14:textFill>
              </w:rPr>
              <w:t>小时，年工作日</w:t>
            </w:r>
            <w:r>
              <w:rPr>
                <w:rFonts w:hint="default" w:ascii="Times New Roman" w:hAnsi="Times New Roman" w:cs="Times New Roman"/>
                <w:color w:val="000000" w:themeColor="text1"/>
                <w:sz w:val="24"/>
                <w:lang w:val="en-US" w:eastAsia="zh-CN"/>
                <w14:textFill>
                  <w14:solidFill>
                    <w14:schemeClr w14:val="tx1"/>
                  </w14:solidFill>
                </w14:textFill>
              </w:rPr>
              <w:t>120</w:t>
            </w:r>
            <w:r>
              <w:rPr>
                <w:rFonts w:hint="eastAsia" w:ascii="Times New Roman" w:hAnsi="Times New Roman" w:cs="Times New Roman"/>
                <w:color w:val="000000" w:themeColor="text1"/>
                <w:sz w:val="24"/>
                <w:lang w:val="en-US" w:eastAsia="zh-CN"/>
                <w14:textFill>
                  <w14:solidFill>
                    <w14:schemeClr w14:val="tx1"/>
                  </w14:solidFill>
                </w14:textFill>
              </w:rPr>
              <w:t>天，共计</w:t>
            </w:r>
            <w:r>
              <w:rPr>
                <w:rFonts w:hint="default" w:ascii="Times New Roman" w:hAnsi="Times New Roman" w:cs="Times New Roman"/>
                <w:color w:val="000000" w:themeColor="text1"/>
                <w:sz w:val="24"/>
                <w:lang w:val="en-US" w:eastAsia="zh-CN"/>
                <w14:textFill>
                  <w14:solidFill>
                    <w14:schemeClr w14:val="tx1"/>
                  </w14:solidFill>
                </w14:textFill>
              </w:rPr>
              <w:t>1200</w:t>
            </w:r>
            <w:r>
              <w:rPr>
                <w:rFonts w:hint="eastAsia" w:ascii="Times New Roman" w:hAnsi="Times New Roman" w:cs="Times New Roman"/>
                <w:color w:val="000000" w:themeColor="text1"/>
                <w:sz w:val="24"/>
                <w:lang w:val="en-US" w:eastAsia="zh-CN"/>
                <w14:textFill>
                  <w14:solidFill>
                    <w14:schemeClr w14:val="tx1"/>
                  </w14:solidFill>
                </w14:textFill>
              </w:rPr>
              <w:t>小时；项目生产及管理依托未央经典（西旅逸都）小区物业公司员工，不新增员工。</w:t>
            </w:r>
          </w:p>
          <w:p w14:paraId="0EA0B7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 xml:space="preserve">2.8 </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项目水平衡情况分析</w:t>
            </w:r>
          </w:p>
          <w:p w14:paraId="1C68F1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项目生产及管理依托未央经典（西旅逸都）小区物业公司员工，不新增员工</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项目不新增生活用水及生活污水，仅对锅炉房给、排水进行</w:t>
            </w:r>
            <w:r>
              <w:rPr>
                <w:rFonts w:hint="eastAsia" w:ascii="Times New Roman" w:hAnsi="Times New Roman" w:cs="Times New Roman"/>
                <w:color w:val="000000" w:themeColor="text1"/>
                <w:sz w:val="24"/>
                <w:szCs w:val="24"/>
                <w:lang w:val="en-US" w:eastAsia="zh-CN"/>
                <w14:textFill>
                  <w14:solidFill>
                    <w14:schemeClr w14:val="tx1"/>
                  </w14:solidFill>
                </w14:textFill>
              </w:rPr>
              <w:t>统计与核算。</w:t>
            </w:r>
          </w:p>
          <w:p w14:paraId="2611DA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2.8</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.1 给水</w:t>
            </w:r>
          </w:p>
          <w:p w14:paraId="00CCF570">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①锅炉热力网循环系统补水：对于密闭式热力网循环系统，由于管道及供热设施密封不严、系统漏水、系统检修放水、事故冒水、系统泄压等原因，需要定期补充软水。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参考《城镇供热管网设计规范》（</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CJJ34-2010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），热力网补水不应小于供热系统循环流量的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DB6863E">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锅炉循环水量按下式计算：</w:t>
            </w:r>
          </w:p>
          <w:p w14:paraId="08F501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G=0.86Q/△T</w:t>
            </w:r>
          </w:p>
          <w:p w14:paraId="0DCAB3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式中：G—循环水流量，m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/h；</w:t>
            </w:r>
          </w:p>
          <w:p w14:paraId="6D585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Q—采暖热负荷，kW；</w:t>
            </w:r>
          </w:p>
          <w:p w14:paraId="46A0E6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△T—供回水温差，℃；75℃/50℃，△T=25℃。</w:t>
            </w:r>
          </w:p>
          <w:p w14:paraId="509FCC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根据以上公式计算</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eastAsia" w:ascii="Times New Roman" w:hAnsi="Times New Roman" w:cs="Times New Roman"/>
                <w:color w:val="000000" w:themeColor="text1"/>
                <w:sz w:val="24"/>
                <w:lang w:val="en-US" w:eastAsia="zh-CN"/>
                <w14:textFill>
                  <w14:solidFill>
                    <w14:schemeClr w14:val="tx1"/>
                  </w14:solidFill>
                </w14:textFill>
              </w:rPr>
              <w:t>台</w:t>
            </w:r>
            <w:r>
              <w:rPr>
                <w:rFonts w:hint="default" w:ascii="Times New Roman" w:hAnsi="Times New Roman" w:cs="Times New Roman"/>
                <w:color w:val="000000" w:themeColor="text1"/>
                <w:sz w:val="24"/>
                <w:lang w:val="en-US" w:eastAsia="zh-CN"/>
                <w14:textFill>
                  <w14:solidFill>
                    <w14:schemeClr w14:val="tx1"/>
                  </w14:solidFill>
                </w14:textFill>
              </w:rPr>
              <w:t>0.7MW</w:t>
            </w:r>
            <w:r>
              <w:rPr>
                <w:rFonts w:hint="eastAsia" w:ascii="Times New Roman" w:hAnsi="Times New Roman" w:cs="Times New Roman"/>
                <w:color w:val="000000" w:themeColor="text1"/>
                <w:sz w:val="24"/>
                <w:lang w:val="en-US" w:eastAsia="zh-CN"/>
                <w14:textFill>
                  <w14:solidFill>
                    <w14:schemeClr w14:val="tx1"/>
                  </w14:solidFill>
                </w14:textFill>
              </w:rPr>
              <w:t>（1t/h）热水锅炉按设计供</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回水温差</w:t>
            </w:r>
            <w:r>
              <w:rPr>
                <w:rFonts w:hint="default" w:ascii="Times New Roman" w:hAnsi="Times New Roman" w:cs="Times New Roman"/>
                <w:color w:val="000000" w:themeColor="text1"/>
                <w:sz w:val="24"/>
                <w:lang w:val="en-US" w:eastAsia="zh-CN"/>
                <w14:textFill>
                  <w14:solidFill>
                    <w14:schemeClr w14:val="tx1"/>
                  </w14:solidFill>
                </w14:textFill>
              </w:rPr>
              <w:t>25℃</w:t>
            </w:r>
            <w:r>
              <w:rPr>
                <w:rFonts w:hint="eastAsia" w:ascii="Times New Roman" w:hAnsi="Times New Roman" w:cs="Times New Roman"/>
                <w:color w:val="000000" w:themeColor="text1"/>
                <w:sz w:val="24"/>
                <w:lang w:val="en-US" w:eastAsia="zh-CN"/>
                <w14:textFill>
                  <w14:solidFill>
                    <w14:schemeClr w14:val="tx1"/>
                  </w14:solidFill>
                </w14:textFill>
              </w:rPr>
              <w:t>计算锅炉循环水量为</w:t>
            </w:r>
            <w:r>
              <w:rPr>
                <w:rFonts w:hint="default" w:ascii="Times New Roman" w:hAnsi="Times New Roman" w:cs="Times New Roman"/>
                <w:color w:val="000000" w:themeColor="text1"/>
                <w:sz w:val="24"/>
                <w:lang w:val="en-US" w:eastAsia="zh-CN"/>
                <w14:textFill>
                  <w14:solidFill>
                    <w14:schemeClr w14:val="tx1"/>
                  </w14:solidFill>
                </w14:textFill>
              </w:rPr>
              <w:t>24m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/h</w:t>
            </w:r>
            <w:r>
              <w:rPr>
                <w:rFonts w:hint="eastAsia" w:ascii="Times New Roman" w:hAnsi="Times New Roman" w:cs="Times New Roman"/>
                <w:color w:val="000000" w:themeColor="text1"/>
                <w:sz w:val="24"/>
                <w:lang w:val="en-US" w:eastAsia="zh-CN"/>
                <w14:textFill>
                  <w14:solidFill>
                    <w14:schemeClr w14:val="tx1"/>
                  </w14:solidFill>
                </w14:textFill>
              </w:rPr>
              <w:t>。</w:t>
            </w:r>
          </w:p>
          <w:p w14:paraId="374D9F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eastAsia" w:ascii="Times New Roman" w:hAnsi="Times New Roman" w:cs="Times New Roman"/>
                <w:color w:val="000000" w:themeColor="text1"/>
                <w:sz w:val="24"/>
                <w:szCs w:val="24"/>
                <w:lang w:eastAsia="zh-CN"/>
                <w14:textFill>
                  <w14:solidFill>
                    <w14:schemeClr w14:val="tx1"/>
                  </w14:solidFill>
                </w14:textFill>
              </w:rPr>
              <w:t>项目锅炉年运行</w:t>
            </w:r>
            <w:r>
              <w:rPr>
                <w:rFonts w:hint="eastAsia" w:ascii="Times New Roman" w:hAnsi="Times New Roman" w:cs="Times New Roman"/>
                <w:color w:val="000000" w:themeColor="text1"/>
                <w:sz w:val="24"/>
                <w:szCs w:val="24"/>
                <w:lang w:val="en-US" w:eastAsia="zh-CN"/>
                <w14:textFill>
                  <w14:solidFill>
                    <w14:schemeClr w14:val="tx1"/>
                  </w14:solidFill>
                </w14:textFill>
              </w:rPr>
              <w:t>120</w:t>
            </w:r>
            <w:r>
              <w:rPr>
                <w:rFonts w:hint="eastAsia" w:ascii="Times New Roman" w:hAnsi="Times New Roman" w:cs="Times New Roman"/>
                <w:color w:val="000000" w:themeColor="text1"/>
                <w:sz w:val="24"/>
                <w:szCs w:val="24"/>
                <w:lang w:eastAsia="zh-CN"/>
                <w14:textFill>
                  <w14:solidFill>
                    <w14:schemeClr w14:val="tx1"/>
                  </w14:solidFill>
                </w14:textFill>
              </w:rPr>
              <w:t>天，每天</w:t>
            </w:r>
            <w:r>
              <w:rPr>
                <w:rFonts w:hint="eastAsia" w:ascii="Times New Roman" w:hAnsi="Times New Roman" w:cs="Times New Roman"/>
                <w:color w:val="000000" w:themeColor="text1"/>
                <w:sz w:val="24"/>
                <w:szCs w:val="24"/>
                <w:lang w:val="en-US" w:eastAsia="zh-CN"/>
                <w14:textFill>
                  <w14:solidFill>
                    <w14:schemeClr w14:val="tx1"/>
                  </w14:solidFill>
                </w14:textFill>
              </w:rPr>
              <w:t>10</w:t>
            </w:r>
            <w:r>
              <w:rPr>
                <w:rFonts w:hint="eastAsia" w:ascii="Times New Roman" w:hAnsi="Times New Roman" w:cs="Times New Roman"/>
                <w:color w:val="000000" w:themeColor="text1"/>
                <w:sz w:val="24"/>
                <w:szCs w:val="24"/>
                <w:lang w:eastAsia="zh-CN"/>
                <w14:textFill>
                  <w14:solidFill>
                    <w14:schemeClr w14:val="tx1"/>
                  </w14:solidFill>
                </w14:textFill>
              </w:rPr>
              <w:t>h，</w:t>
            </w:r>
            <w:r>
              <w:rPr>
                <w:rFonts w:hint="eastAsia" w:ascii="宋体" w:hAnsi="宋体" w:eastAsia="宋体" w:cs="宋体"/>
                <w:color w:val="000000" w:themeColor="text1"/>
                <w:kern w:val="0"/>
                <w:sz w:val="24"/>
                <w:szCs w:val="24"/>
                <w:lang w:val="en-US" w:eastAsia="zh-CN" w:bidi="ar"/>
                <w14:textFill>
                  <w14:solidFill>
                    <w14:schemeClr w14:val="tx1"/>
                  </w14:solidFill>
                </w14:textFill>
              </w:rPr>
              <w:t>锅炉循环水量约为</w:t>
            </w:r>
            <w:r>
              <w:rPr>
                <w:rFonts w:hint="eastAsia" w:ascii="Times New Roman" w:hAnsi="Times New Roman"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lang w:val="en-US" w:eastAsia="zh-CN"/>
                <w14:textFill>
                  <w14:solidFill>
                    <w14:schemeClr w14:val="tx1"/>
                  </w14:solidFill>
                </w14:textFill>
              </w:rPr>
              <w:t>00m</w:t>
            </w:r>
            <w:r>
              <w:rPr>
                <w:rFonts w:hint="eastAsia"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补</w:t>
            </w:r>
            <w:r>
              <w:rPr>
                <w:rFonts w:hint="eastAsia" w:ascii="Times New Roman" w:hAnsi="Times New Roman" w:cs="Times New Roman"/>
                <w:color w:val="000000" w:themeColor="text1"/>
                <w:sz w:val="24"/>
                <w:szCs w:val="24"/>
                <w:lang w:eastAsia="zh-CN"/>
                <w14:textFill>
                  <w14:solidFill>
                    <w14:schemeClr w14:val="tx1"/>
                  </w14:solidFill>
                </w14:textFill>
              </w:rPr>
              <w:t>水量</w:t>
            </w:r>
            <w:r>
              <w:rPr>
                <w:rFonts w:hint="eastAsia" w:ascii="Times New Roman" w:hAnsi="Times New Roman" w:cs="Times New Roman"/>
                <w:color w:val="000000" w:themeColor="text1"/>
                <w:sz w:val="24"/>
                <w:szCs w:val="24"/>
                <w:lang w:val="en-US" w:eastAsia="zh-CN"/>
                <w14:textFill>
                  <w14:solidFill>
                    <w14:schemeClr w14:val="tx1"/>
                  </w14:solidFill>
                </w14:textFill>
              </w:rPr>
              <w:t>约为循环水量2%，则</w:t>
            </w:r>
            <w:r>
              <w:rPr>
                <w:rFonts w:hint="eastAsia" w:ascii="Times New Roman" w:hAnsi="Times New Roman" w:cs="Times New Roman"/>
                <w:color w:val="000000" w:themeColor="text1"/>
                <w:sz w:val="24"/>
                <w:szCs w:val="24"/>
                <w:lang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补</w:t>
            </w:r>
            <w:r>
              <w:rPr>
                <w:rFonts w:hint="eastAsia" w:ascii="Times New Roman" w:hAnsi="Times New Roman" w:cs="Times New Roman"/>
                <w:color w:val="000000" w:themeColor="text1"/>
                <w:sz w:val="24"/>
                <w:szCs w:val="24"/>
                <w:lang w:eastAsia="zh-CN"/>
                <w14:textFill>
                  <w14:solidFill>
                    <w14:schemeClr w14:val="tx1"/>
                  </w14:solidFill>
                </w14:textFill>
              </w:rPr>
              <w:t>水量为</w:t>
            </w:r>
            <w:r>
              <w:rPr>
                <w:rFonts w:hint="eastAsia" w:ascii="Times New Roman" w:hAnsi="Times New Roman" w:cs="Times New Roman"/>
                <w:color w:val="000000" w:themeColor="text1"/>
                <w:sz w:val="24"/>
                <w:szCs w:val="24"/>
                <w:lang w:val="en-US" w:eastAsia="zh-CN"/>
                <w14:textFill>
                  <w14:solidFill>
                    <w14:schemeClr w14:val="tx1"/>
                  </w14:solidFill>
                </w14:textFill>
              </w:rPr>
              <w:t>48</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5760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p>
          <w:p w14:paraId="3301B2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交换器内的离子树脂30天反冲洗一次，反冲洗方式为采用软水进行正洗和反洗</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反冲洗用水量包括配制盐溶液用水、反洗离子交换器用水、正洗离子交换器用水，参考《工业锅炉房设计手册》中的表13-33：配制盐溶液用水为</w:t>
            </w:r>
            <w:r>
              <w:rPr>
                <w:rFonts w:hint="eastAsia"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/次、反洗离子交换器用水为</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/次、正洗离子交换器用水为</w:t>
            </w:r>
            <w:r>
              <w:rPr>
                <w:rFonts w:hint="eastAsia"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w:t>
            </w:r>
            <w:r>
              <w:rPr>
                <w:rFonts w:hint="eastAsia" w:ascii="Times New Roman" w:hAnsi="Times New Roman" w:cs="Times New Roman"/>
                <w:color w:val="000000" w:themeColor="text1"/>
                <w:sz w:val="24"/>
                <w:lang w:val="en-US" w:eastAsia="zh-CN"/>
                <w14:textFill>
                  <w14:solidFill>
                    <w14:schemeClr w14:val="tx1"/>
                  </w14:solidFill>
                </w14:textFill>
              </w:rPr>
              <w:t>依顺序配置盐溶液，再进行反洗、正洗；</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总计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为</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20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/次</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则软水的使用量为0.67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p>
          <w:p w14:paraId="4EB746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本项目设钠离子交换器</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eastAsia="zh-CN"/>
                <w14:textFill>
                  <w14:solidFill>
                    <w14:schemeClr w14:val="tx1"/>
                  </w14:solidFill>
                </w14:textFill>
              </w:rPr>
              <w:t>台，钠离子交换器即软化器，是用于去除水中钙离子、镁离子，制取软化水的离子交换器，组成水中硬度的钙、镁离子与软化器中的离子交换树脂进行交换，水中的钙、镁离子被钠离子交换，使水中不易形成碳酸盐垢及硫酸盐垢，从而获得软化水。</w:t>
            </w:r>
          </w:p>
          <w:p w14:paraId="269843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运营期软水用量为48.67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17764.55</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本项目</w:t>
            </w:r>
            <w:r>
              <w:rPr>
                <w:rFonts w:hint="eastAsia" w:ascii="Times New Roman" w:hAnsi="Times New Roman" w:cs="Times New Roman"/>
                <w:color w:val="000000" w:themeColor="text1"/>
                <w:sz w:val="24"/>
                <w:szCs w:val="24"/>
                <w:lang w:eastAsia="zh-CN"/>
                <w14:textFill>
                  <w14:solidFill>
                    <w14:schemeClr w14:val="tx1"/>
                  </w14:solidFill>
                </w14:textFill>
              </w:rPr>
              <w:t>全自动软水器制水率为8</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eastAsia" w:ascii="Times New Roman" w:hAnsi="Times New Roman" w:cs="Times New Roman"/>
                <w:color w:val="000000" w:themeColor="text1"/>
                <w:sz w:val="24"/>
                <w:szCs w:val="24"/>
                <w:lang w:eastAsia="zh-CN"/>
                <w14:textFill>
                  <w14:solidFill>
                    <w14:schemeClr w14:val="tx1"/>
                  </w14:solidFill>
                </w14:textFill>
              </w:rPr>
              <w:t>%，综上，则</w:t>
            </w:r>
            <w:r>
              <w:rPr>
                <w:rFonts w:hint="eastAsia" w:ascii="Times New Roman" w:hAnsi="Times New Roman" w:cs="Times New Roman"/>
                <w:color w:val="000000" w:themeColor="text1"/>
                <w:sz w:val="24"/>
                <w:szCs w:val="24"/>
                <w:lang w:val="en-US" w:eastAsia="zh-CN"/>
                <w14:textFill>
                  <w14:solidFill>
                    <w14:schemeClr w14:val="tx1"/>
                  </w14:solidFill>
                </w14:textFill>
              </w:rPr>
              <w:t>锅炉房</w:t>
            </w:r>
            <w:r>
              <w:rPr>
                <w:rFonts w:hint="eastAsia" w:ascii="Times New Roman" w:hAnsi="Times New Roman" w:cs="Times New Roman"/>
                <w:color w:val="000000" w:themeColor="text1"/>
                <w:sz w:val="24"/>
                <w:szCs w:val="24"/>
                <w:lang w:eastAsia="zh-CN"/>
                <w14:textFill>
                  <w14:solidFill>
                    <w14:schemeClr w14:val="tx1"/>
                  </w14:solidFill>
                </w14:textFill>
              </w:rPr>
              <w:t>运行</w:t>
            </w:r>
            <w:r>
              <w:rPr>
                <w:rFonts w:hint="eastAsia" w:ascii="Times New Roman" w:hAnsi="Times New Roman" w:cs="Times New Roman"/>
                <w:color w:val="000000" w:themeColor="text1"/>
                <w:sz w:val="24"/>
                <w:szCs w:val="24"/>
                <w:lang w:val="en-US" w:eastAsia="zh-CN"/>
                <w14:textFill>
                  <w14:solidFill>
                    <w14:schemeClr w14:val="tx1"/>
                  </w14:solidFill>
                </w14:textFill>
              </w:rPr>
              <w:t>期新鲜水</w:t>
            </w:r>
            <w:r>
              <w:rPr>
                <w:rFonts w:hint="eastAsia" w:ascii="Times New Roman" w:hAnsi="Times New Roman" w:cs="Times New Roman"/>
                <w:color w:val="000000" w:themeColor="text1"/>
                <w:sz w:val="24"/>
                <w:szCs w:val="24"/>
                <w:lang w:eastAsia="zh-CN"/>
                <w14:textFill>
                  <w14:solidFill>
                    <w14:schemeClr w14:val="tx1"/>
                  </w14:solidFill>
                </w14:textFill>
              </w:rPr>
              <w:t>耗水量为</w:t>
            </w:r>
            <w:r>
              <w:rPr>
                <w:rFonts w:hint="eastAsia" w:ascii="Times New Roman" w:hAnsi="Times New Roman" w:cs="Times New Roman"/>
                <w:color w:val="000000" w:themeColor="text1"/>
                <w:sz w:val="24"/>
                <w:szCs w:val="24"/>
                <w:lang w:val="en-US" w:eastAsia="zh-CN"/>
                <w14:textFill>
                  <w14:solidFill>
                    <w14:schemeClr w14:val="tx1"/>
                  </w14:solidFill>
                </w14:textFill>
              </w:rPr>
              <w:t>57.26</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6871.06</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w:t>
            </w:r>
          </w:p>
          <w:p w14:paraId="24BF31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 xml:space="preserve">2.8.2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排水</w:t>
            </w:r>
          </w:p>
          <w:p w14:paraId="12D837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运营期排水为锅炉定期排污水、反冲洗废水、</w:t>
            </w:r>
            <w:r>
              <w:rPr>
                <w:rFonts w:hint="eastAsia" w:ascii="Times New Roman" w:hAnsi="Times New Roman" w:cs="Times New Roman"/>
                <w:color w:val="000000" w:themeColor="text1"/>
                <w:sz w:val="24"/>
                <w:szCs w:val="24"/>
                <w:lang w:eastAsia="zh-CN"/>
                <w14:textFill>
                  <w14:solidFill>
                    <w14:schemeClr w14:val="tx1"/>
                  </w14:solidFill>
                </w14:textFill>
              </w:rPr>
              <w:t>软化水系统排水</w:t>
            </w:r>
            <w:r>
              <w:rPr>
                <w:rFonts w:hint="eastAsia" w:ascii="Times New Roman" w:hAnsi="Times New Roman" w:cs="Times New Roman"/>
                <w:color w:val="000000" w:themeColor="text1"/>
                <w:sz w:val="24"/>
                <w:szCs w:val="24"/>
                <w:lang w:val="en-US" w:eastAsia="zh-CN"/>
                <w14:textFill>
                  <w14:solidFill>
                    <w14:schemeClr w14:val="tx1"/>
                  </w14:solidFill>
                </w14:textFill>
              </w:rPr>
              <w:t>。</w:t>
            </w:r>
          </w:p>
          <w:p w14:paraId="724403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①锅</w:t>
            </w:r>
            <w:r>
              <w:rPr>
                <w:rFonts w:hint="eastAsia" w:ascii="Times New Roman" w:hAnsi="Times New Roman" w:cs="Times New Roman"/>
                <w:color w:val="000000" w:themeColor="text1"/>
                <w:sz w:val="24"/>
                <w:szCs w:val="24"/>
                <w:lang w:eastAsia="zh-CN"/>
                <w14:textFill>
                  <w14:solidFill>
                    <w14:schemeClr w14:val="tx1"/>
                  </w14:solidFill>
                </w14:textFill>
              </w:rPr>
              <w:t>炉废水：项目锅炉</w:t>
            </w:r>
            <w:r>
              <w:rPr>
                <w:rFonts w:hint="eastAsia" w:ascii="Times New Roman" w:hAnsi="Times New Roman" w:cs="Times New Roman"/>
                <w:color w:val="000000" w:themeColor="text1"/>
                <w:sz w:val="24"/>
                <w:szCs w:val="24"/>
                <w:lang w:val="en-US" w:eastAsia="zh-CN"/>
                <w14:textFill>
                  <w14:solidFill>
                    <w14:schemeClr w14:val="tx1"/>
                  </w14:solidFill>
                </w14:textFill>
              </w:rPr>
              <w:t>用水</w:t>
            </w:r>
            <w:r>
              <w:rPr>
                <w:rFonts w:hint="eastAsia" w:ascii="Times New Roman" w:hAnsi="Times New Roman" w:cs="Times New Roman"/>
                <w:color w:val="000000" w:themeColor="text1"/>
                <w:sz w:val="24"/>
                <w:szCs w:val="24"/>
                <w:lang w:eastAsia="zh-CN"/>
                <w14:textFill>
                  <w14:solidFill>
                    <w14:schemeClr w14:val="tx1"/>
                  </w14:solidFill>
                </w14:textFill>
              </w:rPr>
              <w:t>循环使用，</w:t>
            </w:r>
            <w:r>
              <w:rPr>
                <w:rFonts w:hint="eastAsia" w:ascii="Times New Roman" w:hAnsi="Times New Roman"/>
                <w:color w:val="000000" w:themeColor="text1"/>
                <w:sz w:val="24"/>
                <w14:textFill>
                  <w14:solidFill>
                    <w14:schemeClr w14:val="tx1"/>
                  </w14:solidFill>
                </w14:textFill>
              </w:rPr>
              <w:t>锅炉排污废水</w:t>
            </w:r>
            <w:r>
              <w:rPr>
                <w:rFonts w:hint="eastAsia" w:ascii="Times New Roman" w:hAnsi="Times New Roman"/>
                <w:color w:val="000000" w:themeColor="text1"/>
                <w:sz w:val="24"/>
                <w:lang w:val="en-US" w:eastAsia="zh-CN"/>
                <w14:textFill>
                  <w14:solidFill>
                    <w14:schemeClr w14:val="tx1"/>
                  </w14:solidFill>
                </w14:textFill>
              </w:rPr>
              <w:t>约</w:t>
            </w:r>
            <w:r>
              <w:rPr>
                <w:rFonts w:hint="eastAsia" w:ascii="Times New Roman" w:hAnsi="Times New Roman"/>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锅炉</w:t>
            </w:r>
            <w:r>
              <w:rPr>
                <w:rFonts w:ascii="Times New Roman" w:hAnsi="Times New Roman"/>
                <w:color w:val="000000" w:themeColor="text1"/>
                <w:sz w:val="24"/>
                <w14:textFill>
                  <w14:solidFill>
                    <w14:schemeClr w14:val="tx1"/>
                  </w14:solidFill>
                </w14:textFill>
              </w:rPr>
              <w:t>用水量</w:t>
            </w:r>
            <w:r>
              <w:rPr>
                <w:rFonts w:hint="eastAsia"/>
                <w:color w:val="000000" w:themeColor="text1"/>
                <w:sz w:val="24"/>
                <w:lang w:val="en-US" w:eastAsia="zh-CN"/>
                <w14:textFill>
                  <w14:solidFill>
                    <w14:schemeClr w14:val="tx1"/>
                  </w14:solidFill>
                </w14:textFill>
              </w:rPr>
              <w:t>的</w:t>
            </w:r>
            <w:r>
              <w:rPr>
                <w:rFonts w:hint="eastAsia" w:ascii="Times New Roman" w:hAnsi="Times New Roman"/>
                <w:color w:val="000000" w:themeColor="text1"/>
                <w:kern w:val="0"/>
                <w:sz w:val="24"/>
                <w:lang w:bidi="ar"/>
                <w14:textFill>
                  <w14:solidFill>
                    <w14:schemeClr w14:val="tx1"/>
                  </w14:solidFill>
                </w14:textFill>
              </w:rPr>
              <w:t>5%计，</w:t>
            </w:r>
            <w:r>
              <w:rPr>
                <w:rFonts w:hint="eastAsia" w:ascii="Times New Roman" w:hAnsi="Times New Roman" w:cs="Times New Roman"/>
                <w:color w:val="000000" w:themeColor="text1"/>
                <w:sz w:val="24"/>
                <w:szCs w:val="24"/>
                <w:lang w:eastAsia="zh-CN"/>
                <w14:textFill>
                  <w14:solidFill>
                    <w14:schemeClr w14:val="tx1"/>
                  </w14:solidFill>
                </w14:textFill>
              </w:rPr>
              <w:t>排放量约为</w:t>
            </w:r>
            <w:r>
              <w:rPr>
                <w:rFonts w:hint="eastAsia" w:ascii="Times New Roman" w:hAnsi="Times New Roman"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d（288</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5265D1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宋体" w:hAnsi="宋体" w:eastAsia="宋体" w:cs="宋体"/>
                <w:color w:val="000000" w:themeColor="text1"/>
                <w:sz w:val="24"/>
                <w:szCs w:val="24"/>
                <w:lang w:val="en-US" w:eastAsia="zh-CN"/>
                <w14:textFill>
                  <w14:solidFill>
                    <w14:schemeClr w14:val="tx1"/>
                  </w14:solidFill>
                </w14:textFill>
              </w:rPr>
              <w:t>排水：</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，则反冲洗废水排放量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2521C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③</w:t>
            </w:r>
            <w:r>
              <w:rPr>
                <w:rFonts w:hint="eastAsia" w:ascii="Times New Roman" w:hAnsi="Times New Roman" w:cs="Times New Roman"/>
                <w:color w:val="000000" w:themeColor="text1"/>
                <w:sz w:val="24"/>
                <w:szCs w:val="24"/>
                <w:lang w:eastAsia="zh-CN"/>
                <w14:textFill>
                  <w14:solidFill>
                    <w14:schemeClr w14:val="tx1"/>
                  </w14:solidFill>
                </w14:textFill>
              </w:rPr>
              <w:t>软化水系统排水：软水器制水时废水量为用水量的15%，则软水制备废水量为为</w:t>
            </w:r>
            <w:r>
              <w:rPr>
                <w:rFonts w:hint="eastAsia" w:ascii="Times New Roman" w:hAnsi="Times New Roman" w:cs="Times New Roman"/>
                <w:color w:val="000000" w:themeColor="text1"/>
                <w:sz w:val="24"/>
                <w:szCs w:val="24"/>
                <w:lang w:val="en-US" w:eastAsia="zh-CN"/>
                <w14:textFill>
                  <w14:solidFill>
                    <w14:schemeClr w14:val="tx1"/>
                  </w14:solidFill>
                </w14:textFill>
              </w:rPr>
              <w:t>8.59</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1030.66</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7EAE0A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综上，本项目运行期总排水量为11.66</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d（1398.66</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、反冲洗废水及软化水系统排水经锅炉房降温池沉淀后进入小区</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，最终进入西安净水处理有限责任公司第六再生水厂进行处理。本</w:t>
            </w:r>
            <w:r>
              <w:rPr>
                <w:rFonts w:hint="default" w:ascii="Times New Roman" w:hAnsi="Times New Roman" w:cs="Times New Roman"/>
                <w:color w:val="000000" w:themeColor="text1"/>
                <w:sz w:val="24"/>
                <w:szCs w:val="24"/>
                <w:lang w:val="en-US" w:eastAsia="zh-CN"/>
                <w14:textFill>
                  <w14:solidFill>
                    <w14:schemeClr w14:val="tx1"/>
                  </w14:solidFill>
                </w14:textFill>
              </w:rPr>
              <w:t>项目水平衡图见图2</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2B33C39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Times New Roman" w:hAnsi="Times New Roman"/>
                <w:b/>
                <w:color w:val="000000" w:themeColor="text1"/>
                <w:sz w:val="24"/>
                <w:szCs w:val="24"/>
                <w:highlight w:val="none"/>
                <w:lang w:eastAsia="zh-CN"/>
                <w14:textFill>
                  <w14:solidFill>
                    <w14:schemeClr w14:val="tx1"/>
                  </w14:solidFill>
                </w14:textFill>
              </w:rPr>
            </w:pPr>
            <w:r>
              <w:drawing>
                <wp:inline distT="0" distB="0" distL="114300" distR="114300">
                  <wp:extent cx="4164965" cy="3625850"/>
                  <wp:effectExtent l="0" t="0" r="698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4164965" cy="3625850"/>
                          </a:xfrm>
                          <a:prstGeom prst="rect">
                            <a:avLst/>
                          </a:prstGeom>
                          <a:noFill/>
                          <a:ln>
                            <a:noFill/>
                          </a:ln>
                        </pic:spPr>
                      </pic:pic>
                    </a:graphicData>
                  </a:graphic>
                </wp:inline>
              </w:drawing>
            </w:r>
          </w:p>
          <w:p w14:paraId="540698D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color w:val="000000" w:themeColor="text1"/>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图2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水平衡图（单位：m</w:t>
            </w:r>
            <w:r>
              <w:rPr>
                <w:rFonts w:hint="default" w:ascii="Times New Roman" w:hAnsi="Times New Roman" w:eastAsia="宋体" w:cs="Times New Roman"/>
                <w:b/>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d</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p>
          <w:p w14:paraId="5F3D1EB8">
            <w:pPr>
              <w:keepNext w:val="0"/>
              <w:keepLines w:val="0"/>
              <w:pageBreakBefore w:val="0"/>
              <w:widowControl w:val="0"/>
              <w:suppressLineNumbers w:val="0"/>
              <w:kinsoku/>
              <w:wordWrap/>
              <w:overflowPunct/>
              <w:topLinePunct w:val="0"/>
              <w:autoSpaceDE w:val="0"/>
              <w:autoSpaceDN w:val="0"/>
              <w:bidi w:val="0"/>
              <w:adjustRightInd/>
              <w:snapToGrid/>
              <w:spacing w:before="157" w:beforeLines="5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2.8.3 </w:t>
            </w:r>
            <w:r>
              <w:rPr>
                <w:rFonts w:ascii="Times New Roman" w:hAnsi="Times New Roman"/>
                <w:b/>
                <w:color w:val="000000" w:themeColor="text1"/>
                <w:sz w:val="24"/>
                <w:szCs w:val="24"/>
                <w:highlight w:val="none"/>
                <w14:textFill>
                  <w14:solidFill>
                    <w14:schemeClr w14:val="tx1"/>
                  </w14:solidFill>
                </w14:textFill>
              </w:rPr>
              <w:t>供电</w:t>
            </w:r>
          </w:p>
          <w:p w14:paraId="2478E3F5">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eastAsia="zh-CN"/>
                <w14:textFill>
                  <w14:solidFill>
                    <w14:schemeClr w14:val="tx1"/>
                  </w14:solidFill>
                </w14:textFill>
              </w:rPr>
              <w:t>本项目的电源依托现有供电网，年用电约为</w:t>
            </w:r>
            <w:r>
              <w:rPr>
                <w:rFonts w:hint="eastAsia" w:ascii="Times New Roman" w:hAnsi="Times New Roman"/>
                <w:color w:val="000000" w:themeColor="text1"/>
                <w:sz w:val="24"/>
                <w:szCs w:val="24"/>
                <w:highlight w:val="none"/>
                <w:lang w:val="en-US" w:eastAsia="zh-CN"/>
                <w14:textFill>
                  <w14:solidFill>
                    <w14:schemeClr w14:val="tx1"/>
                  </w14:solidFill>
                </w14:textFill>
              </w:rPr>
              <w:t>175103</w:t>
            </w:r>
            <w:r>
              <w:rPr>
                <w:rFonts w:hint="eastAsia" w:ascii="Times New Roman" w:hAnsi="Times New Roman"/>
                <w:color w:val="000000" w:themeColor="text1"/>
                <w:sz w:val="24"/>
                <w:szCs w:val="24"/>
                <w:highlight w:val="none"/>
                <w:lang w:eastAsia="zh-CN"/>
                <w14:textFill>
                  <w14:solidFill>
                    <w14:schemeClr w14:val="tx1"/>
                  </w14:solidFill>
                </w14:textFill>
              </w:rPr>
              <w:t>kW</w:t>
            </w:r>
            <w:r>
              <w:rPr>
                <w:rFonts w:hint="default" w:ascii="Times New Roman" w:hAnsi="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olor w:val="000000" w:themeColor="text1"/>
                <w:sz w:val="24"/>
                <w:szCs w:val="24"/>
                <w:highlight w:val="none"/>
                <w:lang w:eastAsia="zh-CN"/>
                <w14:textFill>
                  <w14:solidFill>
                    <w14:schemeClr w14:val="tx1"/>
                  </w14:solidFill>
                </w14:textFill>
              </w:rPr>
              <w:t>h。</w:t>
            </w:r>
          </w:p>
          <w:p w14:paraId="3FF93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2.8.4 天然气</w:t>
            </w:r>
          </w:p>
          <w:p w14:paraId="3DAE7AFE">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根据锅炉实际运行记录，本项目天然气年用量约为720163.35m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，由西安秦华天然气公司供给，采用天然气管道输送。</w:t>
            </w:r>
          </w:p>
          <w:p w14:paraId="51967343">
            <w:pPr>
              <w:keepNext w:val="0"/>
              <w:keepLines w:val="0"/>
              <w:suppressLineNumbers w:val="0"/>
              <w:spacing w:before="0" w:beforeAutospacing="0" w:after="0" w:afterAutospacing="0" w:line="360" w:lineRule="auto"/>
              <w:ind w:left="0" w:right="0"/>
              <w:rPr>
                <w:rFonts w:hint="default"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2.9 </w:t>
            </w:r>
            <w:r>
              <w:rPr>
                <w:rFonts w:hint="default" w:ascii="Times New Roman" w:hAnsi="Times New Roman"/>
                <w:b/>
                <w:color w:val="000000" w:themeColor="text1"/>
                <w:sz w:val="24"/>
                <w:szCs w:val="24"/>
                <w:highlight w:val="none"/>
                <w14:textFill>
                  <w14:solidFill>
                    <w14:schemeClr w14:val="tx1"/>
                  </w14:solidFill>
                </w14:textFill>
              </w:rPr>
              <w:t>环保投资</w:t>
            </w:r>
          </w:p>
          <w:p w14:paraId="576256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该工程总投资</w:t>
            </w:r>
            <w:r>
              <w:rPr>
                <w:rFonts w:hint="eastAsia" w:ascii="Times New Roman" w:hAnsi="Times New Roman" w:cs="Times New Roman"/>
                <w:color w:val="000000" w:themeColor="text1"/>
                <w:sz w:val="24"/>
                <w:szCs w:val="32"/>
                <w:lang w:val="en-US" w:eastAsia="zh-CN"/>
                <w14:textFill>
                  <w14:solidFill>
                    <w14:schemeClr w14:val="tx1"/>
                  </w14:solidFill>
                </w14:textFill>
              </w:rPr>
              <w:t>126</w:t>
            </w:r>
            <w:r>
              <w:rPr>
                <w:rFonts w:hint="default" w:ascii="Times New Roman" w:hAnsi="Times New Roman" w:cs="Times New Roman"/>
                <w:color w:val="000000" w:themeColor="text1"/>
                <w:sz w:val="24"/>
                <w:szCs w:val="32"/>
                <w14:textFill>
                  <w14:solidFill>
                    <w14:schemeClr w14:val="tx1"/>
                  </w14:solidFill>
                </w14:textFill>
              </w:rPr>
              <w:t>万元，环保投资</w:t>
            </w:r>
            <w:r>
              <w:rPr>
                <w:rFonts w:hint="eastAsia" w:ascii="Times New Roman" w:hAnsi="Times New Roman" w:cs="Times New Roman"/>
                <w:color w:val="000000" w:themeColor="text1"/>
                <w:sz w:val="24"/>
                <w:szCs w:val="32"/>
                <w:lang w:val="en-US" w:eastAsia="zh-CN"/>
                <w14:textFill>
                  <w14:solidFill>
                    <w14:schemeClr w14:val="tx1"/>
                  </w14:solidFill>
                </w14:textFill>
              </w:rPr>
              <w:t>61.8</w:t>
            </w:r>
            <w:r>
              <w:rPr>
                <w:rFonts w:hint="default" w:ascii="Times New Roman" w:hAnsi="Times New Roman" w:cs="Times New Roman"/>
                <w:color w:val="000000" w:themeColor="text1"/>
                <w:sz w:val="24"/>
                <w:szCs w:val="32"/>
                <w14:textFill>
                  <w14:solidFill>
                    <w14:schemeClr w14:val="tx1"/>
                  </w14:solidFill>
                </w14:textFill>
              </w:rPr>
              <w:t>万元，占总投资的</w:t>
            </w:r>
            <w:r>
              <w:rPr>
                <w:rFonts w:hint="eastAsia" w:ascii="Times New Roman" w:hAnsi="Times New Roman" w:cs="Times New Roman"/>
                <w:color w:val="000000" w:themeColor="text1"/>
                <w:sz w:val="24"/>
                <w:szCs w:val="32"/>
                <w:lang w:val="en-US" w:eastAsia="zh-CN"/>
                <w14:textFill>
                  <w14:solidFill>
                    <w14:schemeClr w14:val="tx1"/>
                  </w14:solidFill>
                </w14:textFill>
              </w:rPr>
              <w:t>49.05</w:t>
            </w:r>
            <w:r>
              <w:rPr>
                <w:rFonts w:hint="default" w:ascii="Times New Roman" w:hAnsi="Times New Roman" w:cs="Times New Roman"/>
                <w:color w:val="000000" w:themeColor="text1"/>
                <w:sz w:val="24"/>
                <w:szCs w:val="32"/>
                <w14:textFill>
                  <w14:solidFill>
                    <w14:schemeClr w14:val="tx1"/>
                  </w14:solidFill>
                </w14:textFill>
              </w:rPr>
              <w:t>%。项目环保投资见表</w:t>
            </w:r>
            <w:r>
              <w:rPr>
                <w:rFonts w:hint="eastAsia" w:ascii="Times New Roman" w:hAnsi="Times New Roman" w:cs="Times New Roman"/>
                <w:color w:val="000000" w:themeColor="text1"/>
                <w:sz w:val="24"/>
                <w:szCs w:val="32"/>
                <w:lang w:val="en-US" w:eastAsia="zh-CN"/>
                <w14:textFill>
                  <w14:solidFill>
                    <w14:schemeClr w14:val="tx1"/>
                  </w14:solidFill>
                </w14:textFill>
              </w:rPr>
              <w:t>2-10</w:t>
            </w:r>
            <w:r>
              <w:rPr>
                <w:rFonts w:hint="default" w:ascii="Times New Roman" w:hAnsi="Times New Roman" w:cs="Times New Roman"/>
                <w:color w:val="000000" w:themeColor="text1"/>
                <w:sz w:val="24"/>
                <w:szCs w:val="32"/>
                <w14:textFill>
                  <w14:solidFill>
                    <w14:schemeClr w14:val="tx1"/>
                  </w14:solidFill>
                </w14:textFill>
              </w:rPr>
              <w:t>。</w:t>
            </w:r>
          </w:p>
          <w:p w14:paraId="766FF3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000000" w:themeColor="text1"/>
                <w:sz w:val="24"/>
                <w:szCs w:val="22"/>
                <w14:textFill>
                  <w14:solidFill>
                    <w14:schemeClr w14:val="tx1"/>
                  </w14:solidFill>
                </w14:textFill>
              </w:rPr>
            </w:pPr>
            <w:r>
              <w:rPr>
                <w:rFonts w:hint="default" w:ascii="Times New Roman" w:hAnsi="Times New Roman" w:cs="Times New Roman"/>
                <w:b/>
                <w:bCs/>
                <w:color w:val="000000" w:themeColor="text1"/>
                <w:sz w:val="24"/>
                <w:szCs w:val="22"/>
                <w14:textFill>
                  <w14:solidFill>
                    <w14:schemeClr w14:val="tx1"/>
                  </w14:solidFill>
                </w14:textFill>
              </w:rPr>
              <w:t>表</w:t>
            </w:r>
            <w:r>
              <w:rPr>
                <w:rFonts w:hint="eastAsia" w:ascii="Times New Roman" w:hAnsi="Times New Roman" w:cs="Times New Roman"/>
                <w:b/>
                <w:bCs/>
                <w:color w:val="000000" w:themeColor="text1"/>
                <w:sz w:val="24"/>
                <w:szCs w:val="22"/>
                <w:lang w:val="en-US" w:eastAsia="zh-CN"/>
                <w14:textFill>
                  <w14:solidFill>
                    <w14:schemeClr w14:val="tx1"/>
                  </w14:solidFill>
                </w14:textFill>
              </w:rPr>
              <w:t>2-10</w:t>
            </w:r>
            <w:r>
              <w:rPr>
                <w:rFonts w:hint="default" w:ascii="Times New Roman" w:hAnsi="Times New Roman" w:cs="Times New Roman"/>
                <w:b/>
                <w:bCs/>
                <w:color w:val="000000" w:themeColor="text1"/>
                <w:sz w:val="24"/>
                <w:szCs w:val="22"/>
                <w14:textFill>
                  <w14:solidFill>
                    <w14:schemeClr w14:val="tx1"/>
                  </w14:solidFill>
                </w14:textFill>
              </w:rPr>
              <w:t xml:space="preserve">  污染防治措施及投资估算表</w:t>
            </w:r>
          </w:p>
          <w:tbl>
            <w:tblPr>
              <w:tblStyle w:val="26"/>
              <w:tblW w:w="495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325"/>
              <w:gridCol w:w="3730"/>
              <w:gridCol w:w="697"/>
              <w:gridCol w:w="995"/>
            </w:tblGrid>
            <w:tr w14:paraId="0F2E6C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28" w:type="pct"/>
                  <w:gridSpan w:val="2"/>
                  <w:tcBorders>
                    <w:tl2br w:val="nil"/>
                    <w:tr2bl w:val="nil"/>
                  </w:tcBorders>
                  <w:noWrap w:val="0"/>
                  <w:vAlign w:val="center"/>
                </w:tcPr>
                <w:p w14:paraId="7CFEB1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tc>
              <w:tc>
                <w:tcPr>
                  <w:tcW w:w="2456" w:type="pct"/>
                  <w:tcBorders>
                    <w:tl2br w:val="nil"/>
                    <w:tr2bl w:val="nil"/>
                  </w:tcBorders>
                  <w:noWrap w:val="0"/>
                  <w:vAlign w:val="center"/>
                </w:tcPr>
                <w:p w14:paraId="4E2D70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工程名称</w:t>
                  </w:r>
                </w:p>
              </w:tc>
              <w:tc>
                <w:tcPr>
                  <w:tcW w:w="459" w:type="pct"/>
                  <w:tcBorders>
                    <w:tl2br w:val="nil"/>
                    <w:tr2bl w:val="nil"/>
                  </w:tcBorders>
                  <w:noWrap w:val="0"/>
                  <w:vAlign w:val="center"/>
                </w:tcPr>
                <w:p w14:paraId="0ED530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数量</w:t>
                  </w:r>
                </w:p>
              </w:tc>
              <w:tc>
                <w:tcPr>
                  <w:tcW w:w="655" w:type="pct"/>
                  <w:tcBorders>
                    <w:tl2br w:val="nil"/>
                    <w:tr2bl w:val="nil"/>
                  </w:tcBorders>
                  <w:noWrap w:val="0"/>
                  <w:vAlign w:val="center"/>
                </w:tcPr>
                <w:p w14:paraId="2AE1E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总投资（万元）</w:t>
                  </w:r>
                </w:p>
              </w:tc>
            </w:tr>
            <w:tr w14:paraId="5190C4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5" w:type="pct"/>
                  <w:tcBorders>
                    <w:tl2br w:val="nil"/>
                    <w:tr2bl w:val="nil"/>
                  </w:tcBorders>
                  <w:noWrap w:val="0"/>
                  <w:vAlign w:val="center"/>
                </w:tcPr>
                <w:p w14:paraId="0492E4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872" w:type="pct"/>
                  <w:tcBorders>
                    <w:tl2br w:val="nil"/>
                    <w:tr2bl w:val="nil"/>
                  </w:tcBorders>
                  <w:noWrap w:val="0"/>
                  <w:vAlign w:val="center"/>
                </w:tcPr>
                <w:p w14:paraId="427874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锅炉排污水</w:t>
                  </w:r>
                </w:p>
              </w:tc>
              <w:tc>
                <w:tcPr>
                  <w:tcW w:w="2456" w:type="pct"/>
                  <w:tcBorders>
                    <w:tl2br w:val="nil"/>
                    <w:tr2bl w:val="nil"/>
                  </w:tcBorders>
                  <w:noWrap w:val="0"/>
                  <w:vAlign w:val="center"/>
                </w:tcPr>
                <w:p w14:paraId="7B25A2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kern w:val="0"/>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降温池（3.375m</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cs="Times New Roman"/>
                      <w:color w:val="000000" w:themeColor="text1"/>
                      <w:szCs w:val="21"/>
                      <w:lang w:eastAsia="zh-CN"/>
                      <w14:textFill>
                        <w14:solidFill>
                          <w14:schemeClr w14:val="tx1"/>
                        </w14:solidFill>
                      </w14:textFill>
                    </w:rPr>
                    <w:t>污水管网</w:t>
                  </w:r>
                </w:p>
              </w:tc>
              <w:tc>
                <w:tcPr>
                  <w:tcW w:w="459" w:type="pct"/>
                  <w:tcBorders>
                    <w:tl2br w:val="nil"/>
                    <w:tr2bl w:val="nil"/>
                  </w:tcBorders>
                  <w:noWrap w:val="0"/>
                  <w:vAlign w:val="center"/>
                </w:tcPr>
                <w:p w14:paraId="5042C5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655" w:type="pct"/>
                  <w:tcBorders>
                    <w:tl2br w:val="nil"/>
                    <w:tr2bl w:val="nil"/>
                  </w:tcBorders>
                  <w:noWrap w:val="0"/>
                  <w:vAlign w:val="center"/>
                </w:tcPr>
                <w:p w14:paraId="61DC026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w:t>
                  </w:r>
                </w:p>
              </w:tc>
            </w:tr>
            <w:tr w14:paraId="51714E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5" w:type="pct"/>
                  <w:tcBorders>
                    <w:tl2br w:val="nil"/>
                    <w:tr2bl w:val="nil"/>
                  </w:tcBorders>
                  <w:noWrap w:val="0"/>
                  <w:vAlign w:val="center"/>
                </w:tcPr>
                <w:p w14:paraId="711C5BD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872" w:type="pct"/>
                  <w:tcBorders>
                    <w:tl2br w:val="nil"/>
                    <w:tr2bl w:val="nil"/>
                  </w:tcBorders>
                  <w:noWrap w:val="0"/>
                  <w:vAlign w:val="center"/>
                </w:tcPr>
                <w:p w14:paraId="02D941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w:t>
                  </w:r>
                  <w:r>
                    <w:rPr>
                      <w:rFonts w:hint="eastAsia" w:ascii="Times New Roman" w:hAnsi="Times New Roman" w:cs="Times New Roman"/>
                      <w:color w:val="000000" w:themeColor="text1"/>
                      <w:szCs w:val="21"/>
                      <w:lang w:eastAsia="zh-CN"/>
                      <w14:textFill>
                        <w14:solidFill>
                          <w14:schemeClr w14:val="tx1"/>
                        </w14:solidFill>
                      </w14:textFill>
                    </w:rPr>
                    <w:t>废气</w:t>
                  </w:r>
                </w:p>
              </w:tc>
              <w:tc>
                <w:tcPr>
                  <w:tcW w:w="2456" w:type="pct"/>
                  <w:tcBorders>
                    <w:tl2br w:val="nil"/>
                    <w:tr2bl w:val="nil"/>
                  </w:tcBorders>
                  <w:noWrap w:val="0"/>
                  <w:vAlign w:val="center"/>
                </w:tcPr>
                <w:p w14:paraId="05381A2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5台低氮燃烧器+37m排气筒（DA001）</w:t>
                  </w:r>
                </w:p>
              </w:tc>
              <w:tc>
                <w:tcPr>
                  <w:tcW w:w="459" w:type="pct"/>
                  <w:tcBorders>
                    <w:tl2br w:val="nil"/>
                    <w:tr2bl w:val="nil"/>
                  </w:tcBorders>
                  <w:noWrap w:val="0"/>
                  <w:vAlign w:val="center"/>
                </w:tcPr>
                <w:p w14:paraId="6F964D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1根</w:t>
                  </w:r>
                </w:p>
              </w:tc>
              <w:tc>
                <w:tcPr>
                  <w:tcW w:w="655" w:type="pct"/>
                  <w:tcBorders>
                    <w:tl2br w:val="nil"/>
                    <w:tr2bl w:val="nil"/>
                  </w:tcBorders>
                  <w:noWrap w:val="0"/>
                  <w:vAlign w:val="center"/>
                </w:tcPr>
                <w:p w14:paraId="5E854DA3">
                  <w:pPr>
                    <w:pStyle w:val="61"/>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56.5</w:t>
                  </w:r>
                </w:p>
              </w:tc>
            </w:tr>
            <w:tr w14:paraId="78FF2D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5" w:type="pct"/>
                  <w:tcBorders>
                    <w:tl2br w:val="nil"/>
                    <w:tr2bl w:val="nil"/>
                  </w:tcBorders>
                  <w:noWrap w:val="0"/>
                  <w:vAlign w:val="center"/>
                </w:tcPr>
                <w:p w14:paraId="1559D5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872" w:type="pct"/>
                  <w:tcBorders>
                    <w:tl2br w:val="nil"/>
                    <w:tr2bl w:val="nil"/>
                  </w:tcBorders>
                  <w:noWrap w:val="0"/>
                  <w:vAlign w:val="center"/>
                </w:tcPr>
                <w:p w14:paraId="349A7F6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设备噪声</w:t>
                  </w:r>
                </w:p>
              </w:tc>
              <w:tc>
                <w:tcPr>
                  <w:tcW w:w="2456" w:type="pct"/>
                  <w:tcBorders>
                    <w:tl2br w:val="nil"/>
                    <w:tr2bl w:val="nil"/>
                  </w:tcBorders>
                  <w:noWrap w:val="0"/>
                  <w:vAlign w:val="center"/>
                </w:tcPr>
                <w:p w14:paraId="4105B37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软连接、减振、隔声门窗、减噪、降噪措施</w:t>
                  </w:r>
                </w:p>
              </w:tc>
              <w:tc>
                <w:tcPr>
                  <w:tcW w:w="459" w:type="pct"/>
                  <w:tcBorders>
                    <w:tl2br w:val="nil"/>
                    <w:tr2bl w:val="nil"/>
                  </w:tcBorders>
                  <w:noWrap w:val="0"/>
                  <w:vAlign w:val="center"/>
                </w:tcPr>
                <w:p w14:paraId="21CEB61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55" w:type="pct"/>
                  <w:tcBorders>
                    <w:tl2br w:val="nil"/>
                    <w:tr2bl w:val="nil"/>
                  </w:tcBorders>
                  <w:noWrap w:val="0"/>
                  <w:vAlign w:val="center"/>
                </w:tcPr>
                <w:p w14:paraId="7552BC8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w:t>
                  </w:r>
                </w:p>
              </w:tc>
            </w:tr>
            <w:tr w14:paraId="675BB1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5" w:type="pct"/>
                  <w:tcBorders>
                    <w:tl2br w:val="nil"/>
                    <w:tr2bl w:val="nil"/>
                  </w:tcBorders>
                  <w:noWrap w:val="0"/>
                  <w:vAlign w:val="center"/>
                </w:tcPr>
                <w:p w14:paraId="36FF37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固废</w:t>
                  </w:r>
                </w:p>
              </w:tc>
              <w:tc>
                <w:tcPr>
                  <w:tcW w:w="872" w:type="pct"/>
                  <w:tcBorders>
                    <w:tl2br w:val="nil"/>
                    <w:tr2bl w:val="nil"/>
                  </w:tcBorders>
                  <w:noWrap w:val="0"/>
                  <w:vAlign w:val="center"/>
                </w:tcPr>
                <w:p w14:paraId="06154A58">
                  <w:pPr>
                    <w:keepNext w:val="0"/>
                    <w:keepLines w:val="0"/>
                    <w:suppressLineNumbers w:val="0"/>
                    <w:tabs>
                      <w:tab w:val="left" w:leader="middleDot" w:pos="8399"/>
                    </w:tabs>
                    <w:snapToGrid w:val="0"/>
                    <w:spacing w:before="0" w:beforeAutospacing="0" w:after="0" w:afterAutospacing="0" w:line="240" w:lineRule="auto"/>
                    <w:ind w:left="0" w:right="0"/>
                    <w:contextualSpacing/>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hAnsi="宋体"/>
                      <w:color w:val="000000" w:themeColor="text1"/>
                      <w:szCs w:val="21"/>
                      <w14:textFill>
                        <w14:solidFill>
                          <w14:schemeClr w14:val="tx1"/>
                        </w14:solidFill>
                      </w14:textFill>
                    </w:rPr>
                    <w:t>一般固废</w:t>
                  </w:r>
                </w:p>
              </w:tc>
              <w:tc>
                <w:tcPr>
                  <w:tcW w:w="2456" w:type="pct"/>
                  <w:tcBorders>
                    <w:tl2br w:val="nil"/>
                    <w:tr2bl w:val="nil"/>
                  </w:tcBorders>
                  <w:noWrap w:val="0"/>
                  <w:vAlign w:val="center"/>
                </w:tcPr>
                <w:p w14:paraId="693D27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废离子交换树脂厂家定期更换后回收带走，不在厂区存储。</w:t>
                  </w:r>
                </w:p>
              </w:tc>
              <w:tc>
                <w:tcPr>
                  <w:tcW w:w="459" w:type="pct"/>
                  <w:tcBorders>
                    <w:tl2br w:val="nil"/>
                    <w:tr2bl w:val="nil"/>
                  </w:tcBorders>
                  <w:noWrap w:val="0"/>
                  <w:vAlign w:val="center"/>
                </w:tcPr>
                <w:p w14:paraId="01725954">
                  <w:pPr>
                    <w:pStyle w:val="43"/>
                    <w:keepNext w:val="0"/>
                    <w:keepLines w:val="0"/>
                    <w:suppressLineNumbers w:val="0"/>
                    <w:spacing w:before="0" w:beforeAutospacing="0" w:after="0" w:afterAutospacing="0" w:line="240" w:lineRule="auto"/>
                    <w:ind w:left="0" w:right="0"/>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655" w:type="pct"/>
                  <w:tcBorders>
                    <w:tl2br w:val="nil"/>
                    <w:tr2bl w:val="nil"/>
                  </w:tcBorders>
                  <w:noWrap w:val="0"/>
                  <w:vAlign w:val="center"/>
                </w:tcPr>
                <w:p w14:paraId="076FB319">
                  <w:pPr>
                    <w:pStyle w:val="61"/>
                    <w:keepNext w:val="0"/>
                    <w:keepLines w:val="0"/>
                    <w:suppressLineNumbers w:val="0"/>
                    <w:adjustRightInd w:val="0"/>
                    <w:snapToGrid w:val="0"/>
                    <w:spacing w:before="0" w:beforeAutospacing="0" w:after="0" w:afterAutospacing="0" w:line="240" w:lineRule="auto"/>
                    <w:ind w:left="0" w:right="0"/>
                    <w:rPr>
                      <w:rFonts w:hint="eastAsia" w:ascii="Times New Roman" w:hAnsi="Times New Roman" w:cs="Times New Roman" w:eastAsiaTheme="minorEastAsia"/>
                      <w:color w:val="000000" w:themeColor="text1"/>
                      <w:kern w:val="0"/>
                      <w:sz w:val="20"/>
                      <w:szCs w:val="21"/>
                      <w:lang w:val="en-US" w:eastAsia="zh-CN" w:bidi="ar-SA"/>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w:t>
                  </w:r>
                </w:p>
              </w:tc>
            </w:tr>
            <w:tr w14:paraId="465D2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885" w:type="pct"/>
                  <w:gridSpan w:val="3"/>
                  <w:tcBorders>
                    <w:tl2br w:val="nil"/>
                    <w:tr2bl w:val="nil"/>
                  </w:tcBorders>
                  <w:noWrap w:val="0"/>
                  <w:vAlign w:val="center"/>
                </w:tcPr>
                <w:p w14:paraId="533EFFD0">
                  <w:pPr>
                    <w:pStyle w:val="43"/>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小计</w:t>
                  </w:r>
                </w:p>
              </w:tc>
              <w:tc>
                <w:tcPr>
                  <w:tcW w:w="459" w:type="pct"/>
                  <w:tcBorders>
                    <w:tl2br w:val="nil"/>
                    <w:tr2bl w:val="nil"/>
                  </w:tcBorders>
                  <w:noWrap w:val="0"/>
                  <w:vAlign w:val="center"/>
                </w:tcPr>
                <w:p w14:paraId="41EB77D5">
                  <w:pPr>
                    <w:pStyle w:val="43"/>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55" w:type="pct"/>
                  <w:tcBorders>
                    <w:tl2br w:val="nil"/>
                    <w:tr2bl w:val="nil"/>
                  </w:tcBorders>
                  <w:noWrap w:val="0"/>
                  <w:vAlign w:val="center"/>
                </w:tcPr>
                <w:p w14:paraId="21B6BAD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61.8</w:t>
                  </w:r>
                </w:p>
              </w:tc>
            </w:tr>
          </w:tbl>
          <w:p w14:paraId="30CFA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default"/>
                <w:color w:val="000000" w:themeColor="text1"/>
                <w:lang w:val="en-US" w:eastAsia="zh-CN"/>
                <w14:textFill>
                  <w14:solidFill>
                    <w14:schemeClr w14:val="tx1"/>
                  </w14:solidFill>
                </w14:textFill>
              </w:rPr>
            </w:pPr>
          </w:p>
        </w:tc>
      </w:tr>
      <w:tr w14:paraId="7B3F5D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968" w:type="dxa"/>
            <w:tcBorders>
              <w:tl2br w:val="nil"/>
              <w:tr2bl w:val="nil"/>
            </w:tcBorders>
            <w:shd w:val="clear" w:color="auto" w:fill="auto"/>
            <w:vAlign w:val="center"/>
          </w:tcPr>
          <w:p w14:paraId="05824E70">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color w:val="000000" w:themeColor="text1"/>
                <w:kern w:val="2"/>
                <w:sz w:val="21"/>
                <w:szCs w:val="21"/>
                <w:lang w:val="en-US"/>
                <w14:textFill>
                  <w14:solidFill>
                    <w14:schemeClr w14:val="tx1"/>
                  </w14:solidFill>
                </w14:textFill>
              </w:rPr>
            </w:pPr>
            <w:r>
              <w:rPr>
                <w:rFonts w:ascii="宋体" w:hAnsi="宋体" w:eastAsia="宋体" w:cs="宋体"/>
                <w:b/>
                <w:bCs/>
                <w:color w:val="000000" w:themeColor="text1"/>
                <w:kern w:val="2"/>
                <w:sz w:val="24"/>
                <w:szCs w:val="24"/>
                <w14:textFill>
                  <w14:solidFill>
                    <w14:schemeClr w14:val="tx1"/>
                  </w14:solidFill>
                </w14:textFill>
              </w:rPr>
              <w:t>工艺流程和产排污环节</w:t>
            </w:r>
          </w:p>
        </w:tc>
        <w:tc>
          <w:tcPr>
            <w:tcW w:w="7904" w:type="dxa"/>
            <w:tcBorders>
              <w:tl2br w:val="nil"/>
              <w:tr2bl w:val="nil"/>
            </w:tcBorders>
            <w:shd w:val="clear" w:color="auto" w:fill="auto"/>
            <w:vAlign w:val="top"/>
          </w:tcPr>
          <w:p w14:paraId="1AFAD1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eastAsia="zh-CN"/>
                <w14:textFill>
                  <w14:solidFill>
                    <w14:schemeClr w14:val="tx1"/>
                  </w14:solidFill>
                </w14:textFill>
              </w:rPr>
              <w:t>工艺流程简述（图示）：</w:t>
            </w:r>
          </w:p>
          <w:p w14:paraId="5683C2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1.天然气锅炉</w:t>
            </w:r>
            <w:r>
              <w:rPr>
                <w:rFonts w:hint="default" w:ascii="Times New Roman" w:hAnsi="Times New Roman"/>
                <w:b/>
                <w:bCs/>
                <w:color w:val="000000" w:themeColor="text1"/>
                <w:sz w:val="24"/>
                <w:szCs w:val="24"/>
                <w:highlight w:val="none"/>
                <w:lang w:val="en-US" w:eastAsia="zh-CN"/>
                <w14:textFill>
                  <w14:solidFill>
                    <w14:schemeClr w14:val="tx1"/>
                  </w14:solidFill>
                </w14:textFill>
              </w:rPr>
              <w:t>运营期工艺流程及产污环节简述</w:t>
            </w:r>
          </w:p>
          <w:p w14:paraId="1071AC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color w:val="000000" w:themeColor="text1"/>
                <w14:textFill>
                  <w14:solidFill>
                    <w14:schemeClr w14:val="tx1"/>
                  </w14:solidFill>
                </w14:textFill>
              </w:rPr>
              <w:drawing>
                <wp:inline distT="0" distB="0" distL="114300" distR="114300">
                  <wp:extent cx="4881245" cy="2130425"/>
                  <wp:effectExtent l="0" t="0" r="1460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4881245" cy="2130425"/>
                          </a:xfrm>
                          <a:prstGeom prst="rect">
                            <a:avLst/>
                          </a:prstGeom>
                          <a:noFill/>
                          <a:ln>
                            <a:noFill/>
                          </a:ln>
                        </pic:spPr>
                      </pic:pic>
                    </a:graphicData>
                  </a:graphic>
                </wp:inline>
              </w:drawing>
            </w:r>
          </w:p>
          <w:p w14:paraId="08C08C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图</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天然气锅炉</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生产</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工艺流程及产污环节图</w:t>
            </w:r>
          </w:p>
          <w:p w14:paraId="61222DA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软水处理系统：自来水首先经过软水系统进行软化处理，去除水中的杂质（主要是钙、镁等），以免水中的钙、镁在高温下形成水垢附着在锅炉内壁上，降低锅炉热效率、浪费燃料、使锅炉出力不足、甚至引起事故等。</w:t>
            </w:r>
          </w:p>
          <w:p w14:paraId="6DC1EBD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）锅炉系统</w:t>
            </w:r>
          </w:p>
          <w:p w14:paraId="6E42BD52">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燃气热水锅炉是就是利用燃气燃烧放出的热量来加热水的一种热力设备。其工作原理就是：燃气在燃烧室内完全燃烧，通过火焰、高温烟气对流经换热器的冷水进行加热，产生热水。</w:t>
            </w:r>
          </w:p>
          <w:p w14:paraId="537FAE9B">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（3）燃烧系统</w:t>
            </w:r>
          </w:p>
          <w:p w14:paraId="1300C31A">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燃料为天然气，天然气经管道送入炉前燃烧系统，后进入锅炉低氮燃烧器进行燃烧。锅炉燃烧所需空气由鼓风机提供，产生的烟气经锅炉房排气筒进入烟囱排入大气。</w:t>
            </w:r>
          </w:p>
          <w:p w14:paraId="5FC52D54">
            <w:pPr>
              <w:keepNext w:val="0"/>
              <w:keepLines w:val="0"/>
              <w:widowControl/>
              <w:numPr>
                <w:ilvl w:val="0"/>
                <w:numId w:val="0"/>
              </w:numPr>
              <w:suppressLineNumbers w:val="0"/>
              <w:spacing w:before="0" w:beforeAutospacing="0" w:after="0" w:afterAutospacing="0" w:line="360" w:lineRule="auto"/>
              <w:ind w:left="0" w:right="0" w:firstLine="482" w:firstLineChars="200"/>
              <w:jc w:val="both"/>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（4）低氮燃烧原理</w:t>
            </w:r>
          </w:p>
          <w:p w14:paraId="6DD5F028">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本项目采用常压天然气由市政天然气管道供给项目燃气锅炉。每台锅炉均自带低氮燃烧器，</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为保证锅炉燃烧废气中的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能达标排放，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将空气和天然气在进入燃烧室之前按比例完全混合，使天然气充分燃烧的同时，降低空气的需求量，提高烟气露点，使烟气尽早进入冷凝阶段，以进一步提高燃烧效率；同时还降低火焰温度以减少NOx的生成量。</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通过改变燃烧设备的燃烧条件来降低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color w:val="000000" w:themeColor="text1"/>
                <w:kern w:val="0"/>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的形成，通过调节燃烧温度、烟气中的氧的浓度、烟气在高温区的停留时间等方法来抑制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的生成或破坏已生产的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14:paraId="79C9442D">
            <w:pPr>
              <w:keepNext w:val="0"/>
              <w:keepLines w:val="0"/>
              <w:widowControl/>
              <w:suppressLineNumbers w:val="0"/>
              <w:spacing w:before="0" w:beforeAutospacing="0" w:after="0" w:afterAutospacing="0" w:line="360" w:lineRule="auto"/>
              <w:ind w:left="0" w:right="0" w:firstLine="480" w:firstLineChars="200"/>
              <w:jc w:val="both"/>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本项目低氮燃烧器采用燃气全预混燃烧原理，</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燃气全预混燃烧是指燃气在燃烧器前与足够的空气进行充分混合，在燃烧的过程中不再需要供给空气的燃烧方式。全预混燃烧的火焰传播速度快，燃烧室容积热强度很高，一般可达28~56×10</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kW/m</w:t>
            </w:r>
            <w:r>
              <w:rPr>
                <w:rFonts w:hint="eastAsia"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或更高，且能在很小的过剩空气系数下达到完全燃烧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通常a=1.05~1.1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，几乎不存在化学不完全燃烧现象。全预混燃烧降低了氮氧化物的排放，全预混燃烧不产生燃料型氮氧化物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其次，全预混燃烧不产生快速型氮氧化物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最后，全预混燃烧降低了温度型氮氧化物的生成浓度。</w:t>
            </w:r>
          </w:p>
          <w:p w14:paraId="0FE23239">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供暖系统：经过软化的水进入锅炉主体加热后供暖，供暖热水通过机械循环使用，循环压力由水泵提供</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一次</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热源通过管道送到换热站，并进入换热器内，通过换热器的换热，将一次热源交换到二次供热管道内，二次供热管道引出至热用户。二次水经过过滤除污，经由循环进入换热器，被高温水加热后进行供热，高温水进入板式换热器后，变成凝结水或高温回水，返回热源，进行一二次热系统的回热循环。</w:t>
            </w:r>
          </w:p>
          <w:p w14:paraId="0AA0063A">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color w:val="000000" w:themeColor="text1"/>
                <w:sz w:val="21"/>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（6）</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排烟系统：产生的废气经过烟囱排放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14:paraId="395B317E">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项目运营期主要污染工序见下表</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2-11。</w:t>
            </w:r>
          </w:p>
          <w:p w14:paraId="4BB1A6F2">
            <w:pPr>
              <w:keepNext w:val="0"/>
              <w:keepLines w:val="0"/>
              <w:widowControl/>
              <w:suppressLineNumbers w:val="0"/>
              <w:spacing w:before="0" w:beforeAutospacing="0" w:after="0" w:afterAutospacing="0" w:line="240" w:lineRule="auto"/>
              <w:ind w:left="0" w:right="0" w:firstLine="482" w:firstLineChars="20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-11</w:t>
            </w:r>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b/>
                <w:bCs/>
                <w:color w:val="000000" w:themeColor="text1"/>
                <w:sz w:val="24"/>
                <w:szCs w:val="24"/>
                <w14:textFill>
                  <w14:solidFill>
                    <w14:schemeClr w14:val="tx1"/>
                  </w14:solidFill>
                </w14:textFill>
              </w:rPr>
              <w:t>运营期主要污染工序一览表</w:t>
            </w:r>
          </w:p>
          <w:tbl>
            <w:tblPr>
              <w:tblStyle w:val="26"/>
              <w:tblW w:w="495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818"/>
              <w:gridCol w:w="1350"/>
              <w:gridCol w:w="3264"/>
            </w:tblGrid>
            <w:tr w14:paraId="6FAA9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0" w:type="dxa"/>
                  <w:tcBorders>
                    <w:tl2br w:val="nil"/>
                    <w:tr2bl w:val="nil"/>
                  </w:tcBorders>
                  <w:noWrap w:val="0"/>
                  <w:vAlign w:val="center"/>
                </w:tcPr>
                <w:p w14:paraId="0FBF69C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污染类别</w:t>
                  </w:r>
                </w:p>
              </w:tc>
              <w:tc>
                <w:tcPr>
                  <w:tcW w:w="1818" w:type="dxa"/>
                  <w:tcBorders>
                    <w:tl2br w:val="nil"/>
                    <w:tr2bl w:val="nil"/>
                  </w:tcBorders>
                  <w:noWrap w:val="0"/>
                  <w:vAlign w:val="center"/>
                </w:tcPr>
                <w:p w14:paraId="132D517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污染源名称</w:t>
                  </w:r>
                </w:p>
              </w:tc>
              <w:tc>
                <w:tcPr>
                  <w:tcW w:w="1350" w:type="dxa"/>
                  <w:tcBorders>
                    <w:tl2br w:val="nil"/>
                    <w:tr2bl w:val="nil"/>
                  </w:tcBorders>
                  <w:noWrap w:val="0"/>
                  <w:vAlign w:val="center"/>
                </w:tcPr>
                <w:p w14:paraId="5C83874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产生工序</w:t>
                  </w:r>
                </w:p>
              </w:tc>
              <w:tc>
                <w:tcPr>
                  <w:tcW w:w="3264" w:type="dxa"/>
                  <w:tcBorders>
                    <w:tl2br w:val="nil"/>
                    <w:tr2bl w:val="nil"/>
                  </w:tcBorders>
                  <w:noWrap w:val="0"/>
                  <w:vAlign w:val="center"/>
                </w:tcPr>
                <w:p w14:paraId="78328AB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主要污染因子</w:t>
                  </w:r>
                </w:p>
              </w:tc>
            </w:tr>
            <w:tr w14:paraId="20A256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0" w:type="dxa"/>
                  <w:tcBorders>
                    <w:tl2br w:val="nil"/>
                    <w:tr2bl w:val="nil"/>
                  </w:tcBorders>
                  <w:noWrap w:val="0"/>
                  <w:vAlign w:val="center"/>
                </w:tcPr>
                <w:p w14:paraId="56C45B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w:t>
                  </w:r>
                </w:p>
              </w:tc>
              <w:tc>
                <w:tcPr>
                  <w:tcW w:w="1818" w:type="dxa"/>
                  <w:tcBorders>
                    <w:tl2br w:val="nil"/>
                    <w:tr2bl w:val="nil"/>
                  </w:tcBorders>
                  <w:noWrap w:val="0"/>
                  <w:vAlign w:val="center"/>
                </w:tcPr>
                <w:p w14:paraId="7FC20A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燃气锅炉</w:t>
                  </w:r>
                </w:p>
              </w:tc>
              <w:tc>
                <w:tcPr>
                  <w:tcW w:w="1350" w:type="dxa"/>
                  <w:tcBorders>
                    <w:tl2br w:val="nil"/>
                    <w:tr2bl w:val="nil"/>
                  </w:tcBorders>
                  <w:noWrap w:val="0"/>
                  <w:vAlign w:val="center"/>
                </w:tcPr>
                <w:p w14:paraId="655E56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w:t>
                  </w:r>
                </w:p>
              </w:tc>
              <w:tc>
                <w:tcPr>
                  <w:tcW w:w="3264" w:type="dxa"/>
                  <w:tcBorders>
                    <w:tl2br w:val="nil"/>
                    <w:tr2bl w:val="nil"/>
                  </w:tcBorders>
                  <w:noWrap w:val="0"/>
                  <w:vAlign w:val="center"/>
                </w:tcPr>
                <w:p w14:paraId="57D5D0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二氧化硫、氮氧化物</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颗粒物</w:t>
                  </w:r>
                </w:p>
              </w:tc>
            </w:tr>
            <w:tr w14:paraId="565BF7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0" w:type="dxa"/>
                  <w:tcBorders>
                    <w:tl2br w:val="nil"/>
                    <w:tr2bl w:val="nil"/>
                  </w:tcBorders>
                  <w:noWrap w:val="0"/>
                  <w:vAlign w:val="center"/>
                </w:tcPr>
                <w:p w14:paraId="0909C9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w:t>
                  </w:r>
                </w:p>
              </w:tc>
              <w:tc>
                <w:tcPr>
                  <w:tcW w:w="1818" w:type="dxa"/>
                  <w:tcBorders>
                    <w:tl2br w:val="nil"/>
                    <w:tr2bl w:val="nil"/>
                  </w:tcBorders>
                  <w:noWrap w:val="0"/>
                  <w:vAlign w:val="center"/>
                </w:tcPr>
                <w:p w14:paraId="134DE2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锅炉系统排污水</w:t>
                  </w:r>
                </w:p>
              </w:tc>
              <w:tc>
                <w:tcPr>
                  <w:tcW w:w="1350" w:type="dxa"/>
                  <w:tcBorders>
                    <w:tl2br w:val="nil"/>
                    <w:tr2bl w:val="nil"/>
                  </w:tcBorders>
                  <w:noWrap w:val="0"/>
                  <w:vAlign w:val="center"/>
                </w:tcPr>
                <w:p w14:paraId="4F51FE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264" w:type="dxa"/>
                  <w:tcBorders>
                    <w:tl2br w:val="nil"/>
                    <w:tr2bl w:val="nil"/>
                  </w:tcBorders>
                  <w:noWrap w:val="0"/>
                  <w:vAlign w:val="center"/>
                </w:tcPr>
                <w:p w14:paraId="40C220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pH、COD、NH</w:t>
                  </w:r>
                  <w:r>
                    <w:rPr>
                      <w:rFonts w:hint="eastAsia" w:ascii="Times New Roman" w:hAnsi="Times New Roman" w:eastAsia="宋体" w:cs="Times New Roman"/>
                      <w:color w:val="000000" w:themeColor="text1"/>
                      <w:kern w:val="2"/>
                      <w:sz w:val="21"/>
                      <w:szCs w:val="21"/>
                      <w:vertAlign w:val="sub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-N、TDS、SS</w:t>
                  </w:r>
                </w:p>
              </w:tc>
            </w:tr>
            <w:tr w14:paraId="59D3B7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0" w:type="dxa"/>
                  <w:tcBorders>
                    <w:tl2br w:val="nil"/>
                    <w:tr2bl w:val="nil"/>
                  </w:tcBorders>
                  <w:noWrap w:val="0"/>
                  <w:vAlign w:val="center"/>
                </w:tcPr>
                <w:p w14:paraId="43DA9E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w:t>
                  </w:r>
                </w:p>
              </w:tc>
              <w:tc>
                <w:tcPr>
                  <w:tcW w:w="1818" w:type="dxa"/>
                  <w:tcBorders>
                    <w:tl2br w:val="nil"/>
                    <w:tr2bl w:val="nil"/>
                  </w:tcBorders>
                  <w:noWrap w:val="0"/>
                  <w:vAlign w:val="center"/>
                </w:tcPr>
                <w:p w14:paraId="0BAB75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锅炉等噪声</w:t>
                  </w:r>
                </w:p>
              </w:tc>
              <w:tc>
                <w:tcPr>
                  <w:tcW w:w="1350" w:type="dxa"/>
                  <w:tcBorders>
                    <w:tl2br w:val="nil"/>
                    <w:tr2bl w:val="nil"/>
                  </w:tcBorders>
                  <w:noWrap w:val="0"/>
                  <w:vAlign w:val="center"/>
                </w:tcPr>
                <w:p w14:paraId="059907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264" w:type="dxa"/>
                  <w:tcBorders>
                    <w:tl2br w:val="nil"/>
                    <w:tr2bl w:val="nil"/>
                  </w:tcBorders>
                  <w:noWrap w:val="0"/>
                  <w:vAlign w:val="center"/>
                </w:tcPr>
                <w:p w14:paraId="7AC407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机械噪声</w:t>
                  </w:r>
                </w:p>
              </w:tc>
            </w:tr>
            <w:tr w14:paraId="08B1BC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0" w:type="dxa"/>
                  <w:tcBorders>
                    <w:tl2br w:val="nil"/>
                    <w:tr2bl w:val="nil"/>
                  </w:tcBorders>
                  <w:noWrap w:val="0"/>
                  <w:vAlign w:val="center"/>
                </w:tcPr>
                <w:p w14:paraId="4858826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固废</w:t>
                  </w:r>
                </w:p>
              </w:tc>
              <w:tc>
                <w:tcPr>
                  <w:tcW w:w="1818" w:type="dxa"/>
                  <w:tcBorders>
                    <w:tl2br w:val="nil"/>
                    <w:tr2bl w:val="nil"/>
                  </w:tcBorders>
                  <w:noWrap w:val="0"/>
                  <w:vAlign w:val="center"/>
                </w:tcPr>
                <w:p w14:paraId="5D9D70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软水设备</w:t>
                  </w:r>
                </w:p>
              </w:tc>
              <w:tc>
                <w:tcPr>
                  <w:tcW w:w="1350" w:type="dxa"/>
                  <w:tcBorders>
                    <w:tl2br w:val="nil"/>
                    <w:tr2bl w:val="nil"/>
                  </w:tcBorders>
                  <w:noWrap w:val="0"/>
                  <w:vAlign w:val="center"/>
                </w:tcPr>
                <w:p w14:paraId="208DEE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264" w:type="dxa"/>
                  <w:tcBorders>
                    <w:tl2br w:val="nil"/>
                    <w:tr2bl w:val="nil"/>
                  </w:tcBorders>
                  <w:noWrap w:val="0"/>
                  <w:vAlign w:val="center"/>
                </w:tcPr>
                <w:p w14:paraId="62DB9D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废离子交换树脂</w:t>
                  </w:r>
                </w:p>
              </w:tc>
            </w:tr>
          </w:tbl>
          <w:p w14:paraId="659649D6">
            <w:pPr>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p>
        </w:tc>
      </w:tr>
      <w:tr w14:paraId="0B6BED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2" w:hRule="atLeast"/>
          <w:jc w:val="center"/>
        </w:trPr>
        <w:tc>
          <w:tcPr>
            <w:tcW w:w="968" w:type="dxa"/>
            <w:tcBorders>
              <w:tl2br w:val="nil"/>
              <w:tr2bl w:val="nil"/>
            </w:tcBorders>
            <w:shd w:val="clear" w:color="auto" w:fill="auto"/>
            <w:vAlign w:val="center"/>
          </w:tcPr>
          <w:p w14:paraId="6A257622">
            <w:pPr>
              <w:pStyle w:val="2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cs="宋体"/>
                <w:color w:val="000000" w:themeColor="text1"/>
                <w:kern w:val="2"/>
                <w:sz w:val="21"/>
                <w:szCs w:val="21"/>
                <w:lang w:val="en-US"/>
                <w14:textFill>
                  <w14:solidFill>
                    <w14:schemeClr w14:val="tx1"/>
                  </w14:solidFill>
                </w14:textFill>
              </w:rPr>
            </w:pPr>
            <w:r>
              <w:rPr>
                <w:rFonts w:cs="宋体"/>
                <w:b/>
                <w:bCs w:val="0"/>
                <w:color w:val="000000" w:themeColor="text1"/>
                <w:kern w:val="2"/>
                <w:sz w:val="24"/>
                <w:szCs w:val="24"/>
                <w14:textFill>
                  <w14:solidFill>
                    <w14:schemeClr w14:val="tx1"/>
                  </w14:solidFill>
                </w14:textFill>
              </w:rPr>
              <w:t>与项目有关的原有环境污染问题</w:t>
            </w:r>
          </w:p>
        </w:tc>
        <w:tc>
          <w:tcPr>
            <w:tcW w:w="7904" w:type="dxa"/>
            <w:tcBorders>
              <w:tl2br w:val="nil"/>
              <w:tr2bl w:val="nil"/>
            </w:tcBorders>
            <w:shd w:val="clear" w:color="auto" w:fill="auto"/>
            <w:vAlign w:val="center"/>
          </w:tcPr>
          <w:p w14:paraId="2D7B7A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eastAsia" w:eastAsia="宋体" w:cs="Times New Roman"/>
                <w:color w:val="000000" w:themeColor="text1"/>
                <w:sz w:val="24"/>
                <w:szCs w:val="24"/>
                <w:highlight w:val="none"/>
                <w:lang w:eastAsia="zh-CN"/>
                <w14:textFill>
                  <w14:solidFill>
                    <w14:schemeClr w14:val="tx1"/>
                  </w14:solidFill>
                </w14:textFill>
              </w:rPr>
              <w:t>，</w:t>
            </w:r>
            <w:r>
              <w:rPr>
                <w:color w:val="000000" w:themeColor="text1"/>
                <w:spacing w:val="-1"/>
                <w:sz w:val="24"/>
                <w:szCs w:val="24"/>
                <w14:textFill>
                  <w14:solidFill>
                    <w14:schemeClr w14:val="tx1"/>
                  </w14:solidFill>
                </w14:textFill>
              </w:rPr>
              <w:t>本项目为新建项目，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环境影响评价工作介入时，已</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投入</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运行，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本报告为补报手续。</w:t>
            </w:r>
          </w:p>
          <w:p w14:paraId="1E30B6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本项目运营期产生的废气、废水、固废、噪声及治理措施如下：</w:t>
            </w:r>
          </w:p>
          <w:p w14:paraId="2D4FA7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①</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废气：本项目废气以锅炉燃烧废气为主，项目采用天然气为原料，属于清洁能源，锅炉烟气中颗粒物与二氧化硫可稳定达标排放；烟气中氮氧化物，建设单位采取安装低氮燃烧器及烟气回流再循环技术以控制废气中氮氧化物稳定达标排放。目前锅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废气</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通过1根</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内径为Φ</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10</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00mm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高</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为37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m的</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不锈钢材质</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排气筒（DA00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排放</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90</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排气筒高度需要整改。</w:t>
            </w:r>
          </w:p>
          <w:p w14:paraId="7A07D6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②</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废水</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本项目废水以</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、反冲洗废水及软化水系统排水为主，废水经锅炉房降温池沉淀后进入小区</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，最终进入西安净水处理有限责任公司第六再生水厂进行处理。</w:t>
            </w:r>
          </w:p>
          <w:p w14:paraId="55FE7A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③</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固废：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本项目固体废物为软水制备过程产生废离子树脂，年产生量约0.11t/a，废离子交换树脂不属于危险废物，根据《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固体废物分类与代码目录</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》（生态环境部公告，2024年第4号），代码为“900-008-S59”，交由离子交换树脂厂家定期更换后回收带走，不在厂区存储。</w:t>
            </w:r>
          </w:p>
          <w:p w14:paraId="0A4B3B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cs="Times New Roman"/>
                <w:color w:val="000000" w:themeColor="text1"/>
                <w:spacing w:val="-1"/>
                <w:sz w:val="24"/>
                <w:szCs w:val="24"/>
                <w:lang w:val="en-US"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④</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噪声：</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本项目噪声以锅炉房运行过程中的机械噪声为主。</w:t>
            </w:r>
            <w:r>
              <w:rPr>
                <w:rFonts w:hint="eastAsia"/>
                <w:color w:val="000000" w:themeColor="text1"/>
                <w:sz w:val="24"/>
                <w:szCs w:val="32"/>
                <w:lang w:val="en-US" w:eastAsia="zh-CN"/>
                <w14:textFill>
                  <w14:solidFill>
                    <w14:schemeClr w14:val="tx1"/>
                  </w14:solidFill>
                </w14:textFill>
              </w:rPr>
              <w:t>为降低噪声对周围环境的影响，建设单位采取</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对高噪声设备在</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内部建设单独的隔声间，</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安装隔声门窗</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以及基础减振等措施</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，有效降低对周围环境的影响</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66756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76" w:firstLineChars="200"/>
              <w:jc w:val="both"/>
              <w:textAlignment w:val="auto"/>
              <w:rPr>
                <w:rFonts w:hint="eastAsia" w:ascii="Times New Roman" w:hAnsi="Times New Roman" w:cs="Times New Roman"/>
                <w:color w:val="000000" w:themeColor="text1"/>
                <w:spacing w:val="-1"/>
                <w:sz w:val="24"/>
                <w:szCs w:val="24"/>
                <w:lang w:val="en-US" w:eastAsia="zh-CN"/>
                <w14:textFill>
                  <w14:solidFill>
                    <w14:schemeClr w14:val="tx1"/>
                  </w14:solidFill>
                </w14:textFill>
              </w:rPr>
            </w:pPr>
            <w:r>
              <w:rPr>
                <w:rFonts w:hint="eastAsia" w:ascii="Times New Roman" w:hAnsi="Times New Roman" w:cs="Times New Roman"/>
                <w:color w:val="000000" w:themeColor="text1"/>
                <w:spacing w:val="-1"/>
                <w:sz w:val="24"/>
                <w:szCs w:val="24"/>
                <w:lang w:val="en-US" w:eastAsia="zh-CN"/>
                <w14:textFill>
                  <w14:solidFill>
                    <w14:schemeClr w14:val="tx1"/>
                  </w14:solidFill>
                </w14:textFill>
              </w:rPr>
              <w:t>建设单位应在项目环评批复后，按要求及时办理其它环保手续和整改。</w:t>
            </w:r>
          </w:p>
          <w:p w14:paraId="3B418685">
            <w:pPr>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表2-12  本项目整改清单</w:t>
            </w:r>
          </w:p>
          <w:tbl>
            <w:tblPr>
              <w:tblStyle w:val="27"/>
              <w:tblW w:w="76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488"/>
              <w:gridCol w:w="2862"/>
              <w:gridCol w:w="2590"/>
            </w:tblGrid>
            <w:tr w14:paraId="5C3A6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61" w:type="dxa"/>
                  <w:tcBorders>
                    <w:tl2br w:val="nil"/>
                    <w:tr2bl w:val="nil"/>
                  </w:tcBorders>
                  <w:vAlign w:val="center"/>
                </w:tcPr>
                <w:p w14:paraId="2AED2B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488" w:type="dxa"/>
                  <w:tcBorders>
                    <w:tl2br w:val="nil"/>
                    <w:tr2bl w:val="nil"/>
                  </w:tcBorders>
                  <w:vAlign w:val="center"/>
                </w:tcPr>
                <w:p w14:paraId="4A76AD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整改项目</w:t>
                  </w:r>
                </w:p>
              </w:tc>
              <w:tc>
                <w:tcPr>
                  <w:tcW w:w="2862" w:type="dxa"/>
                  <w:tcBorders>
                    <w:tl2br w:val="nil"/>
                    <w:tr2bl w:val="nil"/>
                  </w:tcBorders>
                  <w:vAlign w:val="center"/>
                </w:tcPr>
                <w:p w14:paraId="664DF2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整改前</w:t>
                  </w:r>
                </w:p>
              </w:tc>
              <w:tc>
                <w:tcPr>
                  <w:tcW w:w="2590" w:type="dxa"/>
                  <w:tcBorders>
                    <w:tl2br w:val="nil"/>
                    <w:tr2bl w:val="nil"/>
                  </w:tcBorders>
                  <w:vAlign w:val="center"/>
                </w:tcPr>
                <w:p w14:paraId="529985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整改后</w:t>
                  </w:r>
                </w:p>
              </w:tc>
            </w:tr>
            <w:tr w14:paraId="7B6A86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61" w:type="dxa"/>
                  <w:tcBorders>
                    <w:tl2br w:val="nil"/>
                    <w:tr2bl w:val="nil"/>
                  </w:tcBorders>
                  <w:vAlign w:val="center"/>
                </w:tcPr>
                <w:p w14:paraId="70C887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488" w:type="dxa"/>
                  <w:tcBorders>
                    <w:tl2br w:val="nil"/>
                    <w:tr2bl w:val="nil"/>
                  </w:tcBorders>
                  <w:vAlign w:val="center"/>
                </w:tcPr>
                <w:p w14:paraId="10EDBA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排气筒高度</w:t>
                  </w:r>
                </w:p>
              </w:tc>
              <w:tc>
                <w:tcPr>
                  <w:tcW w:w="2862" w:type="dxa"/>
                  <w:tcBorders>
                    <w:tl2br w:val="nil"/>
                    <w:tr2bl w:val="nil"/>
                  </w:tcBorders>
                  <w:vAlign w:val="center"/>
                </w:tcPr>
                <w:p w14:paraId="70113F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bookmarkStart w:id="3" w:name="_GoBack"/>
                  <w:r>
                    <w:rPr>
                      <w:rFonts w:hint="default" w:ascii="Times New Roman" w:hAnsi="Times New Roman" w:eastAsia="宋体" w:cs="Times New Roman"/>
                      <w:color w:val="000000" w:themeColor="text1"/>
                      <w:sz w:val="21"/>
                      <w:szCs w:val="21"/>
                      <w:lang w:val="en-US" w:eastAsia="zh-CN"/>
                      <w14:textFill>
                        <w14:solidFill>
                          <w14:schemeClr w14:val="tx1"/>
                        </w14:solidFill>
                      </w14:textFill>
                    </w:rPr>
                    <w:t>37</w:t>
                  </w:r>
                  <w:bookmarkEnd w:id="3"/>
                  <w:r>
                    <w:rPr>
                      <w:rFonts w:hint="default" w:ascii="Times New Roman" w:hAnsi="Times New Roman" w:eastAsia="宋体" w:cs="Times New Roman"/>
                      <w:color w:val="000000" w:themeColor="text1"/>
                      <w:sz w:val="21"/>
                      <w:szCs w:val="21"/>
                      <w:lang w:val="en-US" w:eastAsia="zh-CN"/>
                      <w14:textFill>
                        <w14:solidFill>
                          <w14:schemeClr w14:val="tx1"/>
                        </w14:solidFill>
                      </w14:textFill>
                    </w:rPr>
                    <w:t>m</w:t>
                  </w:r>
                </w:p>
              </w:tc>
              <w:tc>
                <w:tcPr>
                  <w:tcW w:w="2590" w:type="dxa"/>
                  <w:tcBorders>
                    <w:tl2br w:val="nil"/>
                    <w:tr2bl w:val="nil"/>
                  </w:tcBorders>
                  <w:vAlign w:val="center"/>
                </w:tcPr>
                <w:p w14:paraId="5C846A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90m</w:t>
                  </w:r>
                </w:p>
              </w:tc>
            </w:tr>
            <w:tr w14:paraId="0C676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61" w:type="dxa"/>
                  <w:tcBorders>
                    <w:tl2br w:val="nil"/>
                    <w:tr2bl w:val="nil"/>
                  </w:tcBorders>
                  <w:vAlign w:val="center"/>
                </w:tcPr>
                <w:p w14:paraId="3768C4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488" w:type="dxa"/>
                  <w:tcBorders>
                    <w:tl2br w:val="nil"/>
                    <w:tr2bl w:val="nil"/>
                  </w:tcBorders>
                  <w:vAlign w:val="center"/>
                </w:tcPr>
                <w:p w14:paraId="0C3F77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其他环保手续</w:t>
                  </w:r>
                </w:p>
              </w:tc>
              <w:tc>
                <w:tcPr>
                  <w:tcW w:w="2862" w:type="dxa"/>
                  <w:tcBorders>
                    <w:tl2br w:val="nil"/>
                    <w:tr2bl w:val="nil"/>
                  </w:tcBorders>
                  <w:vAlign w:val="center"/>
                </w:tcPr>
                <w:p w14:paraId="4D470F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本报告为补报手续；</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本项目在运行期间，</w:t>
                  </w:r>
                  <w:r>
                    <w:rPr>
                      <w:rFonts w:hint="default" w:ascii="Times New Roman" w:hAnsi="Times New Roman" w:eastAsia="宋体" w:cs="Times New Roman"/>
                      <w:color w:val="000000" w:themeColor="text1"/>
                      <w:spacing w:val="-1"/>
                      <w:sz w:val="21"/>
                      <w:szCs w:val="21"/>
                      <w:lang w:val="en-US" w:eastAsia="zh-CN"/>
                      <w14:textFill>
                        <w14:solidFill>
                          <w14:schemeClr w14:val="tx1"/>
                        </w14:solidFill>
                      </w14:textFill>
                    </w:rPr>
                    <w:t>项目未完成环境影响评价、排污许可证申领、突发环境事件应急预案备案及竣工环境保护验收工作。</w:t>
                  </w:r>
                </w:p>
              </w:tc>
              <w:tc>
                <w:tcPr>
                  <w:tcW w:w="2590" w:type="dxa"/>
                  <w:tcBorders>
                    <w:tl2br w:val="nil"/>
                    <w:tr2bl w:val="nil"/>
                  </w:tcBorders>
                  <w:vAlign w:val="center"/>
                </w:tcPr>
                <w:p w14:paraId="3FB524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建设单位应在项目环评批复后，按要求及时办理</w:t>
                  </w:r>
                  <w:r>
                    <w:rPr>
                      <w:rFonts w:hint="default" w:ascii="Times New Roman" w:hAnsi="Times New Roman" w:eastAsia="宋体" w:cs="Times New Roman"/>
                      <w:color w:val="000000" w:themeColor="text1"/>
                      <w:spacing w:val="-1"/>
                      <w:sz w:val="21"/>
                      <w:szCs w:val="21"/>
                      <w:lang w:val="en-US" w:eastAsia="zh-CN"/>
                      <w14:textFill>
                        <w14:solidFill>
                          <w14:schemeClr w14:val="tx1"/>
                        </w14:solidFill>
                      </w14:textFill>
                    </w:rPr>
                    <w:t>排污许可证申领、突发环境事件应急预案备案及竣工环境保护验收工作。</w:t>
                  </w:r>
                </w:p>
              </w:tc>
            </w:tr>
          </w:tbl>
          <w:p w14:paraId="365FBE3D">
            <w:pPr>
              <w:pStyle w:val="2"/>
              <w:suppressLineNumbers w:val="0"/>
              <w:spacing w:before="0" w:beforeAutospacing="0" w:afterAutospacing="0"/>
              <w:ind w:left="0" w:leftChars="0" w:right="0" w:firstLine="0" w:firstLineChars="0"/>
              <w:rPr>
                <w:rFonts w:hint="default"/>
                <w:color w:val="000000" w:themeColor="text1"/>
                <w:lang w:val="en-US" w:eastAsia="zh-CN"/>
                <w14:textFill>
                  <w14:solidFill>
                    <w14:schemeClr w14:val="tx1"/>
                  </w14:solidFill>
                </w14:textFill>
              </w:rPr>
            </w:pPr>
          </w:p>
        </w:tc>
      </w:tr>
    </w:tbl>
    <w:p w14:paraId="2EE10DC1">
      <w:pPr>
        <w:rPr>
          <w:rFonts w:hint="eastAsia" w:ascii="黑体" w:hAnsi="宋体" w:eastAsia="黑体" w:cs="Times New Roman"/>
          <w:snapToGrid w:val="0"/>
          <w:color w:val="000000" w:themeColor="text1"/>
          <w:sz w:val="36"/>
          <w:szCs w:val="36"/>
          <w:lang w:val="en-US" w:eastAsia="zh-CN" w:bidi="ar"/>
          <w14:textFill>
            <w14:solidFill>
              <w14:schemeClr w14:val="tx1"/>
            </w14:solidFill>
          </w14:textFill>
        </w:rPr>
        <w:sectPr>
          <w:pgSz w:w="11906" w:h="16838"/>
          <w:pgMar w:top="1440" w:right="1803" w:bottom="1440"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22B748B4">
      <w:pPr>
        <w:pStyle w:val="23"/>
        <w:widowControl/>
        <w:adjustRightInd w:val="0"/>
        <w:snapToGrid w:val="0"/>
        <w:spacing w:before="0" w:beforeAutospacing="0" w:after="0" w:afterAutospacing="0" w:line="12" w:lineRule="auto"/>
        <w:ind w:left="0" w:right="0"/>
        <w:jc w:val="center"/>
        <w:outlineLvl w:val="0"/>
        <w:rPr>
          <w:rFonts w:hint="eastAsia" w:ascii="黑体" w:hAnsi="宋体" w:eastAsia="黑体" w:cs="黑体"/>
          <w:snapToGrid w:val="0"/>
          <w:color w:val="000000" w:themeColor="text1"/>
          <w:sz w:val="30"/>
          <w:szCs w:val="30"/>
          <w:lang w:val="en-US"/>
          <w14:textFill>
            <w14:solidFill>
              <w14:schemeClr w14:val="tx1"/>
            </w14:solidFill>
          </w14:textFill>
        </w:rPr>
      </w:pPr>
    </w:p>
    <w:p w14:paraId="168A9D9C">
      <w:pPr>
        <w:pStyle w:val="23"/>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三、区域环境质量现状、环境保护目标及评价标准</w:t>
      </w:r>
    </w:p>
    <w:tbl>
      <w:tblPr>
        <w:tblStyle w:val="26"/>
        <w:tblW w:w="90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00"/>
        <w:gridCol w:w="8239"/>
      </w:tblGrid>
      <w:tr w14:paraId="2E0C7A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00" w:type="dxa"/>
            <w:tcBorders>
              <w:tl2br w:val="nil"/>
              <w:tr2bl w:val="nil"/>
            </w:tcBorders>
            <w:shd w:val="clear" w:color="auto" w:fill="auto"/>
            <w:vAlign w:val="center"/>
          </w:tcPr>
          <w:p w14:paraId="22D1E4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区域</w:t>
            </w:r>
          </w:p>
          <w:p w14:paraId="6592D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环境</w:t>
            </w:r>
          </w:p>
          <w:p w14:paraId="5FED46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质量</w:t>
            </w:r>
          </w:p>
          <w:p w14:paraId="7CB92B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现状</w:t>
            </w:r>
          </w:p>
        </w:tc>
        <w:tc>
          <w:tcPr>
            <w:tcW w:w="8239" w:type="dxa"/>
            <w:tcBorders>
              <w:tl2br w:val="nil"/>
              <w:tr2bl w:val="nil"/>
            </w:tcBorders>
            <w:shd w:val="clear" w:color="auto" w:fill="auto"/>
            <w:vAlign w:val="center"/>
          </w:tcPr>
          <w:p w14:paraId="73B0B74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3.1 </w:t>
            </w:r>
            <w:r>
              <w:rPr>
                <w:rFonts w:ascii="Times New Roman" w:hAnsi="Times New Roman"/>
                <w:b/>
                <w:color w:val="000000" w:themeColor="text1"/>
                <w:sz w:val="24"/>
                <w:szCs w:val="24"/>
                <w:highlight w:val="none"/>
                <w14:textFill>
                  <w14:solidFill>
                    <w14:schemeClr w14:val="tx1"/>
                  </w14:solidFill>
                </w14:textFill>
              </w:rPr>
              <w:t>环境空气质量现状</w:t>
            </w:r>
          </w:p>
          <w:p w14:paraId="45DC708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24"/>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（1）区域环境空气</w:t>
            </w:r>
            <w:r>
              <w:rPr>
                <w:rFonts w:hint="eastAsia" w:ascii="Times New Roman" w:hAnsi="Times New Roman" w:cs="Times New Roman"/>
                <w:color w:val="000000" w:themeColor="text1"/>
                <w:kern w:val="0"/>
                <w:sz w:val="24"/>
                <w:szCs w:val="24"/>
                <w:lang w:val="en-US" w:eastAsia="zh-CN"/>
                <w14:textFill>
                  <w14:solidFill>
                    <w14:schemeClr w14:val="tx1"/>
                  </w14:solidFill>
                </w14:textFill>
              </w:rPr>
              <w:t>功能区划</w:t>
            </w:r>
          </w:p>
          <w:p w14:paraId="07D6320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负1</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层设备间</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根据大气功能区划，本项目所在地为二类功能区，环境空气质量标准执行《环境空气质量标准》（GB3095-2012）二级标准要求。</w:t>
            </w:r>
          </w:p>
          <w:p w14:paraId="165CE556">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pP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14:textFill>
                  <w14:solidFill>
                    <w14:schemeClr w14:val="tx1"/>
                  </w14:solidFill>
                </w14:textFill>
              </w:rPr>
              <w:t>2</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32"/>
                <w14:textFill>
                  <w14:solidFill>
                    <w14:schemeClr w14:val="tx1"/>
                  </w14:solidFill>
                </w14:textFill>
              </w:rPr>
              <w:t>项目所在区域达标判定</w:t>
            </w:r>
          </w:p>
          <w:p w14:paraId="1D4CAF1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为了解项目所在区域环境质量达标情况，本项目环境空气质量现状根据陕西省生态环境厅发布的《环保快报》</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14:textFill>
                  <w14:solidFill>
                    <w14:schemeClr w14:val="tx1"/>
                  </w14:solidFill>
                </w14:textFill>
              </w:rPr>
              <w:t>年1月</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年12月及1~12月全省环境空气质量状况》中</w:t>
            </w:r>
            <w:r>
              <w:rPr>
                <w:rFonts w:hint="eastAsia" w:ascii="Times New Roman" w:hAnsi="Times New Roman" w:cs="Times New Roman"/>
                <w:color w:val="000000" w:themeColor="text1"/>
                <w:kern w:val="0"/>
                <w:sz w:val="24"/>
                <w:szCs w:val="24"/>
                <w:lang w:eastAsia="zh-CN"/>
                <w14:textFill>
                  <w14:solidFill>
                    <w14:schemeClr w14:val="tx1"/>
                  </w14:solidFill>
                </w14:textFill>
              </w:rPr>
              <w:t>西咸</w:t>
            </w:r>
            <w:r>
              <w:rPr>
                <w:rFonts w:hint="default" w:ascii="Times New Roman" w:hAnsi="Times New Roman" w:cs="Times New Roman"/>
                <w:color w:val="000000" w:themeColor="text1"/>
                <w:kern w:val="0"/>
                <w:sz w:val="24"/>
                <w:szCs w:val="24"/>
                <w14:textFill>
                  <w14:solidFill>
                    <w14:schemeClr w14:val="tx1"/>
                  </w14:solidFill>
                </w14:textFill>
              </w:rPr>
              <w:t>新区202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年1~12月统计数据，项目区主要大气常规因子年均值监测结果见表3-1。</w:t>
            </w:r>
          </w:p>
          <w:p w14:paraId="14665ED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4"/>
                <w:szCs w:val="24"/>
                <w14:textFill>
                  <w14:solidFill>
                    <w14:schemeClr w14:val="tx1"/>
                  </w14:solidFill>
                </w14:textFill>
              </w:rPr>
              <w:t>表</w:t>
            </w:r>
            <w:r>
              <w:rPr>
                <w:rFonts w:hint="default" w:ascii="Times New Roman" w:hAnsi="Times New Roman" w:cs="Times New Roman"/>
                <w:b/>
                <w:bCs/>
                <w:color w:val="000000" w:themeColor="text1"/>
                <w:kern w:val="0"/>
                <w:sz w:val="24"/>
                <w:szCs w:val="24"/>
                <w:lang w:val="en-US" w:eastAsia="zh-CN"/>
                <w14:textFill>
                  <w14:solidFill>
                    <w14:schemeClr w14:val="tx1"/>
                  </w14:solidFill>
                </w14:textFill>
              </w:rPr>
              <w:t>3-1</w:t>
            </w:r>
            <w:r>
              <w:rPr>
                <w:rFonts w:hint="default" w:ascii="Times New Roman" w:hAnsi="Times New Roman" w:cs="Times New Roman"/>
                <w:b/>
                <w:bCs/>
                <w:color w:val="000000" w:themeColor="text1"/>
                <w:kern w:val="0"/>
                <w:sz w:val="24"/>
                <w:szCs w:val="24"/>
                <w14:textFill>
                  <w14:solidFill>
                    <w14:schemeClr w14:val="tx1"/>
                  </w14:solidFill>
                </w14:textFill>
              </w:rPr>
              <w:t xml:space="preserve">  </w:t>
            </w:r>
            <w:r>
              <w:rPr>
                <w:rFonts w:hint="default" w:ascii="Times New Roman" w:hAnsi="Times New Roman" w:cs="Times New Roman"/>
                <w:b/>
                <w:bCs/>
                <w:color w:val="000000" w:themeColor="text1"/>
                <w:kern w:val="0"/>
                <w:sz w:val="24"/>
                <w:szCs w:val="24"/>
                <w:lang w:eastAsia="zh-CN"/>
                <w14:textFill>
                  <w14:solidFill>
                    <w14:schemeClr w14:val="tx1"/>
                  </w14:solidFill>
                </w14:textFill>
              </w:rPr>
              <w:t>西咸</w:t>
            </w:r>
            <w:r>
              <w:rPr>
                <w:rFonts w:hint="default" w:ascii="Times New Roman" w:hAnsi="Times New Roman" w:cs="Times New Roman"/>
                <w:b/>
                <w:bCs/>
                <w:color w:val="000000" w:themeColor="text1"/>
                <w:kern w:val="0"/>
                <w:sz w:val="24"/>
                <w:szCs w:val="24"/>
                <w14:textFill>
                  <w14:solidFill>
                    <w14:schemeClr w14:val="tx1"/>
                  </w14:solidFill>
                </w14:textFill>
              </w:rPr>
              <w:t>新区空气质量现状评价表</w:t>
            </w:r>
          </w:p>
          <w:tbl>
            <w:tblPr>
              <w:tblStyle w:val="26"/>
              <w:tblW w:w="80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058"/>
              <w:gridCol w:w="727"/>
              <w:gridCol w:w="670"/>
              <w:gridCol w:w="1108"/>
              <w:gridCol w:w="922"/>
            </w:tblGrid>
            <w:tr w14:paraId="3D808A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42AD3691">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污染物</w:t>
                  </w:r>
                </w:p>
              </w:tc>
              <w:tc>
                <w:tcPr>
                  <w:tcW w:w="3058" w:type="dxa"/>
                  <w:tcBorders>
                    <w:tl2br w:val="nil"/>
                    <w:tr2bl w:val="nil"/>
                  </w:tcBorders>
                  <w:noWrap/>
                  <w:vAlign w:val="center"/>
                </w:tcPr>
                <w:p w14:paraId="6E8AC12D">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年评价指标</w:t>
                  </w:r>
                </w:p>
              </w:tc>
              <w:tc>
                <w:tcPr>
                  <w:tcW w:w="727" w:type="dxa"/>
                  <w:tcBorders>
                    <w:tl2br w:val="nil"/>
                    <w:tr2bl w:val="nil"/>
                  </w:tcBorders>
                  <w:noWrap/>
                  <w:vAlign w:val="center"/>
                </w:tcPr>
                <w:p w14:paraId="34A2B0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标准值</w:t>
                  </w:r>
                </w:p>
              </w:tc>
              <w:tc>
                <w:tcPr>
                  <w:tcW w:w="670" w:type="dxa"/>
                  <w:tcBorders>
                    <w:tl2br w:val="nil"/>
                    <w:tr2bl w:val="nil"/>
                  </w:tcBorders>
                  <w:noWrap/>
                  <w:vAlign w:val="center"/>
                </w:tcPr>
                <w:p w14:paraId="0953BF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现状浓度</w:t>
                  </w:r>
                </w:p>
              </w:tc>
              <w:tc>
                <w:tcPr>
                  <w:tcW w:w="1108" w:type="dxa"/>
                  <w:tcBorders>
                    <w:tl2br w:val="nil"/>
                    <w:tr2bl w:val="nil"/>
                  </w:tcBorders>
                  <w:noWrap/>
                  <w:vAlign w:val="center"/>
                </w:tcPr>
                <w:p w14:paraId="5BA189E7">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最大浓度占标率</w:t>
                  </w:r>
                </w:p>
              </w:tc>
              <w:tc>
                <w:tcPr>
                  <w:tcW w:w="922" w:type="dxa"/>
                  <w:tcBorders>
                    <w:tl2br w:val="nil"/>
                    <w:tr2bl w:val="nil"/>
                  </w:tcBorders>
                  <w:noWrap/>
                  <w:vAlign w:val="center"/>
                </w:tcPr>
                <w:p w14:paraId="1CC47156">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达标</w:t>
                  </w:r>
                </w:p>
                <w:p w14:paraId="50022071">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情况</w:t>
                  </w:r>
                </w:p>
              </w:tc>
            </w:tr>
            <w:tr w14:paraId="137670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73207D6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SO</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0E274B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7C1113A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60</w:t>
                  </w:r>
                </w:p>
              </w:tc>
              <w:tc>
                <w:tcPr>
                  <w:tcW w:w="670" w:type="dxa"/>
                  <w:tcBorders>
                    <w:tl2br w:val="nil"/>
                    <w:tr2bl w:val="nil"/>
                  </w:tcBorders>
                  <w:noWrap/>
                  <w:vAlign w:val="center"/>
                </w:tcPr>
                <w:p w14:paraId="33AE78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w:t>
                  </w:r>
                </w:p>
              </w:tc>
              <w:tc>
                <w:tcPr>
                  <w:tcW w:w="1108" w:type="dxa"/>
                  <w:tcBorders>
                    <w:tl2br w:val="nil"/>
                    <w:tr2bl w:val="nil"/>
                  </w:tcBorders>
                  <w:noWrap/>
                  <w:vAlign w:val="center"/>
                </w:tcPr>
                <w:p w14:paraId="099393A9">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11.67%</w:t>
                  </w:r>
                </w:p>
              </w:tc>
              <w:tc>
                <w:tcPr>
                  <w:tcW w:w="922" w:type="dxa"/>
                  <w:tcBorders>
                    <w:tl2br w:val="nil"/>
                    <w:tr2bl w:val="nil"/>
                  </w:tcBorders>
                  <w:noWrap/>
                  <w:vAlign w:val="center"/>
                </w:tcPr>
                <w:p w14:paraId="2763032F">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2CEAC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2843417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730F0B5">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1C09CE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40</w:t>
                  </w:r>
                </w:p>
              </w:tc>
              <w:tc>
                <w:tcPr>
                  <w:tcW w:w="670" w:type="dxa"/>
                  <w:tcBorders>
                    <w:tl2br w:val="nil"/>
                    <w:tr2bl w:val="nil"/>
                  </w:tcBorders>
                  <w:noWrap/>
                  <w:vAlign w:val="center"/>
                </w:tcPr>
                <w:p w14:paraId="206C02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37</w:t>
                  </w:r>
                </w:p>
              </w:tc>
              <w:tc>
                <w:tcPr>
                  <w:tcW w:w="1108" w:type="dxa"/>
                  <w:tcBorders>
                    <w:tl2br w:val="nil"/>
                    <w:tr2bl w:val="nil"/>
                  </w:tcBorders>
                  <w:noWrap/>
                  <w:vAlign w:val="center"/>
                </w:tcPr>
                <w:p w14:paraId="4FA0B14E">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92.50%</w:t>
                  </w:r>
                </w:p>
              </w:tc>
              <w:tc>
                <w:tcPr>
                  <w:tcW w:w="922" w:type="dxa"/>
                  <w:tcBorders>
                    <w:tl2br w:val="nil"/>
                    <w:tr2bl w:val="nil"/>
                  </w:tcBorders>
                  <w:noWrap/>
                  <w:vAlign w:val="center"/>
                </w:tcPr>
                <w:p w14:paraId="12C58CF2">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23D4A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6DF731FB">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PM</w:t>
                  </w:r>
                  <w:r>
                    <w:rPr>
                      <w:rFonts w:hint="default" w:ascii="Times New Roman" w:hAnsi="Times New Roman" w:cs="Times New Roman"/>
                      <w:bCs/>
                      <w:color w:val="000000" w:themeColor="text1"/>
                      <w:szCs w:val="21"/>
                      <w:vertAlign w:val="subscript"/>
                      <w14:textFill>
                        <w14:solidFill>
                          <w14:schemeClr w14:val="tx1"/>
                        </w14:solidFill>
                      </w14:textFill>
                    </w:rPr>
                    <w:t>10</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392654F7">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23C405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70</w:t>
                  </w:r>
                </w:p>
              </w:tc>
              <w:tc>
                <w:tcPr>
                  <w:tcW w:w="670" w:type="dxa"/>
                  <w:tcBorders>
                    <w:tl2br w:val="nil"/>
                    <w:tr2bl w:val="nil"/>
                  </w:tcBorders>
                  <w:noWrap/>
                  <w:vAlign w:val="center"/>
                </w:tcPr>
                <w:p w14:paraId="6626A4F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82</w:t>
                  </w:r>
                </w:p>
              </w:tc>
              <w:tc>
                <w:tcPr>
                  <w:tcW w:w="1108" w:type="dxa"/>
                  <w:tcBorders>
                    <w:tl2br w:val="nil"/>
                    <w:tr2bl w:val="nil"/>
                  </w:tcBorders>
                  <w:noWrap/>
                  <w:vAlign w:val="center"/>
                </w:tcPr>
                <w:p w14:paraId="58D4E46D">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117.14%</w:t>
                  </w:r>
                </w:p>
              </w:tc>
              <w:tc>
                <w:tcPr>
                  <w:tcW w:w="922" w:type="dxa"/>
                  <w:tcBorders>
                    <w:tl2br w:val="nil"/>
                    <w:tr2bl w:val="nil"/>
                  </w:tcBorders>
                  <w:noWrap/>
                  <w:vAlign w:val="center"/>
                </w:tcPr>
                <w:p w14:paraId="69FDE6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r w14:paraId="07FC95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0B9A681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PM</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vertAlign w:val="subscript"/>
                      <w:lang w:val="en-US" w:eastAsia="zh-CN"/>
                      <w14:textFill>
                        <w14:solidFill>
                          <w14:schemeClr w14:val="tx1"/>
                        </w14:solidFill>
                      </w14:textFill>
                    </w:rPr>
                    <w:t>5</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6B1AF2CB">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483FB9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35</w:t>
                  </w:r>
                </w:p>
              </w:tc>
              <w:tc>
                <w:tcPr>
                  <w:tcW w:w="670" w:type="dxa"/>
                  <w:tcBorders>
                    <w:tl2br w:val="nil"/>
                    <w:tr2bl w:val="nil"/>
                  </w:tcBorders>
                  <w:noWrap/>
                  <w:vAlign w:val="center"/>
                </w:tcPr>
                <w:p w14:paraId="34D47D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48</w:t>
                  </w:r>
                </w:p>
              </w:tc>
              <w:tc>
                <w:tcPr>
                  <w:tcW w:w="1108" w:type="dxa"/>
                  <w:tcBorders>
                    <w:tl2br w:val="nil"/>
                    <w:tr2bl w:val="nil"/>
                  </w:tcBorders>
                  <w:noWrap/>
                  <w:vAlign w:val="center"/>
                </w:tcPr>
                <w:p w14:paraId="3F082CD1">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137.14%</w:t>
                  </w:r>
                </w:p>
              </w:tc>
              <w:tc>
                <w:tcPr>
                  <w:tcW w:w="922" w:type="dxa"/>
                  <w:tcBorders>
                    <w:tl2br w:val="nil"/>
                    <w:tr2bl w:val="nil"/>
                  </w:tcBorders>
                  <w:noWrap/>
                  <w:vAlign w:val="center"/>
                </w:tcPr>
                <w:p w14:paraId="052ECA17">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r w14:paraId="4A6575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1A0E56CA">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CO（mg/m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99802F3">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第95百分位数日平均质量浓度</w:t>
                  </w:r>
                </w:p>
              </w:tc>
              <w:tc>
                <w:tcPr>
                  <w:tcW w:w="727" w:type="dxa"/>
                  <w:tcBorders>
                    <w:tl2br w:val="nil"/>
                    <w:tr2bl w:val="nil"/>
                  </w:tcBorders>
                  <w:noWrap/>
                  <w:vAlign w:val="center"/>
                </w:tcPr>
                <w:p w14:paraId="060BA2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4.0</w:t>
                  </w:r>
                </w:p>
              </w:tc>
              <w:tc>
                <w:tcPr>
                  <w:tcW w:w="670" w:type="dxa"/>
                  <w:tcBorders>
                    <w:tl2br w:val="nil"/>
                    <w:tr2bl w:val="nil"/>
                  </w:tcBorders>
                  <w:noWrap/>
                  <w:vAlign w:val="center"/>
                </w:tcPr>
                <w:p w14:paraId="75E0DD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1.3</w:t>
                  </w:r>
                </w:p>
              </w:tc>
              <w:tc>
                <w:tcPr>
                  <w:tcW w:w="1108" w:type="dxa"/>
                  <w:tcBorders>
                    <w:tl2br w:val="nil"/>
                    <w:tr2bl w:val="nil"/>
                  </w:tcBorders>
                  <w:noWrap/>
                  <w:vAlign w:val="center"/>
                </w:tcPr>
                <w:p w14:paraId="7A806314">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32.50%</w:t>
                  </w:r>
                </w:p>
              </w:tc>
              <w:tc>
                <w:tcPr>
                  <w:tcW w:w="922" w:type="dxa"/>
                  <w:tcBorders>
                    <w:tl2br w:val="nil"/>
                    <w:tr2bl w:val="nil"/>
                  </w:tcBorders>
                  <w:noWrap/>
                  <w:vAlign w:val="center"/>
                </w:tcPr>
                <w:p w14:paraId="4D045B82">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4CD27A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7D3DC768">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O</w:t>
                  </w:r>
                  <w:r>
                    <w:rPr>
                      <w:rFonts w:hint="default" w:ascii="Times New Roman" w:hAnsi="Times New Roman" w:cs="Times New Roman"/>
                      <w:bCs/>
                      <w:color w:val="000000" w:themeColor="text1"/>
                      <w:szCs w:val="21"/>
                      <w:vertAlign w:val="sub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53A4DE28">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第90百分位数日最大8小时平均质量浓度</w:t>
                  </w:r>
                </w:p>
              </w:tc>
              <w:tc>
                <w:tcPr>
                  <w:tcW w:w="727" w:type="dxa"/>
                  <w:tcBorders>
                    <w:tl2br w:val="nil"/>
                    <w:tr2bl w:val="nil"/>
                  </w:tcBorders>
                  <w:noWrap/>
                  <w:vAlign w:val="center"/>
                </w:tcPr>
                <w:p w14:paraId="5B0397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160</w:t>
                  </w:r>
                </w:p>
              </w:tc>
              <w:tc>
                <w:tcPr>
                  <w:tcW w:w="670" w:type="dxa"/>
                  <w:tcBorders>
                    <w:tl2br w:val="nil"/>
                    <w:tr2bl w:val="nil"/>
                  </w:tcBorders>
                  <w:noWrap/>
                  <w:vAlign w:val="center"/>
                </w:tcPr>
                <w:p w14:paraId="03DBD0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163</w:t>
                  </w:r>
                </w:p>
              </w:tc>
              <w:tc>
                <w:tcPr>
                  <w:tcW w:w="1108" w:type="dxa"/>
                  <w:tcBorders>
                    <w:tl2br w:val="nil"/>
                    <w:tr2bl w:val="nil"/>
                  </w:tcBorders>
                  <w:noWrap/>
                  <w:vAlign w:val="center"/>
                </w:tcPr>
                <w:p w14:paraId="5023504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101.88%</w:t>
                  </w:r>
                </w:p>
              </w:tc>
              <w:tc>
                <w:tcPr>
                  <w:tcW w:w="922" w:type="dxa"/>
                  <w:tcBorders>
                    <w:tl2br w:val="nil"/>
                    <w:tr2bl w:val="nil"/>
                  </w:tcBorders>
                  <w:noWrap/>
                  <w:vAlign w:val="center"/>
                </w:tcPr>
                <w:p w14:paraId="6D312FBD">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bl>
          <w:p w14:paraId="5814C7F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从</w:t>
            </w:r>
            <w:r>
              <w:rPr>
                <w:rFonts w:hint="default" w:ascii="Times New Roman" w:hAnsi="Times New Roman" w:cs="Times New Roman"/>
                <w:color w:val="000000" w:themeColor="text1"/>
                <w:kern w:val="0"/>
                <w:sz w:val="24"/>
                <w14:textFill>
                  <w14:solidFill>
                    <w14:schemeClr w14:val="tx1"/>
                  </w14:solidFill>
                </w14:textFill>
              </w:rPr>
              <w:t>表3</w:t>
            </w:r>
            <w:r>
              <w:rPr>
                <w:rFonts w:hint="default" w:ascii="Times New Roman" w:hAnsi="Times New Roman" w:cs="Times New Roman"/>
                <w:color w:val="000000" w:themeColor="text1"/>
                <w:kern w:val="0"/>
                <w:sz w:val="24"/>
                <w:lang w:val="en-US"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1</w:t>
            </w:r>
            <w:r>
              <w:rPr>
                <w:rFonts w:hint="default" w:ascii="Times New Roman" w:hAnsi="Times New Roman" w:cs="Times New Roman"/>
                <w:bCs/>
                <w:color w:val="000000" w:themeColor="text1"/>
                <w:sz w:val="24"/>
                <w14:textFill>
                  <w14:solidFill>
                    <w14:schemeClr w14:val="tx1"/>
                  </w14:solidFill>
                </w14:textFill>
              </w:rPr>
              <w:t>可知，</w:t>
            </w:r>
            <w:r>
              <w:rPr>
                <w:rFonts w:hint="default" w:ascii="Times New Roman" w:hAnsi="Times New Roman" w:cs="Times New Roman"/>
                <w:bCs/>
                <w:color w:val="000000" w:themeColor="text1"/>
                <w:sz w:val="24"/>
                <w:lang w:eastAsia="zh-CN"/>
                <w14:textFill>
                  <w14:solidFill>
                    <w14:schemeClr w14:val="tx1"/>
                  </w14:solidFill>
                </w14:textFill>
              </w:rPr>
              <w:t>西咸</w:t>
            </w:r>
            <w:r>
              <w:rPr>
                <w:rFonts w:hint="default" w:ascii="Times New Roman" w:hAnsi="Times New Roman" w:cs="Times New Roman"/>
                <w:bCs/>
                <w:color w:val="000000" w:themeColor="text1"/>
                <w:sz w:val="24"/>
                <w14:textFill>
                  <w14:solidFill>
                    <w14:schemeClr w14:val="tx1"/>
                  </w14:solidFill>
                </w14:textFill>
              </w:rPr>
              <w:t>新区</w:t>
            </w:r>
            <w:r>
              <w:rPr>
                <w:rFonts w:hint="default" w:ascii="Times New Roman" w:hAnsi="Times New Roman" w:cs="Times New Roman"/>
                <w:color w:val="000000" w:themeColor="text1"/>
                <w:sz w:val="24"/>
                <w:szCs w:val="24"/>
                <w:highlight w:val="none"/>
                <w14:textFill>
                  <w14:solidFill>
                    <w14:schemeClr w14:val="tx1"/>
                  </w14:solidFill>
                </w14:textFill>
              </w:rPr>
              <w:t>环境空气常规六项指标中，SO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年平均质量浓度、NO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年平均质量浓度、CO</w:t>
            </w:r>
            <w:r>
              <w:rPr>
                <w:rFonts w:hint="default" w:ascii="Times New Roman" w:hAnsi="Times New Roman" w:cs="Times New Roman"/>
                <w:color w:val="000000" w:themeColor="text1"/>
                <w:sz w:val="24"/>
                <w:szCs w:val="24"/>
                <w:highlight w:val="none"/>
                <w:lang w:eastAsia="zh-CN"/>
                <w14:textFill>
                  <w14:solidFill>
                    <w14:schemeClr w14:val="tx1"/>
                  </w14:solidFill>
                </w14:textFill>
              </w:rPr>
              <w:t>的</w:t>
            </w:r>
            <w:r>
              <w:rPr>
                <w:rFonts w:hint="default" w:ascii="Times New Roman" w:hAnsi="Times New Roman" w:cs="Times New Roman"/>
                <w:color w:val="000000" w:themeColor="text1"/>
                <w:sz w:val="24"/>
                <w:szCs w:val="24"/>
                <w:highlight w:val="none"/>
                <w14:textFill>
                  <w14:solidFill>
                    <w14:schemeClr w14:val="tx1"/>
                  </w14:solidFill>
                </w14:textFill>
              </w:rPr>
              <w:t>《环境空气质量标准》（GB3095-2012）二级标准要求，PM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年平均质量浓度、PM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年平均质量浓度、O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日最大8小时平均浓度超过《环境空气质量标准》（GB3095-2012）二级标准要求。</w:t>
            </w:r>
          </w:p>
          <w:p w14:paraId="4A25EE06">
            <w:pPr>
              <w:keepNext w:val="0"/>
              <w:keepLines w:val="0"/>
              <w:pageBreakBefore w:val="0"/>
              <w:widowControl w:val="0"/>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城市环境空气质量达标情况评价指标为SO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、CO、O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，六项污染物年评价指标全部达标即为环境空气质量达标。因此项目所在区域属于不达标区域。</w:t>
            </w:r>
          </w:p>
          <w:p w14:paraId="0672D2E0">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3.2 </w:t>
            </w:r>
            <w:r>
              <w:rPr>
                <w:rFonts w:ascii="Times New Roman" w:hAnsi="Times New Roman"/>
                <w:b/>
                <w:color w:val="000000" w:themeColor="text1"/>
                <w:sz w:val="24"/>
                <w:szCs w:val="24"/>
                <w:highlight w:val="none"/>
                <w14:textFill>
                  <w14:solidFill>
                    <w14:schemeClr w14:val="tx1"/>
                  </w14:solidFill>
                </w14:textFill>
              </w:rPr>
              <w:t>声环境质量现状</w:t>
            </w:r>
          </w:p>
          <w:p w14:paraId="47880A71">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根据《建设项目环境影响报告表编制技术指南》（污染影响类）（试行）厂界周边50m范围内存在声环境保护目标的建设项目，应监测保护目标声环境质量现状并评价达标情况</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根据现场踏勘，本项目所在地50m范围内</w:t>
            </w:r>
            <w:r>
              <w:rPr>
                <w:rFonts w:hint="eastAsia" w:ascii="Times New Roman" w:hAnsi="Times New Roman" w:cs="Times New Roman"/>
                <w:color w:val="000000" w:themeColor="text1"/>
                <w:sz w:val="24"/>
                <w:lang w:val="en-US" w:eastAsia="zh-CN"/>
                <w14:textFill>
                  <w14:solidFill>
                    <w14:schemeClr w14:val="tx1"/>
                  </w14:solidFill>
                </w14:textFill>
              </w:rPr>
              <w:t>噪声</w:t>
            </w:r>
            <w:r>
              <w:rPr>
                <w:rFonts w:hint="default" w:ascii="Times New Roman" w:hAnsi="Times New Roman" w:cs="Times New Roman"/>
                <w:color w:val="000000" w:themeColor="text1"/>
                <w:sz w:val="24"/>
                <w14:textFill>
                  <w14:solidFill>
                    <w14:schemeClr w14:val="tx1"/>
                  </w14:solidFill>
                </w14:textFill>
              </w:rPr>
              <w:t>敏感点</w:t>
            </w:r>
            <w:r>
              <w:rPr>
                <w:rFonts w:hint="eastAsia" w:ascii="Times New Roman" w:hAnsi="Times New Roman" w:cs="Times New Roman"/>
                <w:color w:val="000000" w:themeColor="text1"/>
                <w:sz w:val="24"/>
                <w:lang w:val="en-US" w:eastAsia="zh-CN"/>
                <w14:textFill>
                  <w14:solidFill>
                    <w14:schemeClr w14:val="tx1"/>
                  </w14:solidFill>
                </w14:textFill>
              </w:rPr>
              <w:t>为</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住宅楼</w:t>
            </w:r>
            <w:r>
              <w:rPr>
                <w:rFonts w:hint="eastAsia" w:ascii="Times New Roman" w:hAnsi="Times New Roman" w:cs="Times New Roman"/>
                <w:color w:val="000000" w:themeColor="text1"/>
                <w:sz w:val="24"/>
                <w:lang w:val="en-US" w:eastAsia="zh-CN"/>
                <w14:textFill>
                  <w14:solidFill>
                    <w14:schemeClr w14:val="tx1"/>
                  </w14:solidFill>
                </w14:textFill>
              </w:rPr>
              <w:t>。</w:t>
            </w:r>
          </w:p>
          <w:p w14:paraId="53CFB7EB">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14:textFill>
                  <w14:solidFill>
                    <w14:schemeClr w14:val="tx1"/>
                  </w14:solidFill>
                </w14:textFill>
              </w:rPr>
              <w:t>为了解项目所在地声环境质量状况，</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本次环评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声环境质量现状监测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引用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“秦华热力集团有限公司站点污染源监测--西旅逸都例行监测报告（报告编号：ZZJC-2024-H-01-090，附件5）”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2024年1月30日（处于供暖期）厂界噪声实际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监测数据进行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声环境</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现状评价</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；监测期间，处于供暖期，锅炉房正常运行，</w:t>
            </w:r>
            <w:r>
              <w:rPr>
                <w:rFonts w:hint="eastAsia" w:ascii="Times New Roman" w:hAnsi="Times New Roman" w:cs="Times New Roman"/>
                <w:b w:val="0"/>
                <w:bCs w:val="0"/>
                <w:color w:val="000000" w:themeColor="text1"/>
                <w:sz w:val="24"/>
                <w:szCs w:val="24"/>
                <w14:textFill>
                  <w14:solidFill>
                    <w14:schemeClr w14:val="tx1"/>
                  </w14:solidFill>
                </w14:textFill>
              </w:rPr>
              <w:t>本次声环境监测结果如下表</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3-2</w:t>
            </w:r>
            <w:r>
              <w:rPr>
                <w:rFonts w:hint="eastAsia" w:ascii="Times New Roman" w:hAnsi="Times New Roman" w:cs="Times New Roman"/>
                <w:b w:val="0"/>
                <w:bCs w:val="0"/>
                <w:color w:val="000000" w:themeColor="text1"/>
                <w:sz w:val="24"/>
                <w:szCs w:val="24"/>
                <w14:textFill>
                  <w14:solidFill>
                    <w14:schemeClr w14:val="tx1"/>
                  </w14:solidFill>
                </w14:textFill>
              </w:rPr>
              <w:t>所示</w:t>
            </w:r>
            <w:r>
              <w:rPr>
                <w:rFonts w:hint="eastAsia" w:ascii="Times New Roman" w:hAnsi="Times New Roman" w:cs="Times New Roman"/>
                <w:b w:val="0"/>
                <w:bCs w:val="0"/>
                <w:color w:val="000000" w:themeColor="text1"/>
                <w:sz w:val="24"/>
                <w:szCs w:val="24"/>
                <w:lang w:eastAsia="zh-CN"/>
                <w14:textFill>
                  <w14:solidFill>
                    <w14:schemeClr w14:val="tx1"/>
                  </w14:solidFill>
                </w14:textFill>
              </w:rPr>
              <w:t>。</w:t>
            </w:r>
          </w:p>
          <w:p w14:paraId="2D3041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项目声环境</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监测</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值    单位：dB</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p>
          <w:tbl>
            <w:tblPr>
              <w:tblStyle w:val="26"/>
              <w:tblW w:w="4732" w:type="pct"/>
              <w:jc w:val="center"/>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Layout w:type="fixed"/>
              <w:tblCellMar>
                <w:top w:w="0" w:type="dxa"/>
                <w:left w:w="0" w:type="dxa"/>
                <w:bottom w:w="0" w:type="dxa"/>
                <w:right w:w="0" w:type="dxa"/>
              </w:tblCellMar>
            </w:tblPr>
            <w:tblGrid>
              <w:gridCol w:w="648"/>
              <w:gridCol w:w="2522"/>
              <w:gridCol w:w="1081"/>
              <w:gridCol w:w="1071"/>
              <w:gridCol w:w="1028"/>
              <w:gridCol w:w="1214"/>
            </w:tblGrid>
            <w:tr w14:paraId="4B431E12">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40" w:hRule="atLeast"/>
                <w:jc w:val="center"/>
              </w:trPr>
              <w:tc>
                <w:tcPr>
                  <w:tcW w:w="644" w:type="dxa"/>
                  <w:vMerge w:val="restart"/>
                  <w:tcBorders>
                    <w:tl2br w:val="nil"/>
                    <w:tr2bl w:val="nil"/>
                  </w:tcBorders>
                  <w:noWrap w:val="0"/>
                  <w:vAlign w:val="center"/>
                </w:tcPr>
                <w:p w14:paraId="7E37D614">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序号</w:t>
                  </w:r>
                </w:p>
              </w:tc>
              <w:tc>
                <w:tcPr>
                  <w:tcW w:w="2504" w:type="dxa"/>
                  <w:vMerge w:val="restart"/>
                  <w:tcBorders>
                    <w:tl2br w:val="nil"/>
                    <w:tr2bl w:val="nil"/>
                  </w:tcBorders>
                  <w:noWrap w:val="0"/>
                  <w:vAlign w:val="center"/>
                </w:tcPr>
                <w:p w14:paraId="44472969">
                  <w:pPr>
                    <w:keepNext w:val="0"/>
                    <w:keepLines w:val="0"/>
                    <w:suppressLineNumbers w:val="0"/>
                    <w:spacing w:before="0" w:beforeAutospacing="0" w:after="0" w:afterAutospacing="0"/>
                    <w:ind w:left="0" w:right="0" w:firstLine="1470" w:firstLineChars="700"/>
                    <w:rPr>
                      <w:rFonts w:hint="eastAsia"/>
                      <w:b/>
                      <w:bCs/>
                      <w:color w:val="000000" w:themeColor="text1"/>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17780</wp:posOffset>
                            </wp:positionH>
                            <wp:positionV relativeFrom="paragraph">
                              <wp:posOffset>6985</wp:posOffset>
                            </wp:positionV>
                            <wp:extent cx="1576070" cy="441960"/>
                            <wp:effectExtent l="1270" t="4445" r="3810" b="10795"/>
                            <wp:wrapNone/>
                            <wp:docPr id="3" name="直接连接符 3"/>
                            <wp:cNvGraphicFramePr/>
                            <a:graphic xmlns:a="http://schemas.openxmlformats.org/drawingml/2006/main">
                              <a:graphicData uri="http://schemas.microsoft.com/office/word/2010/wordprocessingShape">
                                <wps:wsp>
                                  <wps:cNvCnPr/>
                                  <wps:spPr>
                                    <a:xfrm>
                                      <a:off x="2064385" y="3133090"/>
                                      <a:ext cx="1576070" cy="44196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4pt;margin-top:0.55pt;height:34.8pt;width:124.1pt;z-index:251664384;mso-width-relative:page;mso-height-relative:page;" filled="f" stroked="t" coordsize="21600,21600" o:gfxdata="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sxkB1AAAAAYBAAAPAAAAAAAAAAEAIAAAACIAAABkcnMvZG93bnJldi54bWxQSwECFAAU&#10;AAAACACHTuJAe/mAwfUBAADCAwAADgAAAAAAAAABACAAAAAjAQAAZHJzL2Uyb0RvYy54bWxQSwUG&#10;AAAAAAYABgBZAQAAigUAAAAA&#10;">
                            <v:fill on="f" focussize="0,0"/>
                            <v:stroke weight="0.5pt" color="#000000 [3213]" miterlimit="8" joinstyle="miter"/>
                            <v:imagedata o:title=""/>
                            <o:lock v:ext="edit" aspectratio="f"/>
                          </v:line>
                        </w:pict>
                      </mc:Fallback>
                    </mc:AlternateContent>
                  </w:r>
                  <w:r>
                    <w:rPr>
                      <w:rFonts w:hint="eastAsia"/>
                      <w:b/>
                      <w:bCs/>
                      <w:color w:val="000000" w:themeColor="text1"/>
                      <w14:textFill>
                        <w14:solidFill>
                          <w14:schemeClr w14:val="tx1"/>
                        </w14:solidFill>
                      </w14:textFill>
                    </w:rPr>
                    <w:t>监测结果</w:t>
                  </w:r>
                </w:p>
                <w:p w14:paraId="6387B7A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监测点位</w:t>
                  </w:r>
                </w:p>
              </w:tc>
              <w:tc>
                <w:tcPr>
                  <w:tcW w:w="2138" w:type="dxa"/>
                  <w:gridSpan w:val="2"/>
                  <w:tcBorders>
                    <w:tl2br w:val="nil"/>
                    <w:tr2bl w:val="nil"/>
                  </w:tcBorders>
                  <w:noWrap w:val="0"/>
                  <w:vAlign w:val="center"/>
                </w:tcPr>
                <w:p w14:paraId="2101EB83">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0"/>
                      <w:sz w:val="21"/>
                      <w:szCs w:val="21"/>
                      <w:lang w:val="en-US" w:eastAsia="zh-CN" w:bidi="ar-SA"/>
                      <w14:textFill>
                        <w14:solidFill>
                          <w14:schemeClr w14:val="tx1"/>
                        </w14:solidFill>
                      </w14:textFill>
                    </w:rPr>
                    <w:t>2024年1月30日</w:t>
                  </w:r>
                </w:p>
              </w:tc>
              <w:tc>
                <w:tcPr>
                  <w:tcW w:w="2227" w:type="dxa"/>
                  <w:gridSpan w:val="2"/>
                  <w:tcBorders>
                    <w:tl2br w:val="nil"/>
                    <w:tr2bl w:val="nil"/>
                  </w:tcBorders>
                  <w:noWrap w:val="0"/>
                  <w:vAlign w:val="top"/>
                </w:tcPr>
                <w:p w14:paraId="5FEBD423">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标准值</w:t>
                  </w:r>
                </w:p>
              </w:tc>
            </w:tr>
            <w:tr w14:paraId="0212B711">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40" w:hRule="atLeast"/>
                <w:jc w:val="center"/>
              </w:trPr>
              <w:tc>
                <w:tcPr>
                  <w:tcW w:w="644" w:type="dxa"/>
                  <w:vMerge w:val="continue"/>
                  <w:tcBorders>
                    <w:tl2br w:val="nil"/>
                    <w:tr2bl w:val="nil"/>
                  </w:tcBorders>
                  <w:noWrap w:val="0"/>
                  <w:vAlign w:val="center"/>
                </w:tcPr>
                <w:p w14:paraId="365179D2">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p>
              </w:tc>
              <w:tc>
                <w:tcPr>
                  <w:tcW w:w="2504" w:type="dxa"/>
                  <w:vMerge w:val="continue"/>
                  <w:tcBorders>
                    <w:tl2br w:val="nil"/>
                    <w:tr2bl w:val="nil"/>
                  </w:tcBorders>
                  <w:noWrap w:val="0"/>
                  <w:vAlign w:val="center"/>
                </w:tcPr>
                <w:p w14:paraId="6425012B">
                  <w:pPr>
                    <w:pStyle w:val="38"/>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p>
              </w:tc>
              <w:tc>
                <w:tcPr>
                  <w:tcW w:w="1074" w:type="dxa"/>
                  <w:tcBorders>
                    <w:tl2br w:val="nil"/>
                    <w:tr2bl w:val="nil"/>
                  </w:tcBorders>
                  <w:noWrap w:val="0"/>
                  <w:vAlign w:val="center"/>
                </w:tcPr>
                <w:p w14:paraId="60710607">
                  <w:pPr>
                    <w:pStyle w:val="38"/>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064" w:type="dxa"/>
                  <w:tcBorders>
                    <w:tl2br w:val="nil"/>
                    <w:tr2bl w:val="nil"/>
                  </w:tcBorders>
                  <w:noWrap w:val="0"/>
                  <w:vAlign w:val="center"/>
                </w:tcPr>
                <w:p w14:paraId="61803029">
                  <w:pPr>
                    <w:pStyle w:val="38"/>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c>
                <w:tcPr>
                  <w:tcW w:w="1021" w:type="dxa"/>
                  <w:tcBorders>
                    <w:tl2br w:val="nil"/>
                    <w:tr2bl w:val="nil"/>
                  </w:tcBorders>
                  <w:noWrap w:val="0"/>
                  <w:vAlign w:val="center"/>
                </w:tcPr>
                <w:p w14:paraId="5B07AA0C">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206" w:type="dxa"/>
                  <w:tcBorders>
                    <w:tl2br w:val="nil"/>
                    <w:tr2bl w:val="nil"/>
                  </w:tcBorders>
                  <w:noWrap w:val="0"/>
                  <w:vAlign w:val="center"/>
                </w:tcPr>
                <w:p w14:paraId="0D2373C8">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r>
            <w:tr w14:paraId="39C5DD88">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40" w:hRule="atLeast"/>
                <w:jc w:val="center"/>
              </w:trPr>
              <w:tc>
                <w:tcPr>
                  <w:tcW w:w="644" w:type="dxa"/>
                  <w:tcBorders>
                    <w:tl2br w:val="nil"/>
                    <w:tr2bl w:val="nil"/>
                  </w:tcBorders>
                  <w:noWrap w:val="0"/>
                  <w:vAlign w:val="center"/>
                </w:tcPr>
                <w:p w14:paraId="4EA8958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1</w:t>
                  </w:r>
                </w:p>
              </w:tc>
              <w:tc>
                <w:tcPr>
                  <w:tcW w:w="2504" w:type="dxa"/>
                  <w:tcBorders>
                    <w:tl2br w:val="nil"/>
                    <w:tr2bl w:val="nil"/>
                  </w:tcBorders>
                  <w:noWrap w:val="0"/>
                  <w:vAlign w:val="center"/>
                </w:tcPr>
                <w:p w14:paraId="559DE5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3#楼</w:t>
                  </w:r>
                </w:p>
              </w:tc>
              <w:tc>
                <w:tcPr>
                  <w:tcW w:w="1074" w:type="dxa"/>
                  <w:tcBorders>
                    <w:tl2br w:val="nil"/>
                    <w:tr2bl w:val="nil"/>
                  </w:tcBorders>
                  <w:noWrap w:val="0"/>
                  <w:vAlign w:val="center"/>
                </w:tcPr>
                <w:p w14:paraId="00ABAC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52</w:t>
                  </w:r>
                </w:p>
              </w:tc>
              <w:tc>
                <w:tcPr>
                  <w:tcW w:w="1064" w:type="dxa"/>
                  <w:tcBorders>
                    <w:tl2br w:val="nil"/>
                    <w:tr2bl w:val="nil"/>
                  </w:tcBorders>
                  <w:noWrap w:val="0"/>
                  <w:vAlign w:val="center"/>
                </w:tcPr>
                <w:p w14:paraId="0B452F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46</w:t>
                  </w:r>
                </w:p>
              </w:tc>
              <w:tc>
                <w:tcPr>
                  <w:tcW w:w="1021" w:type="dxa"/>
                  <w:vMerge w:val="restart"/>
                  <w:tcBorders>
                    <w:tl2br w:val="nil"/>
                    <w:tr2bl w:val="nil"/>
                  </w:tcBorders>
                  <w:noWrap w:val="0"/>
                  <w:vAlign w:val="center"/>
                </w:tcPr>
                <w:p w14:paraId="47FAB753">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60</w:t>
                  </w:r>
                </w:p>
              </w:tc>
              <w:tc>
                <w:tcPr>
                  <w:tcW w:w="1206" w:type="dxa"/>
                  <w:vMerge w:val="restart"/>
                  <w:tcBorders>
                    <w:tl2br w:val="nil"/>
                    <w:tr2bl w:val="nil"/>
                  </w:tcBorders>
                  <w:noWrap w:val="0"/>
                  <w:vAlign w:val="center"/>
                </w:tcPr>
                <w:p w14:paraId="24BD5DB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50</w:t>
                  </w:r>
                </w:p>
              </w:tc>
            </w:tr>
            <w:tr w14:paraId="7B930CC2">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40" w:hRule="atLeast"/>
                <w:jc w:val="center"/>
              </w:trPr>
              <w:tc>
                <w:tcPr>
                  <w:tcW w:w="644" w:type="dxa"/>
                  <w:tcBorders>
                    <w:tl2br w:val="nil"/>
                    <w:tr2bl w:val="nil"/>
                  </w:tcBorders>
                  <w:noWrap w:val="0"/>
                  <w:vAlign w:val="center"/>
                </w:tcPr>
                <w:p w14:paraId="264139E2">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2</w:t>
                  </w:r>
                </w:p>
              </w:tc>
              <w:tc>
                <w:tcPr>
                  <w:tcW w:w="2504" w:type="dxa"/>
                  <w:tcBorders>
                    <w:tl2br w:val="nil"/>
                    <w:tr2bl w:val="nil"/>
                  </w:tcBorders>
                  <w:noWrap w:val="0"/>
                  <w:vAlign w:val="center"/>
                </w:tcPr>
                <w:p w14:paraId="7CB058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4#楼</w:t>
                  </w:r>
                </w:p>
              </w:tc>
              <w:tc>
                <w:tcPr>
                  <w:tcW w:w="1074" w:type="dxa"/>
                  <w:tcBorders>
                    <w:tl2br w:val="nil"/>
                    <w:tr2bl w:val="nil"/>
                  </w:tcBorders>
                  <w:noWrap w:val="0"/>
                  <w:vAlign w:val="center"/>
                </w:tcPr>
                <w:p w14:paraId="3AEF42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53</w:t>
                  </w:r>
                </w:p>
              </w:tc>
              <w:tc>
                <w:tcPr>
                  <w:tcW w:w="1064" w:type="dxa"/>
                  <w:tcBorders>
                    <w:tl2br w:val="nil"/>
                    <w:tr2bl w:val="nil"/>
                  </w:tcBorders>
                  <w:noWrap w:val="0"/>
                  <w:vAlign w:val="center"/>
                </w:tcPr>
                <w:p w14:paraId="7A343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48</w:t>
                  </w:r>
                </w:p>
              </w:tc>
              <w:tc>
                <w:tcPr>
                  <w:tcW w:w="1021" w:type="dxa"/>
                  <w:vMerge w:val="continue"/>
                  <w:tcBorders>
                    <w:tl2br w:val="nil"/>
                    <w:tr2bl w:val="nil"/>
                  </w:tcBorders>
                  <w:noWrap w:val="0"/>
                  <w:vAlign w:val="center"/>
                </w:tcPr>
                <w:p w14:paraId="79F095F1">
                  <w:pPr>
                    <w:pStyle w:val="38"/>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06" w:type="dxa"/>
                  <w:vMerge w:val="continue"/>
                  <w:tcBorders>
                    <w:tl2br w:val="nil"/>
                    <w:tr2bl w:val="nil"/>
                  </w:tcBorders>
                  <w:noWrap w:val="0"/>
                  <w:vAlign w:val="center"/>
                </w:tcPr>
                <w:p w14:paraId="6C262E27">
                  <w:pPr>
                    <w:pStyle w:val="38"/>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r w14:paraId="3ECF482D">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40" w:hRule="atLeast"/>
                <w:jc w:val="center"/>
              </w:trPr>
              <w:tc>
                <w:tcPr>
                  <w:tcW w:w="644" w:type="dxa"/>
                  <w:tcBorders>
                    <w:tl2br w:val="nil"/>
                    <w:tr2bl w:val="nil"/>
                  </w:tcBorders>
                  <w:noWrap w:val="0"/>
                  <w:vAlign w:val="center"/>
                </w:tcPr>
                <w:p w14:paraId="269EDA4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3</w:t>
                  </w:r>
                </w:p>
              </w:tc>
              <w:tc>
                <w:tcPr>
                  <w:tcW w:w="2504" w:type="dxa"/>
                  <w:tcBorders>
                    <w:tl2br w:val="nil"/>
                    <w:tr2bl w:val="nil"/>
                  </w:tcBorders>
                  <w:noWrap w:val="0"/>
                  <w:vAlign w:val="center"/>
                </w:tcPr>
                <w:p w14:paraId="5266DD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5#楼</w:t>
                  </w:r>
                </w:p>
              </w:tc>
              <w:tc>
                <w:tcPr>
                  <w:tcW w:w="1074" w:type="dxa"/>
                  <w:tcBorders>
                    <w:tl2br w:val="nil"/>
                    <w:tr2bl w:val="nil"/>
                  </w:tcBorders>
                  <w:noWrap w:val="0"/>
                  <w:vAlign w:val="center"/>
                </w:tcPr>
                <w:p w14:paraId="2619E4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50</w:t>
                  </w:r>
                </w:p>
              </w:tc>
              <w:tc>
                <w:tcPr>
                  <w:tcW w:w="1064" w:type="dxa"/>
                  <w:tcBorders>
                    <w:tl2br w:val="nil"/>
                    <w:tr2bl w:val="nil"/>
                  </w:tcBorders>
                  <w:noWrap w:val="0"/>
                  <w:vAlign w:val="center"/>
                </w:tcPr>
                <w:p w14:paraId="679EAA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47</w:t>
                  </w:r>
                </w:p>
              </w:tc>
              <w:tc>
                <w:tcPr>
                  <w:tcW w:w="1021" w:type="dxa"/>
                  <w:vMerge w:val="continue"/>
                  <w:tcBorders>
                    <w:tl2br w:val="nil"/>
                    <w:tr2bl w:val="nil"/>
                  </w:tcBorders>
                  <w:noWrap w:val="0"/>
                  <w:vAlign w:val="center"/>
                </w:tcPr>
                <w:p w14:paraId="6C38FD7B">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06" w:type="dxa"/>
                  <w:vMerge w:val="continue"/>
                  <w:tcBorders>
                    <w:tl2br w:val="nil"/>
                    <w:tr2bl w:val="nil"/>
                  </w:tcBorders>
                  <w:noWrap w:val="0"/>
                  <w:vAlign w:val="center"/>
                </w:tcPr>
                <w:p w14:paraId="06F9712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bl>
          <w:p w14:paraId="795510CD">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lang w:val="en-US"/>
                <w14:textFill>
                  <w14:solidFill>
                    <w14:schemeClr w14:val="tx1"/>
                  </w14:solidFill>
                </w14:textFill>
              </w:rPr>
              <w:t>由上表监测结果可知，项目</w:t>
            </w:r>
            <w:r>
              <w:rPr>
                <w:rFonts w:hint="eastAsia" w:ascii="Times New Roman" w:hAnsi="Times New Roman" w:eastAsia="宋体" w:cs="Times New Roman"/>
                <w:color w:val="000000" w:themeColor="text1"/>
                <w:sz w:val="24"/>
                <w:lang w:val="en-US" w:eastAsia="zh-CN"/>
                <w14:textFill>
                  <w14:solidFill>
                    <w14:schemeClr w14:val="tx1"/>
                  </w14:solidFill>
                </w14:textFill>
              </w:rPr>
              <w:t>敏感点</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住宅楼</w:t>
            </w:r>
            <w:r>
              <w:rPr>
                <w:rFonts w:hint="default" w:ascii="Times New Roman" w:hAnsi="Times New Roman" w:eastAsia="宋体" w:cs="Times New Roman"/>
                <w:color w:val="000000" w:themeColor="text1"/>
                <w:sz w:val="24"/>
                <w:lang w:val="en-US"/>
                <w14:textFill>
                  <w14:solidFill>
                    <w14:schemeClr w14:val="tx1"/>
                  </w14:solidFill>
                </w14:textFill>
              </w:rPr>
              <w:t>的昼、夜间声环境均满足《声环境质量标准》（GB3096-2008）中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14:textFill>
                  <w14:solidFill>
                    <w14:schemeClr w14:val="tx1"/>
                  </w14:solidFill>
                </w14:textFill>
              </w:rPr>
              <w:t>类标准要求</w:t>
            </w:r>
            <w:r>
              <w:rPr>
                <w:rFonts w:hint="default" w:ascii="Times New Roman" w:hAnsi="Times New Roman" w:eastAsia="宋体" w:cs="Times New Roman"/>
                <w:color w:val="000000" w:themeColor="text1"/>
                <w:sz w:val="24"/>
                <w14:textFill>
                  <w14:solidFill>
                    <w14:schemeClr w14:val="tx1"/>
                  </w14:solidFill>
                </w14:textFill>
              </w:rPr>
              <w:t>。</w:t>
            </w:r>
          </w:p>
          <w:p w14:paraId="361CDE0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3.3 地下水、土壤环境</w:t>
            </w:r>
          </w:p>
          <w:p w14:paraId="3377697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根据《建设项目环境影响报告表编制技术指南》（污染影响类）中表述：“原则上不开展地下水、土壤环境质量现状调查。建设项目存在土壤、地下水环境污染途径的，应结合污染源、保护目标分布情况开展现状调查以留作背景值”。</w:t>
            </w:r>
          </w:p>
          <w:p w14:paraId="1B95702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本项目</w:t>
            </w:r>
            <w:r>
              <w:rPr>
                <w:rFonts w:hint="eastAsia" w:ascii="Times New Roman" w:hAnsi="Times New Roman" w:cs="Times New Roman"/>
                <w:color w:val="000000" w:themeColor="text1"/>
                <w:sz w:val="24"/>
                <w:lang w:val="en-US" w:eastAsia="zh-CN"/>
                <w14:textFill>
                  <w14:solidFill>
                    <w14:schemeClr w14:val="tx1"/>
                  </w14:solidFill>
                </w14:textFill>
              </w:rPr>
              <w:t>锅炉房位于负1层，建设单位</w:t>
            </w:r>
            <w:r>
              <w:rPr>
                <w:rFonts w:hint="default" w:ascii="Times New Roman" w:hAnsi="Times New Roman" w:cs="Times New Roman"/>
                <w:color w:val="000000" w:themeColor="text1"/>
                <w:sz w:val="24"/>
                <w:lang w:val="en-US" w:eastAsia="zh-CN"/>
                <w14:textFill>
                  <w14:solidFill>
                    <w14:schemeClr w14:val="tx1"/>
                  </w14:solidFill>
                </w14:textFill>
              </w:rPr>
              <w:t>进行</w:t>
            </w:r>
            <w:r>
              <w:rPr>
                <w:rFonts w:hint="eastAsia" w:ascii="Times New Roman" w:hAnsi="Times New Roman" w:cs="Times New Roman"/>
                <w:color w:val="000000" w:themeColor="text1"/>
                <w:sz w:val="24"/>
                <w:lang w:val="en-US" w:eastAsia="zh-CN"/>
                <w14:textFill>
                  <w14:solidFill>
                    <w14:schemeClr w14:val="tx1"/>
                  </w14:solidFill>
                </w14:textFill>
              </w:rPr>
              <w:t>防渗</w:t>
            </w:r>
            <w:r>
              <w:rPr>
                <w:rFonts w:hint="default" w:ascii="Times New Roman" w:hAnsi="Times New Roman" w:cs="Times New Roman"/>
                <w:color w:val="000000" w:themeColor="text1"/>
                <w:sz w:val="24"/>
                <w:lang w:val="en-US" w:eastAsia="zh-CN"/>
                <w14:textFill>
                  <w14:solidFill>
                    <w14:schemeClr w14:val="tx1"/>
                  </w14:solidFill>
                </w14:textFill>
              </w:rPr>
              <w:t>硬化，无</w:t>
            </w:r>
            <w:r>
              <w:rPr>
                <w:rFonts w:hint="eastAsia" w:ascii="Times New Roman" w:hAnsi="Times New Roman" w:cs="Times New Roman"/>
                <w:color w:val="000000" w:themeColor="text1"/>
                <w:sz w:val="24"/>
                <w:lang w:val="en-US" w:eastAsia="zh-CN"/>
                <w14:textFill>
                  <w14:solidFill>
                    <w14:schemeClr w14:val="tx1"/>
                  </w14:solidFill>
                </w14:textFill>
              </w:rPr>
              <w:t>地下水及土壤</w:t>
            </w:r>
            <w:r>
              <w:rPr>
                <w:rFonts w:hint="default" w:ascii="Times New Roman" w:hAnsi="Times New Roman" w:cs="Times New Roman"/>
                <w:color w:val="000000" w:themeColor="text1"/>
                <w:sz w:val="24"/>
                <w:lang w:val="en-US" w:eastAsia="zh-CN"/>
                <w14:textFill>
                  <w14:solidFill>
                    <w14:schemeClr w14:val="tx1"/>
                  </w14:solidFill>
                </w14:textFill>
              </w:rPr>
              <w:t>污染途径。</w:t>
            </w:r>
            <w:r>
              <w:rPr>
                <w:rFonts w:hint="eastAsia" w:ascii="Times New Roman" w:hAnsi="Times New Roman" w:cs="Times New Roman"/>
                <w:color w:val="000000" w:themeColor="text1"/>
                <w:sz w:val="24"/>
                <w:lang w:val="en-US" w:eastAsia="zh-CN"/>
                <w14:textFill>
                  <w14:solidFill>
                    <w14:schemeClr w14:val="tx1"/>
                  </w14:solidFill>
                </w14:textFill>
              </w:rPr>
              <w:t>项目区周边</w:t>
            </w:r>
            <w:r>
              <w:rPr>
                <w:rFonts w:hint="default" w:ascii="Times New Roman" w:hAnsi="Times New Roman" w:cs="Times New Roman"/>
                <w:color w:val="000000" w:themeColor="text1"/>
                <w:sz w:val="24"/>
                <w:lang w:val="en-US" w:eastAsia="zh-CN"/>
                <w14:textFill>
                  <w14:solidFill>
                    <w14:schemeClr w14:val="tx1"/>
                  </w14:solidFill>
                </w14:textFill>
              </w:rPr>
              <w:t>不存在土壤敏感点</w:t>
            </w:r>
            <w:r>
              <w:rPr>
                <w:rFonts w:hint="eastAsia" w:ascii="Times New Roman" w:hAnsi="Times New Roman" w:cs="Times New Roman"/>
                <w:color w:val="000000" w:themeColor="text1"/>
                <w:sz w:val="24"/>
                <w:lang w:val="en-US" w:eastAsia="zh-CN"/>
                <w14:textFill>
                  <w14:solidFill>
                    <w14:schemeClr w14:val="tx1"/>
                  </w14:solidFill>
                </w14:textFill>
              </w:rPr>
              <w:t>和</w:t>
            </w:r>
            <w:r>
              <w:rPr>
                <w:rFonts w:hint="default" w:ascii="Times New Roman" w:hAnsi="Times New Roman" w:cs="Times New Roman"/>
                <w:color w:val="000000" w:themeColor="text1"/>
                <w:sz w:val="24"/>
                <w:lang w:val="en-US" w:eastAsia="zh-CN"/>
                <w14:textFill>
                  <w14:solidFill>
                    <w14:schemeClr w14:val="tx1"/>
                  </w14:solidFill>
                </w14:textFill>
              </w:rPr>
              <w:t>地下水敏感区，因此</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本项目</w:t>
            </w:r>
            <w:r>
              <w:rPr>
                <w:rFonts w:hint="eastAsia" w:ascii="Times New Roman" w:hAnsi="Times New Roman" w:cs="Times New Roman"/>
                <w:color w:val="000000" w:themeColor="text1"/>
                <w:sz w:val="24"/>
                <w:lang w:val="en-US" w:eastAsia="zh-CN"/>
                <w14:textFill>
                  <w14:solidFill>
                    <w14:schemeClr w14:val="tx1"/>
                  </w14:solidFill>
                </w14:textFill>
              </w:rPr>
              <w:t>可</w:t>
            </w:r>
            <w:r>
              <w:rPr>
                <w:rFonts w:hint="default" w:ascii="Times New Roman" w:hAnsi="Times New Roman" w:cs="Times New Roman"/>
                <w:color w:val="000000" w:themeColor="text1"/>
                <w:sz w:val="24"/>
                <w:lang w:val="en-US" w:eastAsia="zh-CN"/>
                <w14:textFill>
                  <w14:solidFill>
                    <w14:schemeClr w14:val="tx1"/>
                  </w14:solidFill>
                </w14:textFill>
              </w:rPr>
              <w:t>不开展土壤环境质量现状调查。</w:t>
            </w:r>
          </w:p>
        </w:tc>
      </w:tr>
      <w:tr w14:paraId="34958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00" w:type="dxa"/>
            <w:tcBorders>
              <w:tl2br w:val="nil"/>
              <w:tr2bl w:val="nil"/>
            </w:tcBorders>
            <w:shd w:val="clear" w:color="auto" w:fill="auto"/>
            <w:vAlign w:val="center"/>
          </w:tcPr>
          <w:p w14:paraId="41FB04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环境</w:t>
            </w:r>
          </w:p>
          <w:p w14:paraId="7AC0B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保护</w:t>
            </w:r>
          </w:p>
          <w:p w14:paraId="2663EF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目标</w:t>
            </w:r>
          </w:p>
        </w:tc>
        <w:tc>
          <w:tcPr>
            <w:tcW w:w="8239" w:type="dxa"/>
            <w:tcBorders>
              <w:tl2br w:val="nil"/>
              <w:tr2bl w:val="nil"/>
            </w:tcBorders>
            <w:shd w:val="clear" w:color="auto" w:fill="auto"/>
            <w:vAlign w:val="center"/>
          </w:tcPr>
          <w:p w14:paraId="35DBC9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1、大气环境：</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本项目厂界外500米范围内主要为居住区、医院、学校等，厂界外500米范围内无自然保护区、风景名胜区</w:t>
            </w: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文化区等保护目标。</w:t>
            </w:r>
          </w:p>
          <w:p w14:paraId="613DA0E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本项目大气</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环境保护目标一览表</w:t>
            </w:r>
          </w:p>
          <w:tbl>
            <w:tblPr>
              <w:tblStyle w:val="26"/>
              <w:tblW w:w="80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559"/>
              <w:gridCol w:w="1605"/>
              <w:gridCol w:w="838"/>
              <w:gridCol w:w="812"/>
              <w:gridCol w:w="638"/>
              <w:gridCol w:w="587"/>
              <w:gridCol w:w="563"/>
              <w:gridCol w:w="837"/>
              <w:gridCol w:w="1007"/>
              <w:gridCol w:w="594"/>
            </w:tblGrid>
            <w:tr w14:paraId="7B9A2D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restart"/>
                  <w:tcBorders>
                    <w:tl2br w:val="nil"/>
                    <w:tr2bl w:val="nil"/>
                  </w:tcBorders>
                  <w:noWrap w:val="0"/>
                  <w:vAlign w:val="center"/>
                </w:tcPr>
                <w:p w14:paraId="2601D26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998" w:type="pct"/>
                  <w:vMerge w:val="restart"/>
                  <w:tcBorders>
                    <w:tl2br w:val="nil"/>
                    <w:tr2bl w:val="nil"/>
                  </w:tcBorders>
                  <w:noWrap w:val="0"/>
                  <w:vAlign w:val="center"/>
                </w:tcPr>
                <w:p w14:paraId="0A3E70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026" w:type="pct"/>
                  <w:gridSpan w:val="2"/>
                  <w:tcBorders>
                    <w:tl2br w:val="nil"/>
                    <w:tr2bl w:val="nil"/>
                  </w:tcBorders>
                  <w:noWrap w:val="0"/>
                  <w:vAlign w:val="center"/>
                </w:tcPr>
                <w:p w14:paraId="15E7549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坐标/m</w:t>
                  </w:r>
                </w:p>
              </w:tc>
              <w:tc>
                <w:tcPr>
                  <w:tcW w:w="396" w:type="pct"/>
                  <w:vMerge w:val="restart"/>
                  <w:tcBorders>
                    <w:tl2br w:val="nil"/>
                    <w:tr2bl w:val="nil"/>
                  </w:tcBorders>
                  <w:noWrap w:val="0"/>
                  <w:vAlign w:val="center"/>
                </w:tcPr>
                <w:p w14:paraId="321FA8E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365" w:type="pct"/>
                  <w:vMerge w:val="restart"/>
                  <w:tcBorders>
                    <w:tl2br w:val="nil"/>
                    <w:tr2bl w:val="nil"/>
                  </w:tcBorders>
                  <w:noWrap w:val="0"/>
                  <w:vAlign w:val="center"/>
                </w:tcPr>
                <w:p w14:paraId="308EC09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2AA1010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内容</w:t>
                  </w:r>
                </w:p>
              </w:tc>
              <w:tc>
                <w:tcPr>
                  <w:tcW w:w="350" w:type="pct"/>
                  <w:vMerge w:val="restart"/>
                  <w:tcBorders>
                    <w:tl2br w:val="nil"/>
                    <w:tr2bl w:val="nil"/>
                  </w:tcBorders>
                  <w:noWrap w:val="0"/>
                  <w:vAlign w:val="center"/>
                </w:tcPr>
                <w:p w14:paraId="195C7EA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环境功能区</w:t>
                  </w:r>
                </w:p>
              </w:tc>
              <w:tc>
                <w:tcPr>
                  <w:tcW w:w="520" w:type="pct"/>
                  <w:vMerge w:val="restart"/>
                  <w:tcBorders>
                    <w:tl2br w:val="nil"/>
                    <w:tr2bl w:val="nil"/>
                  </w:tcBorders>
                  <w:noWrap w:val="0"/>
                  <w:vAlign w:val="center"/>
                </w:tcPr>
                <w:p w14:paraId="3988073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w:t>
                  </w:r>
                  <w:r>
                    <w:rPr>
                      <w:rFonts w:hint="eastAsia" w:ascii="Times New Roman" w:hAnsi="Times New Roman" w:cs="Times New Roman"/>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b/>
                      <w:bCs/>
                      <w:color w:val="000000" w:themeColor="text1"/>
                      <w:sz w:val="21"/>
                      <w:szCs w:val="21"/>
                      <w14:textFill>
                        <w14:solidFill>
                          <w14:schemeClr w14:val="tx1"/>
                        </w14:solidFill>
                      </w14:textFill>
                    </w:rPr>
                    <w:t>方位</w:t>
                  </w:r>
                </w:p>
              </w:tc>
              <w:tc>
                <w:tcPr>
                  <w:tcW w:w="626" w:type="pct"/>
                  <w:vMerge w:val="restart"/>
                  <w:tcBorders>
                    <w:tl2br w:val="nil"/>
                    <w:tr2bl w:val="nil"/>
                  </w:tcBorders>
                  <w:noWrap w:val="0"/>
                  <w:vAlign w:val="center"/>
                </w:tcPr>
                <w:p w14:paraId="32595DD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w:t>
                  </w:r>
                  <w:r>
                    <w:rPr>
                      <w:rFonts w:hint="eastAsia" w:ascii="Times New Roman" w:hAnsi="Times New Roman" w:cs="Times New Roman"/>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b/>
                      <w:bCs/>
                      <w:color w:val="000000" w:themeColor="text1"/>
                      <w:sz w:val="21"/>
                      <w:szCs w:val="21"/>
                      <w14:textFill>
                        <w14:solidFill>
                          <w14:schemeClr w14:val="tx1"/>
                        </w14:solidFill>
                      </w14:textFill>
                    </w:rPr>
                    <w:t>最近距离/m</w:t>
                  </w:r>
                </w:p>
              </w:tc>
              <w:tc>
                <w:tcPr>
                  <w:tcW w:w="369" w:type="pct"/>
                  <w:vMerge w:val="restart"/>
                  <w:tcBorders>
                    <w:tl2br w:val="nil"/>
                    <w:tr2bl w:val="nil"/>
                  </w:tcBorders>
                  <w:noWrap w:val="0"/>
                  <w:vAlign w:val="center"/>
                </w:tcPr>
                <w:p w14:paraId="3811D5F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保护目标</w:t>
                  </w:r>
                </w:p>
              </w:tc>
            </w:tr>
            <w:tr w14:paraId="7BDE4C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443B3CB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98" w:type="pct"/>
                  <w:vMerge w:val="continue"/>
                  <w:tcBorders>
                    <w:tl2br w:val="nil"/>
                    <w:tr2bl w:val="nil"/>
                  </w:tcBorders>
                  <w:noWrap w:val="0"/>
                  <w:vAlign w:val="center"/>
                </w:tcPr>
                <w:p w14:paraId="21E70BC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21" w:type="pct"/>
                  <w:tcBorders>
                    <w:tl2br w:val="nil"/>
                    <w:tr2bl w:val="nil"/>
                  </w:tcBorders>
                  <w:noWrap w:val="0"/>
                  <w:vAlign w:val="center"/>
                </w:tcPr>
                <w:p w14:paraId="14877475">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E（°）</w:t>
                  </w:r>
                </w:p>
              </w:tc>
              <w:tc>
                <w:tcPr>
                  <w:tcW w:w="504" w:type="pct"/>
                  <w:tcBorders>
                    <w:tl2br w:val="nil"/>
                    <w:tr2bl w:val="nil"/>
                  </w:tcBorders>
                  <w:noWrap w:val="0"/>
                  <w:vAlign w:val="center"/>
                </w:tcPr>
                <w:p w14:paraId="1D6147CF">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N（°）</w:t>
                  </w:r>
                </w:p>
              </w:tc>
              <w:tc>
                <w:tcPr>
                  <w:tcW w:w="396" w:type="pct"/>
                  <w:vMerge w:val="continue"/>
                  <w:tcBorders>
                    <w:tl2br w:val="nil"/>
                    <w:tr2bl w:val="nil"/>
                  </w:tcBorders>
                  <w:noWrap w:val="0"/>
                  <w:vAlign w:val="center"/>
                </w:tcPr>
                <w:p w14:paraId="3C7B4AB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65" w:type="pct"/>
                  <w:vMerge w:val="continue"/>
                  <w:tcBorders>
                    <w:tl2br w:val="nil"/>
                    <w:tr2bl w:val="nil"/>
                  </w:tcBorders>
                  <w:noWrap w:val="0"/>
                  <w:vAlign w:val="center"/>
                </w:tcPr>
                <w:p w14:paraId="4FFA467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777BBD6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20" w:type="pct"/>
                  <w:vMerge w:val="continue"/>
                  <w:tcBorders>
                    <w:tl2br w:val="nil"/>
                    <w:tr2bl w:val="nil"/>
                  </w:tcBorders>
                  <w:noWrap w:val="0"/>
                  <w:vAlign w:val="center"/>
                </w:tcPr>
                <w:p w14:paraId="40938E4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626" w:type="pct"/>
                  <w:vMerge w:val="continue"/>
                  <w:tcBorders>
                    <w:tl2br w:val="nil"/>
                    <w:tr2bl w:val="nil"/>
                  </w:tcBorders>
                  <w:noWrap w:val="0"/>
                  <w:vAlign w:val="center"/>
                </w:tcPr>
                <w:p w14:paraId="7C5E539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69" w:type="pct"/>
                  <w:vMerge w:val="continue"/>
                  <w:tcBorders>
                    <w:tl2br w:val="nil"/>
                    <w:tr2bl w:val="nil"/>
                  </w:tcBorders>
                  <w:noWrap w:val="0"/>
                  <w:vAlign w:val="center"/>
                </w:tcPr>
                <w:p w14:paraId="615DD04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r>
            <w:tr w14:paraId="317AF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restart"/>
                  <w:tcBorders>
                    <w:tl2br w:val="nil"/>
                    <w:tr2bl w:val="nil"/>
                  </w:tcBorders>
                  <w:noWrap w:val="0"/>
                  <w:vAlign w:val="center"/>
                </w:tcPr>
                <w:p w14:paraId="0D07D5E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大气环境</w:t>
                  </w:r>
                </w:p>
              </w:tc>
              <w:tc>
                <w:tcPr>
                  <w:tcW w:w="998" w:type="pct"/>
                  <w:tcBorders>
                    <w:tl2br w:val="nil"/>
                    <w:tr2bl w:val="nil"/>
                  </w:tcBorders>
                  <w:shd w:val="clear" w:color="auto" w:fill="auto"/>
                  <w:noWrap w:val="0"/>
                  <w:vAlign w:val="center"/>
                </w:tcPr>
                <w:p w14:paraId="1A0C04A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1#楼</w:t>
                  </w:r>
                </w:p>
              </w:tc>
              <w:tc>
                <w:tcPr>
                  <w:tcW w:w="521" w:type="pct"/>
                  <w:tcBorders>
                    <w:tl2br w:val="nil"/>
                    <w:tr2bl w:val="nil"/>
                  </w:tcBorders>
                  <w:shd w:val="clear" w:color="auto" w:fill="auto"/>
                  <w:noWrap w:val="0"/>
                  <w:vAlign w:val="center"/>
                </w:tcPr>
                <w:p w14:paraId="6816EB8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shd w:val="clear" w:color="auto" w:fill="auto"/>
                  <w:noWrap w:val="0"/>
                  <w:vAlign w:val="center"/>
                </w:tcPr>
                <w:p w14:paraId="0280B6B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shd w:val="clear" w:color="auto" w:fill="auto"/>
                  <w:noWrap w:val="0"/>
                  <w:vAlign w:val="center"/>
                </w:tcPr>
                <w:p w14:paraId="27A198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restart"/>
                  <w:tcBorders>
                    <w:tl2br w:val="nil"/>
                    <w:tr2bl w:val="nil"/>
                  </w:tcBorders>
                  <w:noWrap w:val="0"/>
                  <w:vAlign w:val="center"/>
                </w:tcPr>
                <w:p w14:paraId="78C2688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环境</w:t>
                  </w:r>
                </w:p>
                <w:p w14:paraId="5AA9F5F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空气</w:t>
                  </w:r>
                </w:p>
              </w:tc>
              <w:tc>
                <w:tcPr>
                  <w:tcW w:w="350" w:type="pct"/>
                  <w:vMerge w:val="restart"/>
                  <w:tcBorders>
                    <w:tl2br w:val="nil"/>
                    <w:tr2bl w:val="nil"/>
                  </w:tcBorders>
                  <w:noWrap w:val="0"/>
                  <w:vAlign w:val="center"/>
                </w:tcPr>
                <w:p w14:paraId="4245606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二类环境功能区</w:t>
                  </w:r>
                </w:p>
              </w:tc>
              <w:tc>
                <w:tcPr>
                  <w:tcW w:w="520" w:type="pct"/>
                  <w:tcBorders>
                    <w:tl2br w:val="nil"/>
                    <w:tr2bl w:val="nil"/>
                  </w:tcBorders>
                  <w:noWrap w:val="0"/>
                  <w:vAlign w:val="center"/>
                </w:tcPr>
                <w:p w14:paraId="2DB3D65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N</w:t>
                  </w:r>
                </w:p>
              </w:tc>
              <w:tc>
                <w:tcPr>
                  <w:tcW w:w="626" w:type="pct"/>
                  <w:tcBorders>
                    <w:tl2br w:val="nil"/>
                    <w:tr2bl w:val="nil"/>
                  </w:tcBorders>
                  <w:noWrap w:val="0"/>
                  <w:vAlign w:val="center"/>
                </w:tcPr>
                <w:p w14:paraId="0780A6B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60</w:t>
                  </w:r>
                </w:p>
              </w:tc>
              <w:tc>
                <w:tcPr>
                  <w:tcW w:w="369" w:type="pct"/>
                  <w:vMerge w:val="restart"/>
                  <w:tcBorders>
                    <w:tl2br w:val="nil"/>
                    <w:tr2bl w:val="nil"/>
                  </w:tcBorders>
                  <w:noWrap w:val="0"/>
                  <w:vAlign w:val="center"/>
                </w:tcPr>
                <w:p w14:paraId="7FAE0FD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《环境空气质量标准》中二级标准</w:t>
                  </w:r>
                </w:p>
              </w:tc>
            </w:tr>
            <w:tr w14:paraId="3B33E2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56017CC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shd w:val="clear" w:color="auto" w:fill="auto"/>
                  <w:noWrap w:val="0"/>
                  <w:vAlign w:val="center"/>
                </w:tcPr>
                <w:p w14:paraId="1EBA4D6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2#楼</w:t>
                  </w:r>
                </w:p>
              </w:tc>
              <w:tc>
                <w:tcPr>
                  <w:tcW w:w="521" w:type="pct"/>
                  <w:tcBorders>
                    <w:tl2br w:val="nil"/>
                    <w:tr2bl w:val="nil"/>
                  </w:tcBorders>
                  <w:shd w:val="clear" w:color="auto" w:fill="auto"/>
                  <w:noWrap w:val="0"/>
                  <w:vAlign w:val="center"/>
                </w:tcPr>
                <w:p w14:paraId="134A7AA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shd w:val="clear" w:color="auto" w:fill="auto"/>
                  <w:noWrap w:val="0"/>
                  <w:vAlign w:val="center"/>
                </w:tcPr>
                <w:p w14:paraId="3C55453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shd w:val="clear" w:color="auto" w:fill="auto"/>
                  <w:noWrap w:val="0"/>
                  <w:vAlign w:val="center"/>
                </w:tcPr>
                <w:p w14:paraId="337B6DA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continue"/>
                  <w:tcBorders>
                    <w:tl2br w:val="nil"/>
                    <w:tr2bl w:val="nil"/>
                  </w:tcBorders>
                  <w:noWrap w:val="0"/>
                  <w:vAlign w:val="center"/>
                </w:tcPr>
                <w:p w14:paraId="7B8D076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350" w:type="pct"/>
                  <w:vMerge w:val="continue"/>
                  <w:tcBorders>
                    <w:tl2br w:val="nil"/>
                    <w:tr2bl w:val="nil"/>
                  </w:tcBorders>
                  <w:noWrap w:val="0"/>
                  <w:vAlign w:val="center"/>
                </w:tcPr>
                <w:p w14:paraId="0DC3359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520" w:type="pct"/>
                  <w:tcBorders>
                    <w:tl2br w:val="nil"/>
                    <w:tr2bl w:val="nil"/>
                  </w:tcBorders>
                  <w:shd w:val="clear" w:color="auto" w:fill="auto"/>
                  <w:noWrap w:val="0"/>
                  <w:vAlign w:val="center"/>
                </w:tcPr>
                <w:p w14:paraId="54947BB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N</w:t>
                  </w:r>
                </w:p>
              </w:tc>
              <w:tc>
                <w:tcPr>
                  <w:tcW w:w="626" w:type="pct"/>
                  <w:tcBorders>
                    <w:tl2br w:val="nil"/>
                    <w:tr2bl w:val="nil"/>
                  </w:tcBorders>
                  <w:shd w:val="clear" w:color="auto" w:fill="auto"/>
                  <w:noWrap w:val="0"/>
                  <w:vAlign w:val="center"/>
                </w:tcPr>
                <w:p w14:paraId="473D9D0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60</w:t>
                  </w:r>
                </w:p>
              </w:tc>
              <w:tc>
                <w:tcPr>
                  <w:tcW w:w="369" w:type="pct"/>
                  <w:vMerge w:val="continue"/>
                  <w:tcBorders>
                    <w:tl2br w:val="nil"/>
                    <w:tr2bl w:val="nil"/>
                  </w:tcBorders>
                  <w:noWrap w:val="0"/>
                  <w:vAlign w:val="center"/>
                </w:tcPr>
                <w:p w14:paraId="54F0B96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373C70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4EB6A60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4BCDD0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3#楼</w:t>
                  </w:r>
                </w:p>
              </w:tc>
              <w:tc>
                <w:tcPr>
                  <w:tcW w:w="521" w:type="pct"/>
                  <w:tcBorders>
                    <w:tl2br w:val="nil"/>
                    <w:tr2bl w:val="nil"/>
                  </w:tcBorders>
                  <w:noWrap w:val="0"/>
                  <w:vAlign w:val="center"/>
                </w:tcPr>
                <w:p w14:paraId="714E719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noWrap w:val="0"/>
                  <w:vAlign w:val="center"/>
                </w:tcPr>
                <w:p w14:paraId="35D08A0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noWrap w:val="0"/>
                  <w:vAlign w:val="center"/>
                </w:tcPr>
                <w:p w14:paraId="799347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continue"/>
                  <w:tcBorders>
                    <w:tl2br w:val="nil"/>
                    <w:tr2bl w:val="nil"/>
                  </w:tcBorders>
                  <w:noWrap w:val="0"/>
                  <w:vAlign w:val="center"/>
                </w:tcPr>
                <w:p w14:paraId="1FA73BB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350" w:type="pct"/>
                  <w:vMerge w:val="restart"/>
                  <w:tcBorders>
                    <w:tl2br w:val="nil"/>
                    <w:tr2bl w:val="nil"/>
                  </w:tcBorders>
                  <w:noWrap w:val="0"/>
                  <w:vAlign w:val="center"/>
                </w:tcPr>
                <w:p w14:paraId="0BC0740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520" w:type="pct"/>
                  <w:tcBorders>
                    <w:tl2br w:val="nil"/>
                    <w:tr2bl w:val="nil"/>
                  </w:tcBorders>
                  <w:noWrap w:val="0"/>
                  <w:vAlign w:val="center"/>
                </w:tcPr>
                <w:p w14:paraId="52A14A3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NW</w:t>
                  </w:r>
                </w:p>
              </w:tc>
              <w:tc>
                <w:tcPr>
                  <w:tcW w:w="626" w:type="pct"/>
                  <w:tcBorders>
                    <w:tl2br w:val="nil"/>
                    <w:tr2bl w:val="nil"/>
                  </w:tcBorders>
                  <w:noWrap w:val="0"/>
                  <w:vAlign w:val="center"/>
                </w:tcPr>
                <w:p w14:paraId="212BF2A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20</w:t>
                  </w:r>
                </w:p>
              </w:tc>
              <w:tc>
                <w:tcPr>
                  <w:tcW w:w="369" w:type="pct"/>
                  <w:vMerge w:val="continue"/>
                  <w:tcBorders>
                    <w:tl2br w:val="nil"/>
                    <w:tr2bl w:val="nil"/>
                  </w:tcBorders>
                  <w:noWrap w:val="0"/>
                  <w:vAlign w:val="center"/>
                </w:tcPr>
                <w:p w14:paraId="353960F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6D7FD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1D76ED2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69662BD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4#楼</w:t>
                  </w:r>
                </w:p>
              </w:tc>
              <w:tc>
                <w:tcPr>
                  <w:tcW w:w="521" w:type="pct"/>
                  <w:tcBorders>
                    <w:tl2br w:val="nil"/>
                    <w:tr2bl w:val="nil"/>
                  </w:tcBorders>
                  <w:noWrap w:val="0"/>
                  <w:vAlign w:val="center"/>
                </w:tcPr>
                <w:p w14:paraId="28412AF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noWrap w:val="0"/>
                  <w:vAlign w:val="center"/>
                </w:tcPr>
                <w:p w14:paraId="16B0875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noWrap w:val="0"/>
                  <w:vAlign w:val="center"/>
                </w:tcPr>
                <w:p w14:paraId="43BDB3F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continue"/>
                  <w:tcBorders>
                    <w:tl2br w:val="nil"/>
                    <w:tr2bl w:val="nil"/>
                  </w:tcBorders>
                  <w:noWrap w:val="0"/>
                  <w:vAlign w:val="center"/>
                </w:tcPr>
                <w:p w14:paraId="03F4974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350" w:type="pct"/>
                  <w:vMerge w:val="continue"/>
                  <w:tcBorders>
                    <w:tl2br w:val="nil"/>
                    <w:tr2bl w:val="nil"/>
                  </w:tcBorders>
                  <w:noWrap w:val="0"/>
                  <w:vAlign w:val="center"/>
                </w:tcPr>
                <w:p w14:paraId="37E491A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520" w:type="pct"/>
                  <w:tcBorders>
                    <w:tl2br w:val="nil"/>
                    <w:tr2bl w:val="nil"/>
                  </w:tcBorders>
                  <w:noWrap w:val="0"/>
                  <w:vAlign w:val="center"/>
                </w:tcPr>
                <w:p w14:paraId="4760C6F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w:t>
                  </w:r>
                </w:p>
              </w:tc>
              <w:tc>
                <w:tcPr>
                  <w:tcW w:w="626" w:type="pct"/>
                  <w:tcBorders>
                    <w:tl2br w:val="nil"/>
                    <w:tr2bl w:val="nil"/>
                  </w:tcBorders>
                  <w:noWrap w:val="0"/>
                  <w:vAlign w:val="center"/>
                </w:tcPr>
                <w:p w14:paraId="0EDBBA4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15</w:t>
                  </w:r>
                </w:p>
              </w:tc>
              <w:tc>
                <w:tcPr>
                  <w:tcW w:w="369" w:type="pct"/>
                  <w:vMerge w:val="continue"/>
                  <w:tcBorders>
                    <w:tl2br w:val="nil"/>
                    <w:tr2bl w:val="nil"/>
                  </w:tcBorders>
                  <w:noWrap w:val="0"/>
                  <w:vAlign w:val="center"/>
                </w:tcPr>
                <w:p w14:paraId="64BF711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17DDE2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4F27E7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5DB87C4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5#楼</w:t>
                  </w:r>
                </w:p>
              </w:tc>
              <w:tc>
                <w:tcPr>
                  <w:tcW w:w="521" w:type="pct"/>
                  <w:tcBorders>
                    <w:tl2br w:val="nil"/>
                    <w:tr2bl w:val="nil"/>
                  </w:tcBorders>
                  <w:noWrap w:val="0"/>
                  <w:vAlign w:val="center"/>
                </w:tcPr>
                <w:p w14:paraId="3AA83C2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noWrap w:val="0"/>
                  <w:vAlign w:val="center"/>
                </w:tcPr>
                <w:p w14:paraId="3E733FC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noWrap w:val="0"/>
                  <w:vAlign w:val="center"/>
                </w:tcPr>
                <w:p w14:paraId="28F1AC0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continue"/>
                  <w:tcBorders>
                    <w:tl2br w:val="nil"/>
                    <w:tr2bl w:val="nil"/>
                  </w:tcBorders>
                  <w:noWrap w:val="0"/>
                  <w:vAlign w:val="center"/>
                </w:tcPr>
                <w:p w14:paraId="2A730B0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350" w:type="pct"/>
                  <w:vMerge w:val="continue"/>
                  <w:tcBorders>
                    <w:tl2br w:val="nil"/>
                    <w:tr2bl w:val="nil"/>
                  </w:tcBorders>
                  <w:noWrap w:val="0"/>
                  <w:vAlign w:val="center"/>
                </w:tcPr>
                <w:p w14:paraId="6E02109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p>
              </w:tc>
              <w:tc>
                <w:tcPr>
                  <w:tcW w:w="520" w:type="pct"/>
                  <w:tcBorders>
                    <w:tl2br w:val="nil"/>
                    <w:tr2bl w:val="nil"/>
                  </w:tcBorders>
                  <w:noWrap w:val="0"/>
                  <w:vAlign w:val="center"/>
                </w:tcPr>
                <w:p w14:paraId="1492BBE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E</w:t>
                  </w:r>
                </w:p>
              </w:tc>
              <w:tc>
                <w:tcPr>
                  <w:tcW w:w="626" w:type="pct"/>
                  <w:tcBorders>
                    <w:tl2br w:val="nil"/>
                    <w:tr2bl w:val="nil"/>
                  </w:tcBorders>
                  <w:noWrap w:val="0"/>
                  <w:vAlign w:val="center"/>
                </w:tcPr>
                <w:p w14:paraId="1313A0E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15</w:t>
                  </w:r>
                </w:p>
              </w:tc>
              <w:tc>
                <w:tcPr>
                  <w:tcW w:w="369" w:type="pct"/>
                  <w:vMerge w:val="continue"/>
                  <w:tcBorders>
                    <w:tl2br w:val="nil"/>
                    <w:tr2bl w:val="nil"/>
                  </w:tcBorders>
                  <w:noWrap w:val="0"/>
                  <w:vAlign w:val="center"/>
                </w:tcPr>
                <w:p w14:paraId="09B63E7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66316C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1D931D9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103A838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欣苑小区</w:t>
                  </w:r>
                </w:p>
              </w:tc>
              <w:tc>
                <w:tcPr>
                  <w:tcW w:w="521" w:type="pct"/>
                  <w:tcBorders>
                    <w:tl2br w:val="nil"/>
                    <w:tr2bl w:val="nil"/>
                  </w:tcBorders>
                  <w:noWrap w:val="0"/>
                  <w:vAlign w:val="center"/>
                </w:tcPr>
                <w:p w14:paraId="44872F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108.840658564</w:t>
                  </w:r>
                </w:p>
              </w:tc>
              <w:tc>
                <w:tcPr>
                  <w:tcW w:w="504" w:type="pct"/>
                  <w:tcBorders>
                    <w:tl2br w:val="nil"/>
                    <w:tr2bl w:val="nil"/>
                  </w:tcBorders>
                  <w:noWrap w:val="0"/>
                  <w:vAlign w:val="center"/>
                </w:tcPr>
                <w:p w14:paraId="48D90DB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34.291074091</w:t>
                  </w:r>
                </w:p>
              </w:tc>
              <w:tc>
                <w:tcPr>
                  <w:tcW w:w="396" w:type="pct"/>
                  <w:tcBorders>
                    <w:tl2br w:val="nil"/>
                    <w:tr2bl w:val="nil"/>
                  </w:tcBorders>
                  <w:noWrap w:val="0"/>
                  <w:vAlign w:val="center"/>
                </w:tcPr>
                <w:p w14:paraId="5803555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65" w:type="pct"/>
                  <w:vMerge w:val="continue"/>
                  <w:tcBorders>
                    <w:tl2br w:val="nil"/>
                    <w:tr2bl w:val="nil"/>
                  </w:tcBorders>
                  <w:noWrap w:val="0"/>
                  <w:vAlign w:val="center"/>
                </w:tcPr>
                <w:p w14:paraId="73C35E4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4B55C8E6">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2CE0741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w:t>
                  </w:r>
                </w:p>
              </w:tc>
              <w:tc>
                <w:tcPr>
                  <w:tcW w:w="626" w:type="pct"/>
                  <w:tcBorders>
                    <w:tl2br w:val="nil"/>
                    <w:tr2bl w:val="nil"/>
                  </w:tcBorders>
                  <w:noWrap w:val="0"/>
                  <w:vAlign w:val="center"/>
                </w:tcPr>
                <w:p w14:paraId="5870B06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230</w:t>
                  </w:r>
                </w:p>
              </w:tc>
              <w:tc>
                <w:tcPr>
                  <w:tcW w:w="369" w:type="pct"/>
                  <w:vMerge w:val="continue"/>
                  <w:tcBorders>
                    <w:tl2br w:val="nil"/>
                    <w:tr2bl w:val="nil"/>
                  </w:tcBorders>
                  <w:noWrap w:val="0"/>
                  <w:vAlign w:val="center"/>
                </w:tcPr>
                <w:p w14:paraId="3F68C93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37A714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08421C2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791590F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欣欣家园</w:t>
                  </w:r>
                </w:p>
              </w:tc>
              <w:tc>
                <w:tcPr>
                  <w:tcW w:w="521" w:type="pct"/>
                  <w:tcBorders>
                    <w:tl2br w:val="nil"/>
                    <w:tr2bl w:val="nil"/>
                  </w:tcBorders>
                  <w:noWrap w:val="0"/>
                  <w:vAlign w:val="center"/>
                </w:tcPr>
                <w:p w14:paraId="0168E5F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108.841956753</w:t>
                  </w:r>
                </w:p>
              </w:tc>
              <w:tc>
                <w:tcPr>
                  <w:tcW w:w="504" w:type="pct"/>
                  <w:tcBorders>
                    <w:tl2br w:val="nil"/>
                    <w:tr2bl w:val="nil"/>
                  </w:tcBorders>
                  <w:noWrap w:val="0"/>
                  <w:vAlign w:val="center"/>
                </w:tcPr>
                <w:p w14:paraId="5945AF3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34.291288668</w:t>
                  </w:r>
                </w:p>
              </w:tc>
              <w:tc>
                <w:tcPr>
                  <w:tcW w:w="396" w:type="pct"/>
                  <w:tcBorders>
                    <w:tl2br w:val="nil"/>
                    <w:tr2bl w:val="nil"/>
                  </w:tcBorders>
                  <w:noWrap w:val="0"/>
                  <w:vAlign w:val="center"/>
                </w:tcPr>
                <w:p w14:paraId="2282BC3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65" w:type="pct"/>
                  <w:vMerge w:val="continue"/>
                  <w:tcBorders>
                    <w:tl2br w:val="nil"/>
                    <w:tr2bl w:val="nil"/>
                  </w:tcBorders>
                  <w:noWrap w:val="0"/>
                  <w:vAlign w:val="center"/>
                </w:tcPr>
                <w:p w14:paraId="7DD19F3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093BB33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507600B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w:t>
                  </w:r>
                </w:p>
              </w:tc>
              <w:tc>
                <w:tcPr>
                  <w:tcW w:w="626" w:type="pct"/>
                  <w:tcBorders>
                    <w:tl2br w:val="nil"/>
                    <w:tr2bl w:val="nil"/>
                  </w:tcBorders>
                  <w:noWrap w:val="0"/>
                  <w:vAlign w:val="center"/>
                </w:tcPr>
                <w:p w14:paraId="0C86468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w:t>
                  </w:r>
                </w:p>
              </w:tc>
              <w:tc>
                <w:tcPr>
                  <w:tcW w:w="369" w:type="pct"/>
                  <w:vMerge w:val="continue"/>
                  <w:tcBorders>
                    <w:tl2br w:val="nil"/>
                    <w:tr2bl w:val="nil"/>
                  </w:tcBorders>
                  <w:noWrap w:val="0"/>
                  <w:vAlign w:val="center"/>
                </w:tcPr>
                <w:p w14:paraId="0399E69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6EAD0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2C8DC43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4DBDBAE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嘉宝城上城</w:t>
                  </w:r>
                </w:p>
              </w:tc>
              <w:tc>
                <w:tcPr>
                  <w:tcW w:w="521" w:type="pct"/>
                  <w:tcBorders>
                    <w:tl2br w:val="nil"/>
                    <w:tr2bl w:val="nil"/>
                  </w:tcBorders>
                  <w:noWrap w:val="0"/>
                  <w:vAlign w:val="center"/>
                </w:tcPr>
                <w:p w14:paraId="41A3287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108.845111031</w:t>
                  </w:r>
                </w:p>
              </w:tc>
              <w:tc>
                <w:tcPr>
                  <w:tcW w:w="504" w:type="pct"/>
                  <w:tcBorders>
                    <w:tl2br w:val="nil"/>
                    <w:tr2bl w:val="nil"/>
                  </w:tcBorders>
                  <w:noWrap w:val="0"/>
                  <w:vAlign w:val="center"/>
                </w:tcPr>
                <w:p w14:paraId="22B9FC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34.289357477</w:t>
                  </w:r>
                </w:p>
              </w:tc>
              <w:tc>
                <w:tcPr>
                  <w:tcW w:w="396" w:type="pct"/>
                  <w:tcBorders>
                    <w:tl2br w:val="nil"/>
                    <w:tr2bl w:val="nil"/>
                  </w:tcBorders>
                  <w:noWrap w:val="0"/>
                  <w:vAlign w:val="center"/>
                </w:tcPr>
                <w:p w14:paraId="675D6F6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65" w:type="pct"/>
                  <w:vMerge w:val="continue"/>
                  <w:tcBorders>
                    <w:tl2br w:val="nil"/>
                    <w:tr2bl w:val="nil"/>
                  </w:tcBorders>
                  <w:noWrap w:val="0"/>
                  <w:vAlign w:val="center"/>
                </w:tcPr>
                <w:p w14:paraId="412E138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501AD32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6E538E6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t>
                  </w:r>
                </w:p>
              </w:tc>
              <w:tc>
                <w:tcPr>
                  <w:tcW w:w="626" w:type="pct"/>
                  <w:tcBorders>
                    <w:tl2br w:val="nil"/>
                    <w:tr2bl w:val="nil"/>
                  </w:tcBorders>
                  <w:noWrap w:val="0"/>
                  <w:vAlign w:val="center"/>
                </w:tcPr>
                <w:p w14:paraId="4E49483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123</w:t>
                  </w:r>
                </w:p>
              </w:tc>
              <w:tc>
                <w:tcPr>
                  <w:tcW w:w="369" w:type="pct"/>
                  <w:vMerge w:val="continue"/>
                  <w:tcBorders>
                    <w:tl2br w:val="nil"/>
                    <w:tr2bl w:val="nil"/>
                  </w:tcBorders>
                  <w:noWrap w:val="0"/>
                  <w:vAlign w:val="center"/>
                </w:tcPr>
                <w:p w14:paraId="0A0967C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307643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03C2D02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1C213723">
                  <w:pPr>
                    <w:keepNext w:val="0"/>
                    <w:keepLines w:val="0"/>
                    <w:suppressLineNumbers w:val="0"/>
                    <w:bidi w:val="0"/>
                    <w:spacing w:before="0" w:beforeAutospacing="0" w:after="0" w:afterAutospacing="0"/>
                    <w:ind w:left="0" w:right="0"/>
                    <w:jc w:val="cente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cstheme="minorBidi"/>
                      <w:color w:val="000000" w:themeColor="text1"/>
                      <w:kern w:val="2"/>
                      <w:sz w:val="21"/>
                      <w:szCs w:val="24"/>
                      <w:lang w:val="en-US" w:eastAsia="zh-CN" w:bidi="ar-SA"/>
                      <w14:textFill>
                        <w14:solidFill>
                          <w14:schemeClr w14:val="tx1"/>
                        </w14:solidFill>
                      </w14:textFill>
                    </w:rPr>
                    <w:t>车刘村小区</w:t>
                  </w:r>
                </w:p>
              </w:tc>
              <w:tc>
                <w:tcPr>
                  <w:tcW w:w="521" w:type="pct"/>
                  <w:tcBorders>
                    <w:tl2br w:val="nil"/>
                    <w:tr2bl w:val="nil"/>
                  </w:tcBorders>
                  <w:noWrap w:val="0"/>
                  <w:vAlign w:val="center"/>
                </w:tcPr>
                <w:p w14:paraId="41702FB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108.845170039</w:t>
                  </w:r>
                </w:p>
              </w:tc>
              <w:tc>
                <w:tcPr>
                  <w:tcW w:w="504" w:type="pct"/>
                  <w:tcBorders>
                    <w:tl2br w:val="nil"/>
                    <w:tr2bl w:val="nil"/>
                  </w:tcBorders>
                  <w:noWrap w:val="0"/>
                  <w:vAlign w:val="center"/>
                </w:tcPr>
                <w:p w14:paraId="29087AD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34.291267210</w:t>
                  </w:r>
                </w:p>
              </w:tc>
              <w:tc>
                <w:tcPr>
                  <w:tcW w:w="396" w:type="pct"/>
                  <w:tcBorders>
                    <w:tl2br w:val="nil"/>
                    <w:tr2bl w:val="nil"/>
                  </w:tcBorders>
                  <w:noWrap w:val="0"/>
                  <w:vAlign w:val="center"/>
                </w:tcPr>
                <w:p w14:paraId="1838321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65" w:type="pct"/>
                  <w:vMerge w:val="continue"/>
                  <w:tcBorders>
                    <w:tl2br w:val="nil"/>
                    <w:tr2bl w:val="nil"/>
                  </w:tcBorders>
                  <w:noWrap w:val="0"/>
                  <w:vAlign w:val="center"/>
                </w:tcPr>
                <w:p w14:paraId="66D60E1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1DABE42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5C1F0C6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626" w:type="pct"/>
                  <w:tcBorders>
                    <w:tl2br w:val="nil"/>
                    <w:tr2bl w:val="nil"/>
                  </w:tcBorders>
                  <w:noWrap w:val="0"/>
                  <w:vAlign w:val="center"/>
                </w:tcPr>
                <w:p w14:paraId="36E174F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49</w:t>
                  </w:r>
                </w:p>
              </w:tc>
              <w:tc>
                <w:tcPr>
                  <w:tcW w:w="369" w:type="pct"/>
                  <w:vMerge w:val="continue"/>
                  <w:tcBorders>
                    <w:tl2br w:val="nil"/>
                    <w:tr2bl w:val="nil"/>
                  </w:tcBorders>
                  <w:noWrap w:val="0"/>
                  <w:vAlign w:val="center"/>
                </w:tcPr>
                <w:p w14:paraId="6E99C56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23AB6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61968FB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24E04D1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华美嘉苑小区</w:t>
                  </w:r>
                </w:p>
              </w:tc>
              <w:tc>
                <w:tcPr>
                  <w:tcW w:w="521" w:type="pct"/>
                  <w:tcBorders>
                    <w:tl2br w:val="nil"/>
                    <w:tr2bl w:val="nil"/>
                  </w:tcBorders>
                  <w:noWrap w:val="0"/>
                  <w:vAlign w:val="center"/>
                </w:tcPr>
                <w:p w14:paraId="6849D62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108.846462864</w:t>
                  </w:r>
                </w:p>
              </w:tc>
              <w:tc>
                <w:tcPr>
                  <w:tcW w:w="504" w:type="pct"/>
                  <w:tcBorders>
                    <w:tl2br w:val="nil"/>
                    <w:tr2bl w:val="nil"/>
                  </w:tcBorders>
                  <w:noWrap w:val="0"/>
                  <w:vAlign w:val="center"/>
                </w:tcPr>
                <w:p w14:paraId="1C05D2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34.290816599</w:t>
                  </w:r>
                </w:p>
              </w:tc>
              <w:tc>
                <w:tcPr>
                  <w:tcW w:w="396" w:type="pct"/>
                  <w:tcBorders>
                    <w:tl2br w:val="nil"/>
                    <w:tr2bl w:val="nil"/>
                  </w:tcBorders>
                  <w:noWrap w:val="0"/>
                  <w:vAlign w:val="center"/>
                </w:tcPr>
                <w:p w14:paraId="5B49662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65" w:type="pct"/>
                  <w:vMerge w:val="continue"/>
                  <w:tcBorders>
                    <w:tl2br w:val="nil"/>
                    <w:tr2bl w:val="nil"/>
                  </w:tcBorders>
                  <w:noWrap w:val="0"/>
                  <w:vAlign w:val="center"/>
                </w:tcPr>
                <w:p w14:paraId="189010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6DF3341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7A2622A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626" w:type="pct"/>
                  <w:tcBorders>
                    <w:tl2br w:val="nil"/>
                    <w:tr2bl w:val="nil"/>
                  </w:tcBorders>
                  <w:noWrap w:val="0"/>
                  <w:vAlign w:val="center"/>
                </w:tcPr>
                <w:p w14:paraId="166BF0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200</w:t>
                  </w:r>
                </w:p>
              </w:tc>
              <w:tc>
                <w:tcPr>
                  <w:tcW w:w="369" w:type="pct"/>
                  <w:vMerge w:val="continue"/>
                  <w:tcBorders>
                    <w:tl2br w:val="nil"/>
                    <w:tr2bl w:val="nil"/>
                  </w:tcBorders>
                  <w:noWrap w:val="0"/>
                  <w:vAlign w:val="center"/>
                </w:tcPr>
                <w:p w14:paraId="58B3A43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461FDC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1CE5430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2683AA2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搜宝中心写字楼</w:t>
                  </w:r>
                </w:p>
              </w:tc>
              <w:tc>
                <w:tcPr>
                  <w:tcW w:w="521" w:type="pct"/>
                  <w:tcBorders>
                    <w:tl2br w:val="nil"/>
                    <w:tr2bl w:val="nil"/>
                  </w:tcBorders>
                  <w:noWrap w:val="0"/>
                  <w:vAlign w:val="center"/>
                </w:tcPr>
                <w:p w14:paraId="4EF0D8E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108.843474848</w:t>
                  </w:r>
                </w:p>
              </w:tc>
              <w:tc>
                <w:tcPr>
                  <w:tcW w:w="504" w:type="pct"/>
                  <w:tcBorders>
                    <w:tl2br w:val="nil"/>
                    <w:tr2bl w:val="nil"/>
                  </w:tcBorders>
                  <w:noWrap w:val="0"/>
                  <w:vAlign w:val="center"/>
                </w:tcPr>
                <w:p w14:paraId="3A319AC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34.286929988</w:t>
                  </w:r>
                </w:p>
              </w:tc>
              <w:tc>
                <w:tcPr>
                  <w:tcW w:w="396" w:type="pct"/>
                  <w:tcBorders>
                    <w:tl2br w:val="nil"/>
                    <w:tr2bl w:val="nil"/>
                  </w:tcBorders>
                  <w:noWrap w:val="0"/>
                  <w:vAlign w:val="center"/>
                </w:tcPr>
                <w:p w14:paraId="1885606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写字楼</w:t>
                  </w:r>
                </w:p>
              </w:tc>
              <w:tc>
                <w:tcPr>
                  <w:tcW w:w="365" w:type="pct"/>
                  <w:vMerge w:val="continue"/>
                  <w:tcBorders>
                    <w:tl2br w:val="nil"/>
                    <w:tr2bl w:val="nil"/>
                  </w:tcBorders>
                  <w:noWrap w:val="0"/>
                  <w:vAlign w:val="center"/>
                </w:tcPr>
                <w:p w14:paraId="1F7DF59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3FC9325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78D0F9F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t>
                  </w:r>
                </w:p>
              </w:tc>
              <w:tc>
                <w:tcPr>
                  <w:tcW w:w="626" w:type="pct"/>
                  <w:tcBorders>
                    <w:tl2br w:val="nil"/>
                    <w:tr2bl w:val="nil"/>
                  </w:tcBorders>
                  <w:noWrap w:val="0"/>
                  <w:vAlign w:val="center"/>
                </w:tcPr>
                <w:p w14:paraId="70EA4EA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450</w:t>
                  </w:r>
                </w:p>
              </w:tc>
              <w:tc>
                <w:tcPr>
                  <w:tcW w:w="369" w:type="pct"/>
                  <w:vMerge w:val="continue"/>
                  <w:tcBorders>
                    <w:tl2br w:val="nil"/>
                    <w:tr2bl w:val="nil"/>
                  </w:tcBorders>
                  <w:noWrap w:val="0"/>
                  <w:vAlign w:val="center"/>
                </w:tcPr>
                <w:p w14:paraId="509E8A6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C917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7684FBA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998" w:type="pct"/>
                  <w:tcBorders>
                    <w:tl2br w:val="nil"/>
                    <w:tr2bl w:val="nil"/>
                  </w:tcBorders>
                  <w:noWrap w:val="0"/>
                  <w:vAlign w:val="center"/>
                </w:tcPr>
                <w:p w14:paraId="6CF693B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三桥欢乐港汽配城</w:t>
                  </w:r>
                </w:p>
              </w:tc>
              <w:tc>
                <w:tcPr>
                  <w:tcW w:w="521" w:type="pct"/>
                  <w:tcBorders>
                    <w:tl2br w:val="nil"/>
                    <w:tr2bl w:val="nil"/>
                  </w:tcBorders>
                  <w:noWrap w:val="0"/>
                  <w:vAlign w:val="center"/>
                </w:tcPr>
                <w:p w14:paraId="67C8331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108.847895128</w:t>
                  </w:r>
                </w:p>
              </w:tc>
              <w:tc>
                <w:tcPr>
                  <w:tcW w:w="504" w:type="pct"/>
                  <w:tcBorders>
                    <w:tl2br w:val="nil"/>
                    <w:tr2bl w:val="nil"/>
                  </w:tcBorders>
                  <w:noWrap w:val="0"/>
                  <w:vAlign w:val="center"/>
                </w:tcPr>
                <w:p w14:paraId="75E8B3D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34.290695810</w:t>
                  </w:r>
                </w:p>
              </w:tc>
              <w:tc>
                <w:tcPr>
                  <w:tcW w:w="396" w:type="pct"/>
                  <w:tcBorders>
                    <w:tl2br w:val="nil"/>
                    <w:tr2bl w:val="nil"/>
                  </w:tcBorders>
                  <w:noWrap w:val="0"/>
                  <w:vAlign w:val="center"/>
                </w:tcPr>
                <w:p w14:paraId="027CF83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商混区</w:t>
                  </w:r>
                </w:p>
              </w:tc>
              <w:tc>
                <w:tcPr>
                  <w:tcW w:w="365" w:type="pct"/>
                  <w:vMerge w:val="continue"/>
                  <w:tcBorders>
                    <w:tl2br w:val="nil"/>
                    <w:tr2bl w:val="nil"/>
                  </w:tcBorders>
                  <w:noWrap w:val="0"/>
                  <w:vAlign w:val="center"/>
                </w:tcPr>
                <w:p w14:paraId="325B3FD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6998549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0" w:type="pct"/>
                  <w:tcBorders>
                    <w:tl2br w:val="nil"/>
                    <w:tr2bl w:val="nil"/>
                  </w:tcBorders>
                  <w:noWrap w:val="0"/>
                  <w:vAlign w:val="center"/>
                </w:tcPr>
                <w:p w14:paraId="5AB006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626" w:type="pct"/>
                  <w:tcBorders>
                    <w:tl2br w:val="nil"/>
                    <w:tr2bl w:val="nil"/>
                  </w:tcBorders>
                  <w:noWrap w:val="0"/>
                  <w:vAlign w:val="center"/>
                </w:tcPr>
                <w:p w14:paraId="12E2A7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225</w:t>
                  </w:r>
                </w:p>
              </w:tc>
              <w:tc>
                <w:tcPr>
                  <w:tcW w:w="369" w:type="pct"/>
                  <w:vMerge w:val="continue"/>
                  <w:tcBorders>
                    <w:tl2br w:val="nil"/>
                    <w:tr2bl w:val="nil"/>
                  </w:tcBorders>
                  <w:noWrap w:val="0"/>
                  <w:vAlign w:val="center"/>
                </w:tcPr>
                <w:p w14:paraId="65CEB1F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bl>
          <w:p w14:paraId="117AD4A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2"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2、声环境：</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本项目周边50米范围内声环境保护目标为</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住宅楼</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p>
          <w:p w14:paraId="1C80B846">
            <w:pPr>
              <w:keepNext w:val="0"/>
              <w:keepLines w:val="0"/>
              <w:widowControl/>
              <w:suppressLineNumbers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本项目声</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境保护目标一览表</w:t>
            </w:r>
          </w:p>
          <w:tbl>
            <w:tblPr>
              <w:tblStyle w:val="26"/>
              <w:tblW w:w="80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559"/>
              <w:gridCol w:w="1593"/>
              <w:gridCol w:w="850"/>
              <w:gridCol w:w="812"/>
              <w:gridCol w:w="638"/>
              <w:gridCol w:w="587"/>
              <w:gridCol w:w="563"/>
              <w:gridCol w:w="862"/>
              <w:gridCol w:w="888"/>
              <w:gridCol w:w="688"/>
            </w:tblGrid>
            <w:tr w14:paraId="5C8FA1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restart"/>
                  <w:tcBorders>
                    <w:tl2br w:val="nil"/>
                    <w:tr2bl w:val="nil"/>
                  </w:tcBorders>
                  <w:noWrap w:val="0"/>
                  <w:vAlign w:val="center"/>
                </w:tcPr>
                <w:p w14:paraId="5F86188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990" w:type="pct"/>
                  <w:vMerge w:val="restart"/>
                  <w:tcBorders>
                    <w:tl2br w:val="nil"/>
                    <w:tr2bl w:val="nil"/>
                  </w:tcBorders>
                  <w:noWrap w:val="0"/>
                  <w:vAlign w:val="center"/>
                </w:tcPr>
                <w:p w14:paraId="4D3539F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033" w:type="pct"/>
                  <w:gridSpan w:val="2"/>
                  <w:tcBorders>
                    <w:tl2br w:val="nil"/>
                    <w:tr2bl w:val="nil"/>
                  </w:tcBorders>
                  <w:noWrap w:val="0"/>
                  <w:vAlign w:val="center"/>
                </w:tcPr>
                <w:p w14:paraId="6CFC861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坐标/m</w:t>
                  </w:r>
                </w:p>
              </w:tc>
              <w:tc>
                <w:tcPr>
                  <w:tcW w:w="396" w:type="pct"/>
                  <w:vMerge w:val="restart"/>
                  <w:tcBorders>
                    <w:tl2br w:val="nil"/>
                    <w:tr2bl w:val="nil"/>
                  </w:tcBorders>
                  <w:noWrap w:val="0"/>
                  <w:vAlign w:val="center"/>
                </w:tcPr>
                <w:p w14:paraId="26BEFFC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365" w:type="pct"/>
                  <w:vMerge w:val="restart"/>
                  <w:tcBorders>
                    <w:tl2br w:val="nil"/>
                    <w:tr2bl w:val="nil"/>
                  </w:tcBorders>
                  <w:noWrap w:val="0"/>
                  <w:vAlign w:val="center"/>
                </w:tcPr>
                <w:p w14:paraId="111BB9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353E0C9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内容</w:t>
                  </w:r>
                </w:p>
              </w:tc>
              <w:tc>
                <w:tcPr>
                  <w:tcW w:w="350" w:type="pct"/>
                  <w:vMerge w:val="restart"/>
                  <w:tcBorders>
                    <w:tl2br w:val="nil"/>
                    <w:tr2bl w:val="nil"/>
                  </w:tcBorders>
                  <w:noWrap w:val="0"/>
                  <w:vAlign w:val="center"/>
                </w:tcPr>
                <w:p w14:paraId="45697CD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环境功能区</w:t>
                  </w:r>
                </w:p>
              </w:tc>
              <w:tc>
                <w:tcPr>
                  <w:tcW w:w="536" w:type="pct"/>
                  <w:vMerge w:val="restart"/>
                  <w:tcBorders>
                    <w:tl2br w:val="nil"/>
                    <w:tr2bl w:val="nil"/>
                  </w:tcBorders>
                  <w:noWrap w:val="0"/>
                  <w:vAlign w:val="center"/>
                </w:tcPr>
                <w:p w14:paraId="751880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w:t>
                  </w:r>
                  <w:r>
                    <w:rPr>
                      <w:rFonts w:hint="eastAsia" w:ascii="Times New Roman" w:hAnsi="Times New Roman" w:cs="Times New Roman"/>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b/>
                      <w:bCs/>
                      <w:color w:val="000000" w:themeColor="text1"/>
                      <w:sz w:val="21"/>
                      <w:szCs w:val="21"/>
                      <w14:textFill>
                        <w14:solidFill>
                          <w14:schemeClr w14:val="tx1"/>
                        </w14:solidFill>
                      </w14:textFill>
                    </w:rPr>
                    <w:t>方位</w:t>
                  </w:r>
                </w:p>
              </w:tc>
              <w:tc>
                <w:tcPr>
                  <w:tcW w:w="552" w:type="pct"/>
                  <w:vMerge w:val="restart"/>
                  <w:tcBorders>
                    <w:tl2br w:val="nil"/>
                    <w:tr2bl w:val="nil"/>
                  </w:tcBorders>
                  <w:noWrap w:val="0"/>
                  <w:vAlign w:val="center"/>
                </w:tcPr>
                <w:p w14:paraId="783CEB0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w:t>
                  </w:r>
                  <w:r>
                    <w:rPr>
                      <w:rFonts w:hint="eastAsia" w:ascii="Times New Roman" w:hAnsi="Times New Roman" w:cs="Times New Roman"/>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b/>
                      <w:bCs/>
                      <w:color w:val="000000" w:themeColor="text1"/>
                      <w:sz w:val="21"/>
                      <w:szCs w:val="21"/>
                      <w14:textFill>
                        <w14:solidFill>
                          <w14:schemeClr w14:val="tx1"/>
                        </w14:solidFill>
                      </w14:textFill>
                    </w:rPr>
                    <w:t>最近距离/m</w:t>
                  </w:r>
                </w:p>
              </w:tc>
              <w:tc>
                <w:tcPr>
                  <w:tcW w:w="427" w:type="pct"/>
                  <w:vMerge w:val="restart"/>
                  <w:tcBorders>
                    <w:tl2br w:val="nil"/>
                    <w:tr2bl w:val="nil"/>
                  </w:tcBorders>
                  <w:noWrap w:val="0"/>
                  <w:vAlign w:val="center"/>
                </w:tcPr>
                <w:p w14:paraId="2C8B6D3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保护目标</w:t>
                  </w:r>
                </w:p>
              </w:tc>
            </w:tr>
            <w:tr w14:paraId="061BEE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523FCE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90" w:type="pct"/>
                  <w:vMerge w:val="continue"/>
                  <w:tcBorders>
                    <w:tl2br w:val="nil"/>
                    <w:tr2bl w:val="nil"/>
                  </w:tcBorders>
                  <w:noWrap w:val="0"/>
                  <w:vAlign w:val="center"/>
                </w:tcPr>
                <w:p w14:paraId="5727BFA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28" w:type="pct"/>
                  <w:tcBorders>
                    <w:tl2br w:val="nil"/>
                    <w:tr2bl w:val="nil"/>
                  </w:tcBorders>
                  <w:noWrap w:val="0"/>
                  <w:vAlign w:val="center"/>
                </w:tcPr>
                <w:p w14:paraId="147AE537">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E（°）</w:t>
                  </w:r>
                </w:p>
              </w:tc>
              <w:tc>
                <w:tcPr>
                  <w:tcW w:w="504" w:type="pct"/>
                  <w:tcBorders>
                    <w:tl2br w:val="nil"/>
                    <w:tr2bl w:val="nil"/>
                  </w:tcBorders>
                  <w:noWrap w:val="0"/>
                  <w:vAlign w:val="center"/>
                </w:tcPr>
                <w:p w14:paraId="3762D49C">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N（°）</w:t>
                  </w:r>
                </w:p>
              </w:tc>
              <w:tc>
                <w:tcPr>
                  <w:tcW w:w="396" w:type="pct"/>
                  <w:vMerge w:val="continue"/>
                  <w:tcBorders>
                    <w:tl2br w:val="nil"/>
                    <w:tr2bl w:val="nil"/>
                  </w:tcBorders>
                  <w:noWrap w:val="0"/>
                  <w:vAlign w:val="center"/>
                </w:tcPr>
                <w:p w14:paraId="7692419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65" w:type="pct"/>
                  <w:vMerge w:val="continue"/>
                  <w:tcBorders>
                    <w:tl2br w:val="nil"/>
                    <w:tr2bl w:val="nil"/>
                  </w:tcBorders>
                  <w:noWrap w:val="0"/>
                  <w:vAlign w:val="center"/>
                </w:tcPr>
                <w:p w14:paraId="4351C44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50" w:type="pct"/>
                  <w:vMerge w:val="continue"/>
                  <w:tcBorders>
                    <w:tl2br w:val="nil"/>
                    <w:tr2bl w:val="nil"/>
                  </w:tcBorders>
                  <w:noWrap w:val="0"/>
                  <w:vAlign w:val="center"/>
                </w:tcPr>
                <w:p w14:paraId="29D142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36" w:type="pct"/>
                  <w:vMerge w:val="continue"/>
                  <w:tcBorders>
                    <w:tl2br w:val="nil"/>
                    <w:tr2bl w:val="nil"/>
                  </w:tcBorders>
                  <w:noWrap w:val="0"/>
                  <w:vAlign w:val="center"/>
                </w:tcPr>
                <w:p w14:paraId="3A63DC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52" w:type="pct"/>
                  <w:vMerge w:val="continue"/>
                  <w:tcBorders>
                    <w:tl2br w:val="nil"/>
                    <w:tr2bl w:val="nil"/>
                  </w:tcBorders>
                  <w:noWrap w:val="0"/>
                  <w:vAlign w:val="center"/>
                </w:tcPr>
                <w:p w14:paraId="2F0A19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427" w:type="pct"/>
                  <w:vMerge w:val="continue"/>
                  <w:tcBorders>
                    <w:tl2br w:val="nil"/>
                    <w:tr2bl w:val="nil"/>
                  </w:tcBorders>
                  <w:noWrap w:val="0"/>
                  <w:vAlign w:val="center"/>
                </w:tcPr>
                <w:p w14:paraId="685B5A2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r>
            <w:tr w14:paraId="1FE340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98" w:hRule="atLeast"/>
                <w:jc w:val="center"/>
              </w:trPr>
              <w:tc>
                <w:tcPr>
                  <w:tcW w:w="347" w:type="pct"/>
                  <w:vMerge w:val="restart"/>
                  <w:tcBorders>
                    <w:tl2br w:val="nil"/>
                    <w:tr2bl w:val="nil"/>
                  </w:tcBorders>
                  <w:noWrap w:val="0"/>
                  <w:vAlign w:val="center"/>
                </w:tcPr>
                <w:p w14:paraId="6BCDF8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声环境</w:t>
                  </w:r>
                </w:p>
              </w:tc>
              <w:tc>
                <w:tcPr>
                  <w:tcW w:w="990" w:type="pct"/>
                  <w:tcBorders>
                    <w:tl2br w:val="nil"/>
                    <w:tr2bl w:val="nil"/>
                  </w:tcBorders>
                  <w:noWrap w:val="0"/>
                  <w:vAlign w:val="center"/>
                </w:tcPr>
                <w:p w14:paraId="089B2C1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3#楼</w:t>
                  </w:r>
                </w:p>
              </w:tc>
              <w:tc>
                <w:tcPr>
                  <w:tcW w:w="528" w:type="pct"/>
                  <w:tcBorders>
                    <w:tl2br w:val="nil"/>
                    <w:tr2bl w:val="nil"/>
                  </w:tcBorders>
                  <w:noWrap w:val="0"/>
                  <w:vAlign w:val="center"/>
                </w:tcPr>
                <w:p w14:paraId="5157DB5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noWrap w:val="0"/>
                  <w:vAlign w:val="center"/>
                </w:tcPr>
                <w:p w14:paraId="15318B9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noWrap w:val="0"/>
                  <w:vAlign w:val="center"/>
                </w:tcPr>
                <w:p w14:paraId="3F6732D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restart"/>
                  <w:tcBorders>
                    <w:tl2br w:val="nil"/>
                    <w:tr2bl w:val="nil"/>
                  </w:tcBorders>
                  <w:noWrap w:val="0"/>
                  <w:vAlign w:val="center"/>
                </w:tcPr>
                <w:p w14:paraId="641144A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声环境</w:t>
                  </w:r>
                </w:p>
              </w:tc>
              <w:tc>
                <w:tcPr>
                  <w:tcW w:w="350" w:type="pct"/>
                  <w:vMerge w:val="restart"/>
                  <w:tcBorders>
                    <w:tl2br w:val="nil"/>
                    <w:tr2bl w:val="nil"/>
                  </w:tcBorders>
                  <w:noWrap w:val="0"/>
                  <w:vAlign w:val="center"/>
                </w:tcPr>
                <w:p w14:paraId="3F39934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二类</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环境功能区</w:t>
                  </w:r>
                </w:p>
              </w:tc>
              <w:tc>
                <w:tcPr>
                  <w:tcW w:w="536" w:type="pct"/>
                  <w:tcBorders>
                    <w:tl2br w:val="nil"/>
                    <w:tr2bl w:val="nil"/>
                  </w:tcBorders>
                  <w:noWrap w:val="0"/>
                  <w:vAlign w:val="center"/>
                </w:tcPr>
                <w:p w14:paraId="37D178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SW</w:t>
                  </w:r>
                </w:p>
              </w:tc>
              <w:tc>
                <w:tcPr>
                  <w:tcW w:w="552" w:type="pct"/>
                  <w:tcBorders>
                    <w:tl2br w:val="nil"/>
                    <w:tr2bl w:val="nil"/>
                  </w:tcBorders>
                  <w:noWrap w:val="0"/>
                  <w:vAlign w:val="center"/>
                </w:tcPr>
                <w:p w14:paraId="562C34F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20</w:t>
                  </w:r>
                </w:p>
              </w:tc>
              <w:tc>
                <w:tcPr>
                  <w:tcW w:w="427" w:type="pct"/>
                  <w:vMerge w:val="restart"/>
                  <w:tcBorders>
                    <w:tl2br w:val="nil"/>
                    <w:tr2bl w:val="nil"/>
                  </w:tcBorders>
                  <w:noWrap w:val="0"/>
                  <w:vAlign w:val="center"/>
                </w:tcPr>
                <w:p w14:paraId="6EFDB9D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《声环境质量标准》（GB3096-2008）中</w:t>
                  </w:r>
                  <w:r>
                    <w:rPr>
                      <w:rFonts w:hint="default" w:ascii="Times New Roman" w:hAnsi="Times New Roman" w:cs="Times New Roman"/>
                      <w:color w:val="000000" w:themeColor="text1"/>
                      <w:sz w:val="21"/>
                      <w:lang w:val="en-US" w:eastAsia="zh-CN"/>
                      <w14:textFill>
                        <w14:solidFill>
                          <w14:schemeClr w14:val="tx1"/>
                        </w14:solidFill>
                      </w14:textFill>
                    </w:rPr>
                    <w:t>2</w:t>
                  </w:r>
                  <w:r>
                    <w:rPr>
                      <w:rFonts w:hint="default" w:ascii="Times New Roman" w:hAnsi="Times New Roman" w:cs="Times New Roman"/>
                      <w:color w:val="000000" w:themeColor="text1"/>
                      <w:sz w:val="21"/>
                      <w14:textFill>
                        <w14:solidFill>
                          <w14:schemeClr w14:val="tx1"/>
                        </w14:solidFill>
                      </w14:textFill>
                    </w:rPr>
                    <w:t>类标准要求</w:t>
                  </w:r>
                </w:p>
              </w:tc>
            </w:tr>
            <w:tr w14:paraId="3F6EB2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79CBE40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90" w:type="pct"/>
                  <w:tcBorders>
                    <w:tl2br w:val="nil"/>
                    <w:tr2bl w:val="nil"/>
                  </w:tcBorders>
                  <w:noWrap w:val="0"/>
                  <w:vAlign w:val="center"/>
                </w:tcPr>
                <w:p w14:paraId="04A5B1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4#楼</w:t>
                  </w:r>
                </w:p>
              </w:tc>
              <w:tc>
                <w:tcPr>
                  <w:tcW w:w="528" w:type="pct"/>
                  <w:tcBorders>
                    <w:tl2br w:val="nil"/>
                    <w:tr2bl w:val="nil"/>
                  </w:tcBorders>
                  <w:noWrap w:val="0"/>
                  <w:vAlign w:val="center"/>
                </w:tcPr>
                <w:p w14:paraId="774A726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noWrap w:val="0"/>
                  <w:vAlign w:val="center"/>
                </w:tcPr>
                <w:p w14:paraId="796F4A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noWrap w:val="0"/>
                  <w:vAlign w:val="center"/>
                </w:tcPr>
                <w:p w14:paraId="04BC60C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continue"/>
                  <w:tcBorders>
                    <w:tl2br w:val="nil"/>
                    <w:tr2bl w:val="nil"/>
                  </w:tcBorders>
                  <w:noWrap w:val="0"/>
                  <w:vAlign w:val="center"/>
                </w:tcPr>
                <w:p w14:paraId="600F510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0" w:type="pct"/>
                  <w:vMerge w:val="continue"/>
                  <w:tcBorders>
                    <w:tl2br w:val="nil"/>
                    <w:tr2bl w:val="nil"/>
                  </w:tcBorders>
                  <w:noWrap w:val="0"/>
                  <w:vAlign w:val="center"/>
                </w:tcPr>
                <w:p w14:paraId="14D18B8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36" w:type="pct"/>
                  <w:tcBorders>
                    <w:tl2br w:val="nil"/>
                    <w:tr2bl w:val="nil"/>
                  </w:tcBorders>
                  <w:noWrap w:val="0"/>
                  <w:vAlign w:val="center"/>
                </w:tcPr>
                <w:p w14:paraId="34A1469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w:t>
                  </w:r>
                </w:p>
              </w:tc>
              <w:tc>
                <w:tcPr>
                  <w:tcW w:w="552" w:type="pct"/>
                  <w:tcBorders>
                    <w:tl2br w:val="nil"/>
                    <w:tr2bl w:val="nil"/>
                  </w:tcBorders>
                  <w:noWrap w:val="0"/>
                  <w:vAlign w:val="center"/>
                </w:tcPr>
                <w:p w14:paraId="3064424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15</w:t>
                  </w:r>
                </w:p>
              </w:tc>
              <w:tc>
                <w:tcPr>
                  <w:tcW w:w="427" w:type="pct"/>
                  <w:vMerge w:val="continue"/>
                  <w:tcBorders>
                    <w:tl2br w:val="nil"/>
                    <w:tr2bl w:val="nil"/>
                  </w:tcBorders>
                  <w:noWrap w:val="0"/>
                  <w:vAlign w:val="center"/>
                </w:tcPr>
                <w:p w14:paraId="55FC017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14:textFill>
                        <w14:solidFill>
                          <w14:schemeClr w14:val="tx1"/>
                        </w14:solidFill>
                      </w14:textFill>
                    </w:rPr>
                  </w:pPr>
                </w:p>
              </w:tc>
            </w:tr>
            <w:tr w14:paraId="7A720E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7960D7D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90" w:type="pct"/>
                  <w:tcBorders>
                    <w:tl2br w:val="nil"/>
                    <w:tr2bl w:val="nil"/>
                  </w:tcBorders>
                  <w:noWrap w:val="0"/>
                  <w:vAlign w:val="center"/>
                </w:tcPr>
                <w:p w14:paraId="1F6F67B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未央经典</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5#楼</w:t>
                  </w:r>
                </w:p>
              </w:tc>
              <w:tc>
                <w:tcPr>
                  <w:tcW w:w="528" w:type="pct"/>
                  <w:tcBorders>
                    <w:tl2br w:val="nil"/>
                    <w:tr2bl w:val="nil"/>
                  </w:tcBorders>
                  <w:noWrap w:val="0"/>
                  <w:vAlign w:val="center"/>
                </w:tcPr>
                <w:p w14:paraId="0B22A8D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108.843861121</w:t>
                  </w:r>
                </w:p>
              </w:tc>
              <w:tc>
                <w:tcPr>
                  <w:tcW w:w="504" w:type="pct"/>
                  <w:tcBorders>
                    <w:tl2br w:val="nil"/>
                    <w:tr2bl w:val="nil"/>
                  </w:tcBorders>
                  <w:noWrap w:val="0"/>
                  <w:vAlign w:val="center"/>
                </w:tcPr>
                <w:p w14:paraId="29BB1BF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34.291131759</w:t>
                  </w:r>
                </w:p>
              </w:tc>
              <w:tc>
                <w:tcPr>
                  <w:tcW w:w="396" w:type="pct"/>
                  <w:tcBorders>
                    <w:tl2br w:val="nil"/>
                    <w:tr2bl w:val="nil"/>
                  </w:tcBorders>
                  <w:noWrap w:val="0"/>
                  <w:vAlign w:val="center"/>
                </w:tcPr>
                <w:p w14:paraId="224E9E6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小区</w:t>
                  </w:r>
                </w:p>
              </w:tc>
              <w:tc>
                <w:tcPr>
                  <w:tcW w:w="365" w:type="pct"/>
                  <w:vMerge w:val="continue"/>
                  <w:tcBorders>
                    <w:tl2br w:val="nil"/>
                    <w:tr2bl w:val="nil"/>
                  </w:tcBorders>
                  <w:noWrap w:val="0"/>
                  <w:vAlign w:val="center"/>
                </w:tcPr>
                <w:p w14:paraId="314CF34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50" w:type="pct"/>
                  <w:vMerge w:val="continue"/>
                  <w:tcBorders>
                    <w:tl2br w:val="nil"/>
                    <w:tr2bl w:val="nil"/>
                  </w:tcBorders>
                  <w:noWrap w:val="0"/>
                  <w:vAlign w:val="center"/>
                </w:tcPr>
                <w:p w14:paraId="4BA8562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36" w:type="pct"/>
                  <w:tcBorders>
                    <w:tl2br w:val="nil"/>
                    <w:tr2bl w:val="nil"/>
                  </w:tcBorders>
                  <w:noWrap w:val="0"/>
                  <w:vAlign w:val="center"/>
                </w:tcPr>
                <w:p w14:paraId="2F98F4C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E</w:t>
                  </w:r>
                </w:p>
              </w:tc>
              <w:tc>
                <w:tcPr>
                  <w:tcW w:w="552" w:type="pct"/>
                  <w:tcBorders>
                    <w:tl2br w:val="nil"/>
                    <w:tr2bl w:val="nil"/>
                  </w:tcBorders>
                  <w:noWrap w:val="0"/>
                  <w:vAlign w:val="center"/>
                </w:tcPr>
                <w:p w14:paraId="37D440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15</w:t>
                  </w:r>
                </w:p>
              </w:tc>
              <w:tc>
                <w:tcPr>
                  <w:tcW w:w="427" w:type="pct"/>
                  <w:vMerge w:val="continue"/>
                  <w:tcBorders>
                    <w:tl2br w:val="nil"/>
                    <w:tr2bl w:val="nil"/>
                  </w:tcBorders>
                  <w:noWrap w:val="0"/>
                  <w:vAlign w:val="center"/>
                </w:tcPr>
                <w:p w14:paraId="632087D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14:textFill>
                        <w14:solidFill>
                          <w14:schemeClr w14:val="tx1"/>
                        </w14:solidFill>
                      </w14:textFill>
                    </w:rPr>
                  </w:pPr>
                </w:p>
              </w:tc>
            </w:tr>
            <w:tr w14:paraId="34988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2B67144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90" w:type="pct"/>
                  <w:tcBorders>
                    <w:tl2br w:val="nil"/>
                    <w:tr2bl w:val="nil"/>
                  </w:tcBorders>
                  <w:shd w:val="clear" w:color="auto" w:fill="auto"/>
                  <w:noWrap w:val="0"/>
                  <w:vAlign w:val="center"/>
                </w:tcPr>
                <w:p w14:paraId="37431DD6">
                  <w:pPr>
                    <w:keepNext w:val="0"/>
                    <w:keepLines w:val="0"/>
                    <w:suppressLineNumbers w:val="0"/>
                    <w:bidi w:val="0"/>
                    <w:spacing w:before="0" w:beforeAutospacing="0" w:after="0" w:afterAutospacing="0"/>
                    <w:ind w:left="0" w:leftChars="0" w:right="0" w:rightChars="0"/>
                    <w:jc w:val="cente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车刘村小区11#楼</w:t>
                  </w:r>
                </w:p>
              </w:tc>
              <w:tc>
                <w:tcPr>
                  <w:tcW w:w="528" w:type="pct"/>
                  <w:tcBorders>
                    <w:tl2br w:val="nil"/>
                    <w:tr2bl w:val="nil"/>
                  </w:tcBorders>
                  <w:shd w:val="clear" w:color="auto" w:fill="auto"/>
                  <w:noWrap w:val="0"/>
                  <w:vAlign w:val="center"/>
                </w:tcPr>
                <w:p w14:paraId="6A46FCD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108.845170039</w:t>
                  </w:r>
                </w:p>
              </w:tc>
              <w:tc>
                <w:tcPr>
                  <w:tcW w:w="504" w:type="pct"/>
                  <w:tcBorders>
                    <w:tl2br w:val="nil"/>
                    <w:tr2bl w:val="nil"/>
                  </w:tcBorders>
                  <w:shd w:val="clear" w:color="auto" w:fill="auto"/>
                  <w:noWrap w:val="0"/>
                  <w:vAlign w:val="center"/>
                </w:tcPr>
                <w:p w14:paraId="155F70A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34.291267210</w:t>
                  </w:r>
                </w:p>
              </w:tc>
              <w:tc>
                <w:tcPr>
                  <w:tcW w:w="396" w:type="pct"/>
                  <w:tcBorders>
                    <w:tl2br w:val="nil"/>
                    <w:tr2bl w:val="nil"/>
                  </w:tcBorders>
                  <w:shd w:val="clear" w:color="auto" w:fill="auto"/>
                  <w:noWrap w:val="0"/>
                  <w:vAlign w:val="center"/>
                </w:tcPr>
                <w:p w14:paraId="405989A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65" w:type="pct"/>
                  <w:vMerge w:val="continue"/>
                  <w:tcBorders>
                    <w:tl2br w:val="nil"/>
                    <w:tr2bl w:val="nil"/>
                  </w:tcBorders>
                  <w:shd w:val="clear" w:color="auto" w:fill="auto"/>
                  <w:noWrap w:val="0"/>
                  <w:vAlign w:val="center"/>
                </w:tcPr>
                <w:p w14:paraId="541CB9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50" w:type="pct"/>
                  <w:vMerge w:val="continue"/>
                  <w:tcBorders>
                    <w:tl2br w:val="nil"/>
                    <w:tr2bl w:val="nil"/>
                  </w:tcBorders>
                  <w:shd w:val="clear" w:color="auto" w:fill="auto"/>
                  <w:noWrap w:val="0"/>
                  <w:vAlign w:val="center"/>
                </w:tcPr>
                <w:p w14:paraId="70C8275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536" w:type="pct"/>
                  <w:tcBorders>
                    <w:tl2br w:val="nil"/>
                    <w:tr2bl w:val="nil"/>
                  </w:tcBorders>
                  <w:shd w:val="clear" w:color="auto" w:fill="auto"/>
                  <w:noWrap w:val="0"/>
                  <w:vAlign w:val="center"/>
                </w:tcPr>
                <w:p w14:paraId="7D165EB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S</w:t>
                  </w:r>
                </w:p>
              </w:tc>
              <w:tc>
                <w:tcPr>
                  <w:tcW w:w="552" w:type="pct"/>
                  <w:tcBorders>
                    <w:tl2br w:val="nil"/>
                    <w:tr2bl w:val="nil"/>
                  </w:tcBorders>
                  <w:shd w:val="clear" w:color="auto" w:fill="auto"/>
                  <w:noWrap w:val="0"/>
                  <w:vAlign w:val="center"/>
                </w:tcPr>
                <w:p w14:paraId="1C0D922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49</w:t>
                  </w:r>
                </w:p>
              </w:tc>
              <w:tc>
                <w:tcPr>
                  <w:tcW w:w="427" w:type="pct"/>
                  <w:vMerge w:val="continue"/>
                  <w:tcBorders>
                    <w:tl2br w:val="nil"/>
                    <w:tr2bl w:val="nil"/>
                  </w:tcBorders>
                  <w:noWrap w:val="0"/>
                  <w:vAlign w:val="center"/>
                </w:tcPr>
                <w:p w14:paraId="03D3BB3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14:textFill>
                        <w14:solidFill>
                          <w14:schemeClr w14:val="tx1"/>
                        </w14:solidFill>
                      </w14:textFill>
                    </w:rPr>
                  </w:pPr>
                </w:p>
              </w:tc>
            </w:tr>
          </w:tbl>
          <w:p w14:paraId="22D6C7E3">
            <w:pPr>
              <w:pStyle w:val="2"/>
              <w:suppressLineNumbers w:val="0"/>
              <w:spacing w:before="0" w:beforeAutospacing="0" w:afterAutospacing="0"/>
              <w:ind w:left="0" w:leftChars="0" w:right="0" w:firstLine="0" w:firstLineChars="0"/>
              <w:rPr>
                <w:rFonts w:hint="default"/>
                <w:color w:val="000000" w:themeColor="text1"/>
                <w:lang w:val="en-US" w:eastAsia="zh-CN"/>
                <w14:textFill>
                  <w14:solidFill>
                    <w14:schemeClr w14:val="tx1"/>
                  </w14:solidFill>
                </w14:textFill>
              </w:rPr>
            </w:pPr>
          </w:p>
        </w:tc>
      </w:tr>
      <w:tr w14:paraId="0A6A9F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2" w:hRule="atLeast"/>
          <w:jc w:val="center"/>
        </w:trPr>
        <w:tc>
          <w:tcPr>
            <w:tcW w:w="800" w:type="dxa"/>
            <w:tcBorders>
              <w:tl2br w:val="nil"/>
              <w:tr2bl w:val="nil"/>
            </w:tcBorders>
            <w:shd w:val="clear" w:color="auto" w:fill="auto"/>
            <w:tcMar>
              <w:left w:w="28" w:type="dxa"/>
              <w:right w:w="28" w:type="dxa"/>
            </w:tcMar>
            <w:vAlign w:val="center"/>
          </w:tcPr>
          <w:p w14:paraId="40C966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污染</w:t>
            </w:r>
          </w:p>
          <w:p w14:paraId="252C57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物排</w:t>
            </w:r>
          </w:p>
          <w:p w14:paraId="727F45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放控</w:t>
            </w:r>
          </w:p>
          <w:p w14:paraId="7E177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制标</w:t>
            </w:r>
          </w:p>
          <w:p w14:paraId="59D955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准</w:t>
            </w:r>
          </w:p>
        </w:tc>
        <w:tc>
          <w:tcPr>
            <w:tcW w:w="8239" w:type="dxa"/>
            <w:tcBorders>
              <w:tl2br w:val="nil"/>
              <w:tr2bl w:val="nil"/>
            </w:tcBorders>
            <w:shd w:val="clear" w:color="auto" w:fill="auto"/>
            <w:vAlign w:val="center"/>
          </w:tcPr>
          <w:p w14:paraId="545987B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200" w:right="0" w:rightChars="0"/>
              <w:jc w:val="both"/>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w:t>
            </w:r>
            <w:r>
              <w:rPr>
                <w:rFonts w:ascii="Times New Roman" w:hAnsi="Times New Roman"/>
                <w:b/>
                <w:bCs/>
                <w:color w:val="000000" w:themeColor="text1"/>
                <w:sz w:val="24"/>
                <w:szCs w:val="24"/>
                <w:highlight w:val="none"/>
                <w14:textFill>
                  <w14:solidFill>
                    <w14:schemeClr w14:val="tx1"/>
                  </w14:solidFill>
                </w14:textFill>
              </w:rPr>
              <w:t>废气</w:t>
            </w:r>
            <w:r>
              <w:rPr>
                <w:rFonts w:hint="eastAsia" w:ascii="Times New Roman" w:hAnsi="Times New Roman"/>
                <w:b/>
                <w:bCs/>
                <w:color w:val="000000" w:themeColor="text1"/>
                <w:sz w:val="24"/>
                <w:szCs w:val="24"/>
                <w:highlight w:val="none"/>
                <w:lang w:eastAsia="zh-CN"/>
                <w14:textFill>
                  <w14:solidFill>
                    <w14:schemeClr w14:val="tx1"/>
                  </w14:solidFill>
                </w14:textFill>
              </w:rPr>
              <w:t>排放标准</w:t>
            </w:r>
          </w:p>
          <w:p w14:paraId="0BBC2E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Theme="minorEastAsia"/>
                <w:color w:val="000000" w:themeColor="text1"/>
                <w:kern w:val="0"/>
                <w:sz w:val="24"/>
                <w:szCs w:val="24"/>
                <w:highlight w:val="none"/>
                <w:lang w:eastAsia="zh-CN"/>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本运营期锅炉颗粒物、</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SO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2</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执行《锅炉大气污染物排放标准》（DB61/1226-2018）表3中排放标准；</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执行《西安市大气污染治理专项行动2024年工作方案》中限值要求；</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烟气黑度</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《锅炉大气污染物排放标</w:t>
            </w:r>
            <w:r>
              <w:rPr>
                <w:rFonts w:hint="default" w:ascii="Times New Roman" w:hAnsi="Times New Roman" w:eastAsia="宋体" w:cs="Times New Roman"/>
                <w:color w:val="000000" w:themeColor="text1"/>
                <w:sz w:val="24"/>
                <w:lang w:val="en-US" w:eastAsia="zh-CN"/>
                <w14:textFill>
                  <w14:solidFill>
                    <w14:schemeClr w14:val="tx1"/>
                  </w14:solidFill>
                </w14:textFill>
              </w:rPr>
              <w:t>准》（GB13271-2014）</w:t>
            </w:r>
            <w:r>
              <w:rPr>
                <w:rFonts w:hint="eastAsia" w:ascii="Times New Roman" w:hAnsi="Times New Roman" w:eastAsia="宋体" w:cs="Times New Roman"/>
                <w:color w:val="000000" w:themeColor="text1"/>
                <w:sz w:val="24"/>
                <w14:textFill>
                  <w14:solidFill>
                    <w14:schemeClr w14:val="tx1"/>
                  </w14:solidFill>
                </w14:textFill>
              </w:rPr>
              <w:t>。</w:t>
            </w:r>
          </w:p>
          <w:p w14:paraId="4EC84A3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3-5</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运营期大气污染物排放标准</w:t>
            </w:r>
          </w:p>
          <w:tbl>
            <w:tblPr>
              <w:tblStyle w:val="26"/>
              <w:tblW w:w="792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3036"/>
              <w:gridCol w:w="1116"/>
              <w:gridCol w:w="711"/>
              <w:gridCol w:w="925"/>
              <w:gridCol w:w="875"/>
            </w:tblGrid>
            <w:tr w14:paraId="5457CD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0126EB1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036" w:type="dxa"/>
                  <w:vMerge w:val="restart"/>
                  <w:tcBorders>
                    <w:tl2br w:val="nil"/>
                    <w:tr2bl w:val="nil"/>
                  </w:tcBorders>
                  <w:noWrap w:val="0"/>
                  <w:vAlign w:val="center"/>
                </w:tcPr>
                <w:p w14:paraId="29B90584">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标准名称及级（类）别</w:t>
                  </w:r>
                </w:p>
              </w:tc>
              <w:tc>
                <w:tcPr>
                  <w:tcW w:w="1116" w:type="dxa"/>
                  <w:vMerge w:val="restart"/>
                  <w:tcBorders>
                    <w:tl2br w:val="nil"/>
                    <w:tr2bl w:val="nil"/>
                  </w:tcBorders>
                  <w:noWrap w:val="0"/>
                  <w:vAlign w:val="center"/>
                </w:tcPr>
                <w:p w14:paraId="60FA59AA">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污染物</w:t>
                  </w:r>
                </w:p>
              </w:tc>
              <w:tc>
                <w:tcPr>
                  <w:tcW w:w="711" w:type="dxa"/>
                  <w:vMerge w:val="restart"/>
                  <w:tcBorders>
                    <w:tl2br w:val="nil"/>
                    <w:tr2bl w:val="nil"/>
                  </w:tcBorders>
                  <w:noWrap w:val="0"/>
                  <w:vAlign w:val="center"/>
                </w:tcPr>
                <w:p w14:paraId="143AD9A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监控位置</w:t>
                  </w:r>
                </w:p>
              </w:tc>
              <w:tc>
                <w:tcPr>
                  <w:tcW w:w="1800" w:type="dxa"/>
                  <w:gridSpan w:val="2"/>
                  <w:tcBorders>
                    <w:tl2br w:val="nil"/>
                    <w:tr2bl w:val="nil"/>
                  </w:tcBorders>
                  <w:noWrap w:val="0"/>
                  <w:vAlign w:val="center"/>
                </w:tcPr>
                <w:p w14:paraId="5898937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标准值</w:t>
                  </w:r>
                </w:p>
              </w:tc>
            </w:tr>
            <w:tr w14:paraId="0B4C3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278B505">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3036" w:type="dxa"/>
                  <w:vMerge w:val="continue"/>
                  <w:tcBorders>
                    <w:tl2br w:val="nil"/>
                    <w:tr2bl w:val="nil"/>
                  </w:tcBorders>
                  <w:noWrap w:val="0"/>
                  <w:vAlign w:val="center"/>
                </w:tcPr>
                <w:p w14:paraId="1DF6B778">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1116" w:type="dxa"/>
                  <w:vMerge w:val="continue"/>
                  <w:tcBorders>
                    <w:tl2br w:val="nil"/>
                    <w:tr2bl w:val="nil"/>
                  </w:tcBorders>
                  <w:noWrap w:val="0"/>
                  <w:vAlign w:val="center"/>
                </w:tcPr>
                <w:p w14:paraId="49E912A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711" w:type="dxa"/>
                  <w:vMerge w:val="continue"/>
                  <w:tcBorders>
                    <w:tl2br w:val="nil"/>
                    <w:tr2bl w:val="nil"/>
                  </w:tcBorders>
                  <w:noWrap w:val="0"/>
                  <w:vAlign w:val="center"/>
                </w:tcPr>
                <w:p w14:paraId="4C0C9F3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6BD2A1A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单位</w:t>
                  </w:r>
                </w:p>
              </w:tc>
              <w:tc>
                <w:tcPr>
                  <w:tcW w:w="875" w:type="dxa"/>
                  <w:tcBorders>
                    <w:tl2br w:val="nil"/>
                    <w:tr2bl w:val="nil"/>
                  </w:tcBorders>
                  <w:noWrap w:val="0"/>
                  <w:vAlign w:val="center"/>
                </w:tcPr>
                <w:p w14:paraId="6B8AFE6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数值</w:t>
                  </w:r>
                </w:p>
              </w:tc>
            </w:tr>
            <w:tr w14:paraId="305D3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2E3FFDE9">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036" w:type="dxa"/>
                  <w:vMerge w:val="restart"/>
                  <w:tcBorders>
                    <w:tl2br w:val="nil"/>
                    <w:tr2bl w:val="nil"/>
                  </w:tcBorders>
                  <w:noWrap w:val="0"/>
                  <w:vAlign w:val="center"/>
                </w:tcPr>
                <w:p w14:paraId="62A90A8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《锅炉大气污染物排放标准》（DB61/1226-2018）表3</w:t>
                  </w:r>
                </w:p>
              </w:tc>
              <w:tc>
                <w:tcPr>
                  <w:tcW w:w="1116" w:type="dxa"/>
                  <w:tcBorders>
                    <w:tl2br w:val="nil"/>
                    <w:tr2bl w:val="nil"/>
                  </w:tcBorders>
                  <w:noWrap w:val="0"/>
                  <w:vAlign w:val="center"/>
                </w:tcPr>
                <w:p w14:paraId="4722008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颗粒物</w:t>
                  </w:r>
                </w:p>
              </w:tc>
              <w:tc>
                <w:tcPr>
                  <w:tcW w:w="711" w:type="dxa"/>
                  <w:vMerge w:val="restart"/>
                  <w:tcBorders>
                    <w:tl2br w:val="nil"/>
                    <w:tr2bl w:val="nil"/>
                  </w:tcBorders>
                  <w:noWrap w:val="0"/>
                  <w:vAlign w:val="center"/>
                </w:tcPr>
                <w:p w14:paraId="63AEFFC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烟囱排放口</w:t>
                  </w:r>
                </w:p>
              </w:tc>
              <w:tc>
                <w:tcPr>
                  <w:tcW w:w="925" w:type="dxa"/>
                  <w:tcBorders>
                    <w:tl2br w:val="nil"/>
                    <w:tr2bl w:val="nil"/>
                  </w:tcBorders>
                  <w:noWrap w:val="0"/>
                  <w:vAlign w:val="center"/>
                </w:tcPr>
                <w:p w14:paraId="37D5318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2AF7E24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10</w:t>
                  </w:r>
                </w:p>
              </w:tc>
            </w:tr>
            <w:tr w14:paraId="6E4FB4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0F1937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036" w:type="dxa"/>
                  <w:vMerge w:val="continue"/>
                  <w:tcBorders>
                    <w:tl2br w:val="nil"/>
                    <w:tr2bl w:val="nil"/>
                  </w:tcBorders>
                  <w:noWrap w:val="0"/>
                  <w:vAlign w:val="center"/>
                </w:tcPr>
                <w:p w14:paraId="7D36B46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116" w:type="dxa"/>
                  <w:tcBorders>
                    <w:tl2br w:val="nil"/>
                    <w:tr2bl w:val="nil"/>
                  </w:tcBorders>
                  <w:noWrap w:val="0"/>
                  <w:vAlign w:val="center"/>
                </w:tcPr>
                <w:p w14:paraId="79C8E82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SO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2</w:t>
                  </w:r>
                </w:p>
              </w:tc>
              <w:tc>
                <w:tcPr>
                  <w:tcW w:w="711" w:type="dxa"/>
                  <w:vMerge w:val="continue"/>
                  <w:tcBorders>
                    <w:tl2br w:val="nil"/>
                    <w:tr2bl w:val="nil"/>
                  </w:tcBorders>
                  <w:noWrap w:val="0"/>
                  <w:vAlign w:val="center"/>
                </w:tcPr>
                <w:p w14:paraId="7C1B77E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2AD50BBB">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4E35A1C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20</w:t>
                  </w:r>
                </w:p>
              </w:tc>
            </w:tr>
            <w:tr w14:paraId="0632A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68ADE3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036" w:type="dxa"/>
                  <w:tcBorders>
                    <w:tl2br w:val="nil"/>
                    <w:tr2bl w:val="nil"/>
                  </w:tcBorders>
                  <w:noWrap w:val="0"/>
                  <w:vAlign w:val="center"/>
                </w:tcPr>
                <w:p w14:paraId="045EDB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c>
                <w:tcPr>
                  <w:tcW w:w="1116" w:type="dxa"/>
                  <w:tcBorders>
                    <w:tl2br w:val="nil"/>
                    <w:tr2bl w:val="nil"/>
                  </w:tcBorders>
                  <w:noWrap w:val="0"/>
                  <w:vAlign w:val="center"/>
                </w:tcPr>
                <w:p w14:paraId="6C089BD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NO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X</w:t>
                  </w:r>
                </w:p>
              </w:tc>
              <w:tc>
                <w:tcPr>
                  <w:tcW w:w="711" w:type="dxa"/>
                  <w:vMerge w:val="continue"/>
                  <w:tcBorders>
                    <w:tl2br w:val="nil"/>
                    <w:tr2bl w:val="nil"/>
                  </w:tcBorders>
                  <w:noWrap w:val="0"/>
                  <w:vAlign w:val="center"/>
                </w:tcPr>
                <w:p w14:paraId="0BE9363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0BEAE33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53158D8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30</w:t>
                  </w:r>
                </w:p>
              </w:tc>
            </w:tr>
            <w:tr w14:paraId="1E23C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1C98956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036" w:type="dxa"/>
                  <w:tcBorders>
                    <w:tl2br w:val="nil"/>
                    <w:tr2bl w:val="nil"/>
                  </w:tcBorders>
                  <w:noWrap w:val="0"/>
                  <w:vAlign w:val="center"/>
                </w:tcPr>
                <w:p w14:paraId="1515F23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《锅炉大气污染物排放标准》（GB13271-2014）</w:t>
                  </w:r>
                </w:p>
              </w:tc>
              <w:tc>
                <w:tcPr>
                  <w:tcW w:w="1116" w:type="dxa"/>
                  <w:tcBorders>
                    <w:tl2br w:val="nil"/>
                    <w:tr2bl w:val="nil"/>
                  </w:tcBorders>
                  <w:noWrap w:val="0"/>
                  <w:vAlign w:val="center"/>
                </w:tcPr>
                <w:p w14:paraId="7B5239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烟气黑度</w:t>
                  </w:r>
                </w:p>
              </w:tc>
              <w:tc>
                <w:tcPr>
                  <w:tcW w:w="711" w:type="dxa"/>
                  <w:vMerge w:val="continue"/>
                  <w:tcBorders>
                    <w:tl2br w:val="nil"/>
                    <w:tr2bl w:val="nil"/>
                  </w:tcBorders>
                  <w:noWrap w:val="0"/>
                  <w:vAlign w:val="center"/>
                </w:tcPr>
                <w:p w14:paraId="6F61BEB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1800" w:type="dxa"/>
                  <w:gridSpan w:val="2"/>
                  <w:tcBorders>
                    <w:tl2br w:val="nil"/>
                    <w:tr2bl w:val="nil"/>
                  </w:tcBorders>
                  <w:noWrap w:val="0"/>
                  <w:vAlign w:val="center"/>
                </w:tcPr>
                <w:p w14:paraId="28953D3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w:t>
                  </w:r>
                </w:p>
              </w:tc>
            </w:tr>
          </w:tbl>
          <w:p w14:paraId="6BEA143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2、废水排放标准</w:t>
            </w:r>
          </w:p>
          <w:p w14:paraId="5B5E0283">
            <w:pPr>
              <w:pStyle w:val="65"/>
              <w:keepNext w:val="0"/>
              <w:keepLines w:val="0"/>
              <w:numPr>
                <w:ilvl w:val="0"/>
                <w:numId w:val="0"/>
              </w:numPr>
              <w:suppressLineNumbers w:val="0"/>
              <w:spacing w:before="0" w:beforeAutospacing="0" w:after="0" w:afterAutospacing="0" w:line="360" w:lineRule="auto"/>
              <w:ind w:left="0" w:leftChars="0" w:right="0" w:firstLine="480" w:firstLineChars="200"/>
              <w:contextualSpacing/>
              <w:rPr>
                <w:rFonts w:hint="default" w:ascii="Times New Roman" w:hAnsi="Times New Roman" w:cs="Times New Roman"/>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运营期</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废水排放执行《污水综合排放标准》（GB8978-1996）三级标准及《污水排入城镇下水道水质标准》（GB/T31962-2015）</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级标准</w:t>
            </w:r>
            <w:r>
              <w:rPr>
                <w:rFonts w:hint="default" w:ascii="Times New Roman" w:hAnsi="Times New Roman" w:cs="Times New Roman"/>
                <w:bCs w:val="0"/>
                <w:color w:val="000000" w:themeColor="text1"/>
                <w:sz w:val="24"/>
                <w:szCs w:val="24"/>
                <w:lang w:val="en-US" w:eastAsia="zh-CN"/>
                <w14:textFill>
                  <w14:solidFill>
                    <w14:schemeClr w14:val="tx1"/>
                  </w14:solidFill>
                </w14:textFill>
              </w:rPr>
              <w:t>。</w:t>
            </w:r>
          </w:p>
          <w:p w14:paraId="644122E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污水排放执行标准    单位：mg/L</w:t>
            </w:r>
          </w:p>
          <w:tbl>
            <w:tblPr>
              <w:tblStyle w:val="26"/>
              <w:tblW w:w="7914"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246"/>
              <w:gridCol w:w="3028"/>
              <w:gridCol w:w="1840"/>
              <w:gridCol w:w="1800"/>
            </w:tblGrid>
            <w:tr w14:paraId="443F50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246" w:type="dxa"/>
                  <w:tcBorders>
                    <w:tl2br w:val="nil"/>
                    <w:tr2bl w:val="nil"/>
                  </w:tcBorders>
                  <w:noWrap w:val="0"/>
                  <w:vAlign w:val="center"/>
                </w:tcPr>
                <w:p w14:paraId="478E48E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028" w:type="dxa"/>
                  <w:tcBorders>
                    <w:tl2br w:val="nil"/>
                    <w:tr2bl w:val="nil"/>
                  </w:tcBorders>
                  <w:noWrap w:val="0"/>
                  <w:vAlign w:val="center"/>
                </w:tcPr>
                <w:p w14:paraId="19F6DD3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标准名称及级（类）别</w:t>
                  </w:r>
                </w:p>
              </w:tc>
              <w:tc>
                <w:tcPr>
                  <w:tcW w:w="1840" w:type="dxa"/>
                  <w:tcBorders>
                    <w:tl2br w:val="nil"/>
                    <w:tr2bl w:val="nil"/>
                  </w:tcBorders>
                  <w:noWrap w:val="0"/>
                  <w:vAlign w:val="center"/>
                </w:tcPr>
                <w:p w14:paraId="0C567CAB">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项目</w:t>
                  </w:r>
                </w:p>
              </w:tc>
              <w:tc>
                <w:tcPr>
                  <w:tcW w:w="1800" w:type="dxa"/>
                  <w:tcBorders>
                    <w:tl2br w:val="nil"/>
                    <w:tr2bl w:val="nil"/>
                  </w:tcBorders>
                  <w:noWrap w:val="0"/>
                  <w:vAlign w:val="center"/>
                </w:tcPr>
                <w:p w14:paraId="0194185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标准限值</w:t>
                  </w:r>
                </w:p>
              </w:tc>
            </w:tr>
            <w:tr w14:paraId="3D26FD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46" w:type="dxa"/>
                  <w:vMerge w:val="restart"/>
                  <w:tcBorders>
                    <w:tl2br w:val="nil"/>
                    <w:tr2bl w:val="nil"/>
                  </w:tcBorders>
                  <w:noWrap w:val="0"/>
                  <w:vAlign w:val="center"/>
                </w:tcPr>
                <w:p w14:paraId="5FADD9E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028" w:type="dxa"/>
                  <w:vMerge w:val="restart"/>
                  <w:tcBorders>
                    <w:tl2br w:val="nil"/>
                    <w:tr2bl w:val="nil"/>
                  </w:tcBorders>
                  <w:noWrap w:val="0"/>
                  <w:vAlign w:val="center"/>
                </w:tcPr>
                <w:p w14:paraId="010459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《污水综合排放标准》（GB8978-1996）</w:t>
                  </w:r>
                  <w:r>
                    <w:rPr>
                      <w:rFonts w:hint="eastAsia" w:ascii="Times New Roman" w:hAnsi="Times New Roman" w:cs="Times New Roman"/>
                      <w:color w:val="000000" w:themeColor="text1"/>
                      <w:kern w:val="0"/>
                      <w:szCs w:val="21"/>
                      <w:lang w:val="en-US" w:eastAsia="zh-CN"/>
                      <w14:textFill>
                        <w14:solidFill>
                          <w14:schemeClr w14:val="tx1"/>
                        </w14:solidFill>
                      </w14:textFill>
                    </w:rPr>
                    <w:t>表4</w:t>
                  </w:r>
                  <w:r>
                    <w:rPr>
                      <w:rFonts w:hint="default" w:ascii="Times New Roman" w:hAnsi="Times New Roman" w:cs="Times New Roman"/>
                      <w:color w:val="000000" w:themeColor="text1"/>
                      <w:kern w:val="0"/>
                      <w:szCs w:val="21"/>
                      <w14:textFill>
                        <w14:solidFill>
                          <w14:schemeClr w14:val="tx1"/>
                        </w14:solidFill>
                      </w14:textFill>
                    </w:rPr>
                    <w:t>三级标准</w:t>
                  </w:r>
                </w:p>
              </w:tc>
              <w:tc>
                <w:tcPr>
                  <w:tcW w:w="1840" w:type="dxa"/>
                  <w:tcBorders>
                    <w:tl2br w:val="nil"/>
                    <w:tr2bl w:val="nil"/>
                  </w:tcBorders>
                  <w:noWrap w:val="0"/>
                  <w:vAlign w:val="center"/>
                </w:tcPr>
                <w:p w14:paraId="06615A1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pH</w:t>
                  </w:r>
                </w:p>
              </w:tc>
              <w:tc>
                <w:tcPr>
                  <w:tcW w:w="1800" w:type="dxa"/>
                  <w:tcBorders>
                    <w:tl2br w:val="nil"/>
                    <w:tr2bl w:val="nil"/>
                  </w:tcBorders>
                  <w:noWrap w:val="0"/>
                  <w:vAlign w:val="center"/>
                </w:tcPr>
                <w:p w14:paraId="419A401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6~9</w:t>
                  </w:r>
                </w:p>
              </w:tc>
            </w:tr>
            <w:tr w14:paraId="42BB3A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46" w:type="dxa"/>
                  <w:vMerge w:val="continue"/>
                  <w:tcBorders>
                    <w:tl2br w:val="nil"/>
                    <w:tr2bl w:val="nil"/>
                  </w:tcBorders>
                  <w:noWrap w:val="0"/>
                  <w:vAlign w:val="center"/>
                </w:tcPr>
                <w:p w14:paraId="6171946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028" w:type="dxa"/>
                  <w:vMerge w:val="continue"/>
                  <w:tcBorders>
                    <w:tl2br w:val="nil"/>
                    <w:tr2bl w:val="nil"/>
                  </w:tcBorders>
                  <w:noWrap w:val="0"/>
                  <w:vAlign w:val="center"/>
                </w:tcPr>
                <w:p w14:paraId="40CCB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1840" w:type="dxa"/>
                  <w:tcBorders>
                    <w:tl2br w:val="nil"/>
                    <w:tr2bl w:val="nil"/>
                  </w:tcBorders>
                  <w:noWrap w:val="0"/>
                  <w:vAlign w:val="center"/>
                </w:tcPr>
                <w:p w14:paraId="3CAAD22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COD</w:t>
                  </w:r>
                </w:p>
              </w:tc>
              <w:tc>
                <w:tcPr>
                  <w:tcW w:w="1800" w:type="dxa"/>
                  <w:tcBorders>
                    <w:tl2br w:val="nil"/>
                    <w:tr2bl w:val="nil"/>
                  </w:tcBorders>
                  <w:noWrap w:val="0"/>
                  <w:vAlign w:val="center"/>
                </w:tcPr>
                <w:p w14:paraId="56E51D2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00mg/L</w:t>
                  </w:r>
                </w:p>
              </w:tc>
            </w:tr>
            <w:tr w14:paraId="401450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46" w:type="dxa"/>
                  <w:vMerge w:val="continue"/>
                  <w:tcBorders>
                    <w:tl2br w:val="nil"/>
                    <w:tr2bl w:val="nil"/>
                  </w:tcBorders>
                  <w:noWrap w:val="0"/>
                  <w:vAlign w:val="center"/>
                </w:tcPr>
                <w:p w14:paraId="352C34F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028" w:type="dxa"/>
                  <w:vMerge w:val="continue"/>
                  <w:tcBorders>
                    <w:tl2br w:val="nil"/>
                    <w:tr2bl w:val="nil"/>
                  </w:tcBorders>
                  <w:noWrap w:val="0"/>
                  <w:vAlign w:val="center"/>
                </w:tcPr>
                <w:p w14:paraId="33C044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1840" w:type="dxa"/>
                  <w:tcBorders>
                    <w:tl2br w:val="nil"/>
                    <w:tr2bl w:val="nil"/>
                  </w:tcBorders>
                  <w:noWrap w:val="0"/>
                  <w:vAlign w:val="center"/>
                </w:tcPr>
                <w:p w14:paraId="6BCE7D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SS</w:t>
                  </w:r>
                </w:p>
              </w:tc>
              <w:tc>
                <w:tcPr>
                  <w:tcW w:w="1800" w:type="dxa"/>
                  <w:tcBorders>
                    <w:tl2br w:val="nil"/>
                    <w:tr2bl w:val="nil"/>
                  </w:tcBorders>
                  <w:noWrap w:val="0"/>
                  <w:vAlign w:val="center"/>
                </w:tcPr>
                <w:p w14:paraId="2F95C18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400mg/L</w:t>
                  </w:r>
                </w:p>
              </w:tc>
            </w:tr>
            <w:tr w14:paraId="12A39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46" w:type="dxa"/>
                  <w:vMerge w:val="continue"/>
                  <w:tcBorders>
                    <w:tl2br w:val="nil"/>
                    <w:tr2bl w:val="nil"/>
                  </w:tcBorders>
                  <w:noWrap w:val="0"/>
                  <w:vAlign w:val="center"/>
                </w:tcPr>
                <w:p w14:paraId="2918841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028" w:type="dxa"/>
                  <w:vMerge w:val="restart"/>
                  <w:tcBorders>
                    <w:tl2br w:val="nil"/>
                    <w:tr2bl w:val="nil"/>
                  </w:tcBorders>
                  <w:noWrap w:val="0"/>
                  <w:vAlign w:val="center"/>
                </w:tcPr>
                <w:p w14:paraId="7BD50B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《污水排入城镇下水道水质标准》（GB/T31962-2015）</w:t>
                  </w:r>
                  <w:r>
                    <w:rPr>
                      <w:rFonts w:hint="eastAsia" w:ascii="Times New Roman" w:hAnsi="Times New Roman" w:cs="Times New Roman"/>
                      <w:color w:val="000000" w:themeColor="text1"/>
                      <w:kern w:val="0"/>
                      <w:szCs w:val="21"/>
                      <w:lang w:val="en-US" w:eastAsia="zh-CN"/>
                      <w14:textFill>
                        <w14:solidFill>
                          <w14:schemeClr w14:val="tx1"/>
                        </w14:solidFill>
                      </w14:textFill>
                    </w:rPr>
                    <w:t>A</w:t>
                  </w:r>
                  <w:r>
                    <w:rPr>
                      <w:rFonts w:hint="default" w:ascii="Times New Roman" w:hAnsi="Times New Roman" w:cs="Times New Roman"/>
                      <w:color w:val="000000" w:themeColor="text1"/>
                      <w:kern w:val="0"/>
                      <w:szCs w:val="21"/>
                      <w14:textFill>
                        <w14:solidFill>
                          <w14:schemeClr w14:val="tx1"/>
                        </w14:solidFill>
                      </w14:textFill>
                    </w:rPr>
                    <w:t>级标准</w:t>
                  </w:r>
                </w:p>
              </w:tc>
              <w:tc>
                <w:tcPr>
                  <w:tcW w:w="1840" w:type="dxa"/>
                  <w:tcBorders>
                    <w:tl2br w:val="nil"/>
                    <w:tr2bl w:val="nil"/>
                  </w:tcBorders>
                  <w:noWrap w:val="0"/>
                  <w:vAlign w:val="center"/>
                </w:tcPr>
                <w:p w14:paraId="797C272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NH</w:t>
                  </w:r>
                  <w:r>
                    <w:rPr>
                      <w:rFonts w:hint="default" w:ascii="Times New Roman" w:hAnsi="Times New Roman" w:cs="Times New Roman"/>
                      <w:color w:val="000000" w:themeColor="text1"/>
                      <w:kern w:val="0"/>
                      <w:szCs w:val="21"/>
                      <w:vertAlign w:val="sub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-N</w:t>
                  </w:r>
                </w:p>
              </w:tc>
              <w:tc>
                <w:tcPr>
                  <w:tcW w:w="1800" w:type="dxa"/>
                  <w:tcBorders>
                    <w:tl2br w:val="nil"/>
                    <w:tr2bl w:val="nil"/>
                  </w:tcBorders>
                  <w:noWrap w:val="0"/>
                  <w:vAlign w:val="center"/>
                </w:tcPr>
                <w:p w14:paraId="3397DAC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45mg/L</w:t>
                  </w:r>
                </w:p>
              </w:tc>
            </w:tr>
            <w:tr w14:paraId="7B2E54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46" w:type="dxa"/>
                  <w:vMerge w:val="continue"/>
                  <w:tcBorders>
                    <w:tl2br w:val="nil"/>
                    <w:tr2bl w:val="nil"/>
                  </w:tcBorders>
                  <w:noWrap w:val="0"/>
                  <w:vAlign w:val="center"/>
                </w:tcPr>
                <w:p w14:paraId="450DB6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028" w:type="dxa"/>
                  <w:vMerge w:val="continue"/>
                  <w:tcBorders>
                    <w:tl2br w:val="nil"/>
                    <w:tr2bl w:val="nil"/>
                  </w:tcBorders>
                  <w:noWrap w:val="0"/>
                  <w:vAlign w:val="center"/>
                </w:tcPr>
                <w:p w14:paraId="7C09051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840" w:type="dxa"/>
                  <w:tcBorders>
                    <w:tl2br w:val="nil"/>
                    <w:tr2bl w:val="nil"/>
                  </w:tcBorders>
                  <w:noWrap w:val="0"/>
                  <w:vAlign w:val="center"/>
                </w:tcPr>
                <w:p w14:paraId="161B9A7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TDS</w:t>
                  </w:r>
                </w:p>
              </w:tc>
              <w:tc>
                <w:tcPr>
                  <w:tcW w:w="1800" w:type="dxa"/>
                  <w:tcBorders>
                    <w:tl2br w:val="nil"/>
                    <w:tr2bl w:val="nil"/>
                  </w:tcBorders>
                  <w:noWrap w:val="0"/>
                  <w:vAlign w:val="center"/>
                </w:tcPr>
                <w:p w14:paraId="697DFEB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1500</w:t>
                  </w:r>
                  <w:r>
                    <w:rPr>
                      <w:rFonts w:hint="default" w:ascii="Times New Roman" w:hAnsi="Times New Roman" w:cs="Times New Roman"/>
                      <w:color w:val="000000" w:themeColor="text1"/>
                      <w:kern w:val="0"/>
                      <w:szCs w:val="21"/>
                      <w14:textFill>
                        <w14:solidFill>
                          <w14:schemeClr w14:val="tx1"/>
                        </w14:solidFill>
                      </w14:textFill>
                    </w:rPr>
                    <w:t>mg/L</w:t>
                  </w:r>
                </w:p>
              </w:tc>
            </w:tr>
          </w:tbl>
          <w:p w14:paraId="1FE3975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420" w:leftChars="200" w:right="0" w:rightChars="0"/>
              <w:jc w:val="both"/>
              <w:textAlignment w:val="auto"/>
              <w:rPr>
                <w:rFonts w:hint="eastAsia" w:ascii="Times New Roman" w:hAnsi="Times New Roman" w:cs="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b/>
                <w:bCs/>
                <w:color w:val="000000" w:themeColor="text1"/>
                <w:sz w:val="24"/>
                <w:szCs w:val="24"/>
                <w:highlight w:val="none"/>
                <w14:textFill>
                  <w14:solidFill>
                    <w14:schemeClr w14:val="tx1"/>
                  </w14:solidFill>
                </w14:textFill>
              </w:rPr>
              <w:t>噪声</w:t>
            </w:r>
            <w:r>
              <w:rPr>
                <w:rFonts w:hint="eastAsia" w:ascii="Times New Roman" w:hAnsi="Times New Roman" w:cs="Times New Roman"/>
                <w:b/>
                <w:bCs/>
                <w:color w:val="000000" w:themeColor="text1"/>
                <w:sz w:val="24"/>
                <w:szCs w:val="24"/>
                <w:highlight w:val="none"/>
                <w:lang w:eastAsia="zh-CN"/>
                <w14:textFill>
                  <w14:solidFill>
                    <w14:schemeClr w14:val="tx1"/>
                  </w14:solidFill>
                </w14:textFill>
              </w:rPr>
              <w:t>排放标准</w:t>
            </w:r>
          </w:p>
          <w:p w14:paraId="3C26A34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西安市人民政府办公厅关于印发声环境功能区划方案的通知</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》（市政办函〔2019〕107号），</w:t>
            </w:r>
            <w:r>
              <w:rPr>
                <w:rFonts w:hint="eastAsia" w:ascii="Times New Roman" w:hAnsi="Times New Roman"/>
                <w:color w:val="000000" w:themeColor="text1"/>
                <w:sz w:val="24"/>
                <w:szCs w:val="24"/>
                <w:highlight w:val="none"/>
                <w:lang w:eastAsia="zh-CN"/>
                <w14:textFill>
                  <w14:solidFill>
                    <w14:schemeClr w14:val="tx1"/>
                  </w14:solidFill>
                </w14:textFill>
              </w:rPr>
              <w:t>本项目位于</w:t>
            </w:r>
            <w:r>
              <w:rPr>
                <w:rFonts w:hint="eastAsia" w:ascii="Times New Roman" w:hAnsi="Times New Roman"/>
                <w:color w:val="000000" w:themeColor="text1"/>
                <w:sz w:val="24"/>
                <w:szCs w:val="24"/>
                <w:highlight w:val="none"/>
                <w:lang w:val="en-US" w:eastAsia="zh-CN"/>
                <w14:textFill>
                  <w14:solidFill>
                    <w14:schemeClr w14:val="tx1"/>
                  </w14:solidFill>
                </w14:textFill>
              </w:rPr>
              <w:t>2类区</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ascii="Times New Roman" w:hAnsi="Times New Roman"/>
                <w:color w:val="000000" w:themeColor="text1"/>
                <w:sz w:val="24"/>
                <w:szCs w:val="24"/>
                <w:highlight w:val="none"/>
                <w14:textFill>
                  <w14:solidFill>
                    <w14:schemeClr w14:val="tx1"/>
                  </w14:solidFill>
                </w14:textFill>
              </w:rPr>
              <w:t>噪声排放执行《工业企业厂界环境噪声排放标准》（GB12348-2008）</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ascii="Times New Roman" w:hAnsi="Times New Roman"/>
                <w:color w:val="000000" w:themeColor="text1"/>
                <w:sz w:val="24"/>
                <w:szCs w:val="24"/>
                <w:highlight w:val="none"/>
                <w14:textFill>
                  <w14:solidFill>
                    <w14:schemeClr w14:val="tx1"/>
                  </w14:solidFill>
                </w14:textFill>
              </w:rPr>
              <w:t>类标准。</w:t>
            </w:r>
          </w:p>
          <w:p w14:paraId="294FA06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7</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噪声排放标准</w:t>
            </w:r>
          </w:p>
          <w:tbl>
            <w:tblPr>
              <w:tblStyle w:val="26"/>
              <w:tblW w:w="789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86"/>
              <w:gridCol w:w="4491"/>
              <w:gridCol w:w="981"/>
              <w:gridCol w:w="939"/>
            </w:tblGrid>
            <w:tr w14:paraId="54B9B2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86" w:type="dxa"/>
                  <w:vMerge w:val="restart"/>
                  <w:tcBorders>
                    <w:tl2br w:val="nil"/>
                    <w:tr2bl w:val="nil"/>
                  </w:tcBorders>
                  <w:noWrap w:val="0"/>
                  <w:vAlign w:val="center"/>
                </w:tcPr>
                <w:p w14:paraId="3F9460C7">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污染源</w:t>
                  </w:r>
                </w:p>
              </w:tc>
              <w:tc>
                <w:tcPr>
                  <w:tcW w:w="4491" w:type="dxa"/>
                  <w:vMerge w:val="restart"/>
                  <w:tcBorders>
                    <w:tl2br w:val="nil"/>
                    <w:tr2bl w:val="nil"/>
                  </w:tcBorders>
                  <w:noWrap w:val="0"/>
                  <w:vAlign w:val="center"/>
                </w:tcPr>
                <w:p w14:paraId="5503676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执行标准</w:t>
                  </w:r>
                </w:p>
              </w:tc>
              <w:tc>
                <w:tcPr>
                  <w:tcW w:w="1920" w:type="dxa"/>
                  <w:gridSpan w:val="2"/>
                  <w:tcBorders>
                    <w:tl2br w:val="nil"/>
                    <w:tr2bl w:val="nil"/>
                  </w:tcBorders>
                  <w:noWrap w:val="0"/>
                  <w:vAlign w:val="center"/>
                </w:tcPr>
                <w:p w14:paraId="0F6CA1F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噪声限值dB(A)</w:t>
                  </w:r>
                </w:p>
              </w:tc>
            </w:tr>
            <w:tr w14:paraId="5C63FA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86" w:type="dxa"/>
                  <w:vMerge w:val="continue"/>
                  <w:tcBorders>
                    <w:tl2br w:val="nil"/>
                    <w:tr2bl w:val="nil"/>
                  </w:tcBorders>
                  <w:noWrap w:val="0"/>
                  <w:vAlign w:val="center"/>
                </w:tcPr>
                <w:p w14:paraId="5204EF07">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p>
              </w:tc>
              <w:tc>
                <w:tcPr>
                  <w:tcW w:w="4491" w:type="dxa"/>
                  <w:vMerge w:val="continue"/>
                  <w:tcBorders>
                    <w:tl2br w:val="nil"/>
                    <w:tr2bl w:val="nil"/>
                  </w:tcBorders>
                  <w:noWrap w:val="0"/>
                  <w:vAlign w:val="center"/>
                </w:tcPr>
                <w:p w14:paraId="5B9EB59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p>
              </w:tc>
              <w:tc>
                <w:tcPr>
                  <w:tcW w:w="981" w:type="dxa"/>
                  <w:tcBorders>
                    <w:tl2br w:val="nil"/>
                    <w:tr2bl w:val="nil"/>
                  </w:tcBorders>
                  <w:noWrap w:val="0"/>
                  <w:vAlign w:val="center"/>
                </w:tcPr>
                <w:p w14:paraId="140181CB">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昼间</w:t>
                  </w:r>
                </w:p>
              </w:tc>
              <w:tc>
                <w:tcPr>
                  <w:tcW w:w="939" w:type="dxa"/>
                  <w:tcBorders>
                    <w:tl2br w:val="nil"/>
                    <w:tr2bl w:val="nil"/>
                  </w:tcBorders>
                  <w:noWrap w:val="0"/>
                  <w:vAlign w:val="center"/>
                </w:tcPr>
                <w:p w14:paraId="25A3030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夜间</w:t>
                  </w:r>
                </w:p>
              </w:tc>
            </w:tr>
            <w:tr w14:paraId="032B45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86" w:type="dxa"/>
                  <w:tcBorders>
                    <w:tl2br w:val="nil"/>
                    <w:tr2bl w:val="nil"/>
                  </w:tcBorders>
                  <w:noWrap w:val="0"/>
                  <w:vAlign w:val="center"/>
                </w:tcPr>
                <w:p w14:paraId="71A29B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设备噪声</w:t>
                  </w:r>
                </w:p>
              </w:tc>
              <w:tc>
                <w:tcPr>
                  <w:tcW w:w="4491" w:type="dxa"/>
                  <w:tcBorders>
                    <w:tl2br w:val="nil"/>
                    <w:tr2bl w:val="nil"/>
                  </w:tcBorders>
                  <w:noWrap w:val="0"/>
                  <w:vAlign w:val="center"/>
                </w:tcPr>
                <w:p w14:paraId="15AA2D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《工业企业厂界环境噪声排放标准》（GB12348-2008）</w:t>
                  </w:r>
                  <w:r>
                    <w:rPr>
                      <w:rFonts w:hint="eastAsia" w:ascii="Times New Roman" w:hAnsi="Times New Roman"/>
                      <w:color w:val="000000" w:themeColor="text1"/>
                      <w:szCs w:val="21"/>
                      <w:highlight w:val="none"/>
                      <w:lang w:val="en-US" w:eastAsia="zh-CN"/>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类标准</w:t>
                  </w:r>
                </w:p>
              </w:tc>
              <w:tc>
                <w:tcPr>
                  <w:tcW w:w="981" w:type="dxa"/>
                  <w:tcBorders>
                    <w:tl2br w:val="nil"/>
                    <w:tr2bl w:val="nil"/>
                  </w:tcBorders>
                  <w:noWrap w:val="0"/>
                  <w:vAlign w:val="center"/>
                </w:tcPr>
                <w:p w14:paraId="5A7B1C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60</w:t>
                  </w:r>
                </w:p>
              </w:tc>
              <w:tc>
                <w:tcPr>
                  <w:tcW w:w="939" w:type="dxa"/>
                  <w:tcBorders>
                    <w:tl2br w:val="nil"/>
                    <w:tr2bl w:val="nil"/>
                  </w:tcBorders>
                  <w:noWrap w:val="0"/>
                  <w:vAlign w:val="center"/>
                </w:tcPr>
                <w:p w14:paraId="2BC2D7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50</w:t>
                  </w:r>
                </w:p>
              </w:tc>
            </w:tr>
          </w:tbl>
          <w:p w14:paraId="5C23FF9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固废</w:t>
            </w:r>
            <w:r>
              <w:rPr>
                <w:rFonts w:hint="eastAsia" w:ascii="Times New Roman" w:hAnsi="Times New Roman" w:cs="Times New Roman"/>
                <w:b/>
                <w:bCs/>
                <w:color w:val="000000" w:themeColor="text1"/>
                <w:sz w:val="24"/>
                <w:szCs w:val="24"/>
                <w:lang w:eastAsia="zh-CN"/>
                <w14:textFill>
                  <w14:solidFill>
                    <w14:schemeClr w14:val="tx1"/>
                  </w14:solidFill>
                </w14:textFill>
              </w:rPr>
              <w:t>排放标准</w:t>
            </w:r>
          </w:p>
          <w:p w14:paraId="15DBEDB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本项目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固体废物为废离子交换树脂。</w:t>
            </w:r>
          </w:p>
          <w:p w14:paraId="566D83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全自动软水制备装置运行过程中产生的废离子交换树脂由离子交换树脂厂家回收</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不在锅炉房贮存。</w:t>
            </w:r>
          </w:p>
        </w:tc>
      </w:tr>
      <w:tr w14:paraId="07BF4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2" w:hRule="atLeast"/>
          <w:jc w:val="center"/>
        </w:trPr>
        <w:tc>
          <w:tcPr>
            <w:tcW w:w="800" w:type="dxa"/>
            <w:tcBorders>
              <w:tl2br w:val="nil"/>
              <w:tr2bl w:val="nil"/>
            </w:tcBorders>
            <w:shd w:val="clear" w:color="auto" w:fill="auto"/>
            <w:tcMar>
              <w:left w:w="28" w:type="dxa"/>
              <w:right w:w="28" w:type="dxa"/>
            </w:tcMar>
            <w:vAlign w:val="center"/>
          </w:tcPr>
          <w:p w14:paraId="5DBAD7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总量</w:t>
            </w:r>
          </w:p>
          <w:p w14:paraId="2AA81E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控制</w:t>
            </w:r>
          </w:p>
          <w:p w14:paraId="041DE4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指标</w:t>
            </w:r>
          </w:p>
        </w:tc>
        <w:tc>
          <w:tcPr>
            <w:tcW w:w="8239" w:type="dxa"/>
            <w:tcBorders>
              <w:tl2br w:val="nil"/>
              <w:tr2bl w:val="nil"/>
            </w:tcBorders>
            <w:shd w:val="clear" w:color="auto" w:fill="auto"/>
            <w:vAlign w:val="center"/>
          </w:tcPr>
          <w:p w14:paraId="3D81BD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根据关于印发《“十四五”污染减排综合工作方案编制技术指南》：“十四五”期间对</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COD</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、氨氮、氮氧化物和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VOCs</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等主要污染物实行排放总量控制计划管理。</w:t>
            </w:r>
          </w:p>
          <w:p w14:paraId="1232C0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结合项目的工艺特征和排污特点，所在区域环境质量现状、评价最终得出建议新增总量指标为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COD、NH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p>
          <w:p w14:paraId="4BCEC72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（1）废气总量控制指标：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0.233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0E346B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olor w:val="000000" w:themeColor="text1"/>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（2）废水总量控制指标：COD:0.011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-N:0.0001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bl>
    <w:p w14:paraId="40C75CC1">
      <w:pPr>
        <w:pStyle w:val="23"/>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黑体" w:hAnsi="宋体" w:eastAsia="黑体" w:cs="Times New Roman"/>
          <w:snapToGrid w:val="0"/>
          <w:color w:val="000000" w:themeColor="text1"/>
          <w:sz w:val="36"/>
          <w:szCs w:val="36"/>
          <w:lang w:val="en-US" w:eastAsia="zh-CN" w:bidi="ar"/>
          <w14:textFill>
            <w14:solidFill>
              <w14:schemeClr w14:val="tx1"/>
            </w14:solidFill>
          </w14:textFill>
        </w:rPr>
        <w:br w:type="page"/>
      </w:r>
      <w:r>
        <w:rPr>
          <w:rFonts w:hint="eastAsia" w:ascii="宋体" w:hAnsi="宋体" w:eastAsia="宋体" w:cs="宋体"/>
          <w:b/>
          <w:bCs/>
          <w:snapToGrid w:val="0"/>
          <w:color w:val="000000" w:themeColor="text1"/>
          <w:sz w:val="30"/>
          <w:szCs w:val="30"/>
          <w:lang w:eastAsia="zh-CN"/>
          <w14:textFill>
            <w14:solidFill>
              <w14:schemeClr w14:val="tx1"/>
            </w14:solidFill>
          </w14:textFill>
        </w:rPr>
        <w:t>四、主要环境影响和保护措施</w:t>
      </w:r>
    </w:p>
    <w:tbl>
      <w:tblPr>
        <w:tblStyle w:val="26"/>
        <w:tblW w:w="924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94"/>
        <w:gridCol w:w="8651"/>
      </w:tblGrid>
      <w:tr w14:paraId="44EB97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3" w:hRule="atLeast"/>
          <w:jc w:val="center"/>
        </w:trPr>
        <w:tc>
          <w:tcPr>
            <w:tcW w:w="594" w:type="dxa"/>
            <w:tcBorders>
              <w:tl2br w:val="nil"/>
              <w:tr2bl w:val="nil"/>
            </w:tcBorders>
            <w:shd w:val="clear" w:color="auto" w:fill="auto"/>
            <w:tcMar>
              <w:left w:w="28" w:type="dxa"/>
              <w:right w:w="28" w:type="dxa"/>
            </w:tcMar>
            <w:vAlign w:val="center"/>
          </w:tcPr>
          <w:p w14:paraId="61943F67">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施工</w:t>
            </w:r>
          </w:p>
          <w:p w14:paraId="46B92FBB">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期环</w:t>
            </w:r>
          </w:p>
          <w:p w14:paraId="2878E671">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境保</w:t>
            </w:r>
          </w:p>
          <w:p w14:paraId="464C26E1">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护措</w:t>
            </w:r>
          </w:p>
          <w:p w14:paraId="1BB80FAA">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Cs/>
                <w:color w:val="000000" w:themeColor="text1"/>
                <w:kern w:val="2"/>
                <w:sz w:val="21"/>
                <w:szCs w:val="21"/>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施</w:t>
            </w:r>
          </w:p>
        </w:tc>
        <w:tc>
          <w:tcPr>
            <w:tcW w:w="8651" w:type="dxa"/>
            <w:tcBorders>
              <w:tl2br w:val="nil"/>
              <w:tr2bl w:val="nil"/>
            </w:tcBorders>
            <w:shd w:val="clear" w:color="auto" w:fill="auto"/>
            <w:vAlign w:val="center"/>
          </w:tcPr>
          <w:p w14:paraId="07CB5D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cs="宋体" w:eastAsiaTheme="minorEastAsia"/>
                <w:bCs/>
                <w:color w:val="000000" w:themeColor="text1"/>
                <w:spacing w:val="-10"/>
                <w:szCs w:val="21"/>
                <w:lang w:val="en-US" w:eastAsia="zh-CN"/>
                <w14:textFill>
                  <w14:solidFill>
                    <w14:schemeClr w14:val="tx1"/>
                  </w14:solidFill>
                </w14:textFill>
              </w:rPr>
            </w:pPr>
            <w:r>
              <w:rPr>
                <w:rFonts w:ascii="Times New Roman" w:hAnsi="Times New Roman"/>
                <w:color w:val="000000" w:themeColor="text1"/>
                <w:sz w:val="24"/>
                <w:highlight w:val="none"/>
                <w14:textFill>
                  <w14:solidFill>
                    <w14:schemeClr w14:val="tx1"/>
                  </w14:solidFill>
                </w14:textFill>
              </w:rPr>
              <w:t>根据现场调查，本项目</w:t>
            </w:r>
            <w:r>
              <w:rPr>
                <w:rFonts w:hint="eastAsia" w:ascii="Times New Roman" w:hAnsi="Times New Roman"/>
                <w:color w:val="000000" w:themeColor="text1"/>
                <w:sz w:val="24"/>
                <w:highlight w:val="none"/>
                <w:lang w:eastAsia="zh-CN"/>
                <w14:textFill>
                  <w14:solidFill>
                    <w14:schemeClr w14:val="tx1"/>
                  </w14:solidFill>
                </w14:textFill>
              </w:rPr>
              <w:t>已建</w:t>
            </w:r>
            <w:r>
              <w:rPr>
                <w:rFonts w:hint="eastAsia"/>
                <w:color w:val="000000" w:themeColor="text1"/>
                <w:sz w:val="24"/>
                <w14:textFill>
                  <w14:solidFill>
                    <w14:schemeClr w14:val="tx1"/>
                  </w14:solidFill>
                </w14:textFill>
              </w:rPr>
              <w:t>成，因此不存在施工期污染问题</w:t>
            </w:r>
            <w:r>
              <w:rPr>
                <w:rFonts w:hint="eastAsia" w:ascii="Times New Roman" w:hAnsi="Times New Roman"/>
                <w:color w:val="000000" w:themeColor="text1"/>
                <w:sz w:val="24"/>
                <w:highlight w:val="none"/>
                <w:lang w:eastAsia="zh-CN"/>
                <w14:textFill>
                  <w14:solidFill>
                    <w14:schemeClr w14:val="tx1"/>
                  </w14:solidFill>
                </w14:textFill>
              </w:rPr>
              <w:t>。</w:t>
            </w:r>
          </w:p>
        </w:tc>
      </w:tr>
      <w:tr w14:paraId="006C9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60" w:hRule="atLeast"/>
          <w:jc w:val="center"/>
        </w:trPr>
        <w:tc>
          <w:tcPr>
            <w:tcW w:w="594" w:type="dxa"/>
            <w:tcBorders>
              <w:tl2br w:val="nil"/>
              <w:tr2bl w:val="nil"/>
            </w:tcBorders>
            <w:shd w:val="clear" w:color="auto" w:fill="auto"/>
            <w:tcMar>
              <w:left w:w="28" w:type="dxa"/>
              <w:right w:w="28" w:type="dxa"/>
            </w:tcMar>
            <w:vAlign w:val="center"/>
          </w:tcPr>
          <w:p w14:paraId="3A8449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运营</w:t>
            </w:r>
          </w:p>
          <w:p w14:paraId="0C1B7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期环</w:t>
            </w:r>
          </w:p>
          <w:p w14:paraId="296575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境影</w:t>
            </w:r>
          </w:p>
          <w:p w14:paraId="2BACE1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响和</w:t>
            </w:r>
          </w:p>
          <w:p w14:paraId="638A8D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保护</w:t>
            </w:r>
          </w:p>
          <w:p w14:paraId="03043A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Cs/>
                <w:color w:val="000000" w:themeColor="text1"/>
                <w:szCs w:val="21"/>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措施</w:t>
            </w:r>
          </w:p>
        </w:tc>
        <w:tc>
          <w:tcPr>
            <w:tcW w:w="8651" w:type="dxa"/>
            <w:tcBorders>
              <w:tl2br w:val="nil"/>
              <w:tr2bl w:val="nil"/>
            </w:tcBorders>
            <w:shd w:val="clear" w:color="auto" w:fill="auto"/>
            <w:vAlign w:val="center"/>
          </w:tcPr>
          <w:p w14:paraId="3F78FFD3">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ascii="Times New Roman" w:hAnsi="Times New Roman"/>
                <w:b/>
                <w:bCs/>
                <w:color w:val="000000" w:themeColor="text1"/>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w:t>
            </w: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大气</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环境影响分析</w:t>
            </w:r>
          </w:p>
          <w:p w14:paraId="6C6B3281">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ascii="Times New Roman" w:hAnsi="Times New Roman"/>
                <w:b w:val="0"/>
                <w:bCs/>
                <w:color w:val="000000" w:themeColor="text1"/>
                <w:sz w:val="24"/>
                <w:szCs w:val="24"/>
                <w:highlight w:val="none"/>
                <w14:textFill>
                  <w14:solidFill>
                    <w14:schemeClr w14:val="tx1"/>
                  </w14:solidFill>
                </w14:textFill>
              </w:rPr>
            </w:pPr>
            <w:r>
              <w:rPr>
                <w:rFonts w:hint="default" w:ascii="Times New Roman" w:hAnsi="Times New Roman"/>
                <w:b w:val="0"/>
                <w:bCs/>
                <w:color w:val="000000" w:themeColor="text1"/>
                <w:sz w:val="24"/>
                <w:szCs w:val="24"/>
                <w:highlight w:val="none"/>
                <w:lang w:val="en-US" w:eastAsia="zh-CN"/>
                <w14:textFill>
                  <w14:solidFill>
                    <w14:schemeClr w14:val="tx1"/>
                  </w14:solidFill>
                </w14:textFill>
              </w:rPr>
              <w:t>本项目建设1座锅炉房，</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安装</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5</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台</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1.4MW</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燃气热水锅炉</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b w:val="0"/>
                <w:bCs/>
                <w:color w:val="000000" w:themeColor="text1"/>
                <w:sz w:val="24"/>
                <w:szCs w:val="24"/>
                <w:highlight w:val="none"/>
                <w:lang w:eastAsia="zh-CN"/>
                <w14:textFill>
                  <w14:solidFill>
                    <w14:schemeClr w14:val="tx1"/>
                  </w14:solidFill>
                </w14:textFill>
              </w:rPr>
              <w:t>本</w:t>
            </w:r>
            <w:r>
              <w:rPr>
                <w:rFonts w:hint="eastAsia" w:ascii="Times New Roman" w:hAnsi="Times New Roman"/>
                <w:b w:val="0"/>
                <w:bCs/>
                <w:color w:val="000000" w:themeColor="text1"/>
                <w:sz w:val="24"/>
                <w:szCs w:val="24"/>
                <w:highlight w:val="none"/>
                <w14:textFill>
                  <w14:solidFill>
                    <w14:schemeClr w14:val="tx1"/>
                  </w14:solidFill>
                </w14:textFill>
              </w:rPr>
              <w:t>项目</w:t>
            </w:r>
            <w:r>
              <w:rPr>
                <w:rFonts w:hint="eastAsia" w:ascii="Times New Roman" w:hAnsi="Times New Roman"/>
                <w:b w:val="0"/>
                <w:bCs/>
                <w:color w:val="000000" w:themeColor="text1"/>
                <w:sz w:val="24"/>
                <w:szCs w:val="24"/>
                <w:highlight w:val="none"/>
                <w:lang w:eastAsia="zh-CN"/>
                <w14:textFill>
                  <w14:solidFill>
                    <w14:schemeClr w14:val="tx1"/>
                  </w14:solidFill>
                </w14:textFill>
              </w:rPr>
              <w:t>运营期废气</w:t>
            </w:r>
            <w:r>
              <w:rPr>
                <w:rFonts w:hint="eastAsia" w:ascii="Times New Roman" w:hAnsi="Times New Roman"/>
                <w:b w:val="0"/>
                <w:bCs/>
                <w:color w:val="000000" w:themeColor="text1"/>
                <w:sz w:val="24"/>
                <w:szCs w:val="24"/>
                <w:highlight w:val="none"/>
                <w14:textFill>
                  <w14:solidFill>
                    <w14:schemeClr w14:val="tx1"/>
                  </w14:solidFill>
                </w14:textFill>
              </w:rPr>
              <w:t>主要为</w:t>
            </w:r>
            <w:r>
              <w:rPr>
                <w:rFonts w:hint="eastAsia" w:ascii="Times New Roman" w:hAnsi="Times New Roman"/>
                <w:b w:val="0"/>
                <w:bCs/>
                <w:color w:val="000000" w:themeColor="text1"/>
                <w:sz w:val="24"/>
                <w:szCs w:val="24"/>
                <w:highlight w:val="none"/>
                <w:lang w:eastAsia="zh-CN"/>
                <w14:textFill>
                  <w14:solidFill>
                    <w14:schemeClr w14:val="tx1"/>
                  </w14:solidFill>
                </w14:textFill>
              </w:rPr>
              <w:t>锅炉废气，主要污染物为</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颗粒物</w:t>
            </w:r>
            <w:r>
              <w:rPr>
                <w:rFonts w:hint="eastAsia" w:ascii="Times New Roman" w:hAnsi="Times New Roman"/>
                <w:b w:val="0"/>
                <w:bCs/>
                <w:color w:val="000000" w:themeColor="text1"/>
                <w:sz w:val="24"/>
                <w:szCs w:val="24"/>
                <w:highlight w:val="none"/>
                <w:lang w:eastAsia="zh-CN"/>
                <w14:textFill>
                  <w14:solidFill>
                    <w14:schemeClr w14:val="tx1"/>
                  </w14:solidFill>
                </w14:textFill>
              </w:rPr>
              <w:t>、二氧化硫、氮氧化物</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和林格曼黑度</w:t>
            </w:r>
            <w:r>
              <w:rPr>
                <w:rFonts w:ascii="Times New Roman" w:hAnsi="Times New Roman"/>
                <w:b w:val="0"/>
                <w:bCs/>
                <w:color w:val="000000" w:themeColor="text1"/>
                <w:sz w:val="24"/>
                <w:szCs w:val="24"/>
                <w:highlight w:val="none"/>
                <w14:textFill>
                  <w14:solidFill>
                    <w14:schemeClr w14:val="tx1"/>
                  </w14:solidFill>
                </w14:textFill>
              </w:rPr>
              <w:t>。</w:t>
            </w:r>
          </w:p>
          <w:p w14:paraId="45EF2898">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jc w:val="both"/>
              <w:textAlignment w:val="auto"/>
              <w:rPr>
                <w:rFonts w:hint="eastAsia" w:ascii="Times New Roman" w:hAnsi="Times New Roman" w:eastAsiaTheme="minorEastAsia"/>
                <w:b/>
                <w:bCs w:val="0"/>
                <w:color w:val="000000" w:themeColor="text1"/>
                <w:sz w:val="24"/>
                <w:szCs w:val="24"/>
                <w:lang w:eastAsia="zh-CN"/>
                <w14:textFill>
                  <w14:solidFill>
                    <w14:schemeClr w14:val="tx1"/>
                  </w14:solidFill>
                </w14:textFill>
              </w:rPr>
            </w:pP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污染物源强核算依据</w:t>
            </w:r>
          </w:p>
          <w:p w14:paraId="583DE2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ascii="Times New Roman" w:hAnsi="Times New Roman"/>
                <w:bCs/>
                <w:color w:val="000000" w:themeColor="text1"/>
                <w:sz w:val="24"/>
                <w:szCs w:val="24"/>
                <w:lang w:eastAsia="zh-CN"/>
                <w14:textFill>
                  <w14:solidFill>
                    <w14:schemeClr w14:val="tx1"/>
                  </w14:solidFill>
                </w14:textFill>
              </w:rPr>
            </w:pPr>
            <w:r>
              <w:rPr>
                <w:rFonts w:hint="eastAsia" w:ascii="Times New Roman" w:hAnsi="Times New Roman"/>
                <w:bCs/>
                <w:color w:val="000000" w:themeColor="text1"/>
                <w:sz w:val="24"/>
                <w:szCs w:val="24"/>
                <w:lang w:val="en-US" w:eastAsia="zh-CN"/>
                <w14:textFill>
                  <w14:solidFill>
                    <w14:schemeClr w14:val="tx1"/>
                  </w14:solidFill>
                </w14:textFill>
              </w:rPr>
              <w:t>本</w:t>
            </w:r>
            <w:r>
              <w:rPr>
                <w:rFonts w:hint="eastAsia" w:ascii="Times New Roman" w:hAnsi="Times New Roman"/>
                <w:bCs/>
                <w:color w:val="000000" w:themeColor="text1"/>
                <w:sz w:val="24"/>
                <w:szCs w:val="24"/>
                <w14:textFill>
                  <w14:solidFill>
                    <w14:schemeClr w14:val="tx1"/>
                  </w14:solidFill>
                </w14:textFill>
              </w:rPr>
              <w:t>项目锅炉房</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安装</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5</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台</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1.4MW</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燃气热水锅炉</w:t>
            </w:r>
            <w:r>
              <w:rPr>
                <w:rFonts w:hint="eastAsia" w:ascii="Times New Roman" w:hAnsi="Times New Roman"/>
                <w:bCs/>
                <w:color w:val="000000" w:themeColor="text1"/>
                <w:sz w:val="24"/>
                <w:szCs w:val="24"/>
                <w:lang w:eastAsia="zh-CN"/>
                <w14:textFill>
                  <w14:solidFill>
                    <w14:schemeClr w14:val="tx1"/>
                  </w14:solidFill>
                </w14:textFill>
              </w:rPr>
              <w:t>，</w:t>
            </w:r>
            <w:r>
              <w:rPr>
                <w:rFonts w:hint="eastAsia" w:ascii="Times New Roman" w:hAnsi="Times New Roman"/>
                <w:bCs/>
                <w:color w:val="000000" w:themeColor="text1"/>
                <w:sz w:val="24"/>
                <w:szCs w:val="24"/>
                <w:lang w:val="en-US" w:eastAsia="zh-CN"/>
                <w14:textFill>
                  <w14:solidFill>
                    <w14:schemeClr w14:val="tx1"/>
                  </w14:solidFill>
                </w14:textFill>
              </w:rPr>
              <w:t>用于</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未央经典（西旅逸都）住宅小区冬季集中供暖</w:t>
            </w:r>
            <w:r>
              <w:rPr>
                <w:rFonts w:hint="eastAsia" w:ascii="Times New Roman" w:hAnsi="Times New Roman"/>
                <w:bCs/>
                <w:color w:val="000000" w:themeColor="text1"/>
                <w:sz w:val="24"/>
                <w:szCs w:val="24"/>
                <w:lang w:val="en-US" w:eastAsia="zh-CN"/>
                <w14:textFill>
                  <w14:solidFill>
                    <w14:schemeClr w14:val="tx1"/>
                  </w14:solidFill>
                </w14:textFill>
              </w:rPr>
              <w:t>，锅</w:t>
            </w:r>
            <w:r>
              <w:rPr>
                <w:rFonts w:hint="eastAsia" w:ascii="Times New Roman" w:hAnsi="Times New Roman"/>
                <w:bCs/>
                <w:color w:val="000000" w:themeColor="text1"/>
                <w:sz w:val="24"/>
                <w:szCs w:val="24"/>
                <w14:textFill>
                  <w14:solidFill>
                    <w14:schemeClr w14:val="tx1"/>
                  </w14:solidFill>
                </w14:textFill>
              </w:rPr>
              <w:t>炉</w:t>
            </w:r>
            <w:r>
              <w:rPr>
                <w:rFonts w:hint="eastAsia" w:ascii="Times New Roman" w:hAnsi="Times New Roman"/>
                <w:bCs/>
                <w:color w:val="000000" w:themeColor="text1"/>
                <w:sz w:val="24"/>
                <w:szCs w:val="24"/>
                <w:lang w:val="en-US" w:eastAsia="zh-CN"/>
                <w14:textFill>
                  <w14:solidFill>
                    <w14:schemeClr w14:val="tx1"/>
                  </w14:solidFill>
                </w14:textFill>
              </w:rPr>
              <w:t>低氮燃烧器采用国际领先燃烧技术，5台锅炉</w:t>
            </w:r>
            <w:r>
              <w:rPr>
                <w:rFonts w:hint="eastAsia" w:ascii="Times New Roman" w:hAnsi="Times New Roman"/>
                <w:bCs/>
                <w:color w:val="000000" w:themeColor="text1"/>
                <w:sz w:val="24"/>
                <w:szCs w:val="24"/>
                <w14:textFill>
                  <w14:solidFill>
                    <w14:schemeClr w14:val="tx1"/>
                  </w14:solidFill>
                </w14:textFill>
              </w:rPr>
              <w:t>烟气</w:t>
            </w:r>
            <w:r>
              <w:rPr>
                <w:rFonts w:hint="eastAsia" w:ascii="Times New Roman" w:hAnsi="Times New Roman"/>
                <w:bCs/>
                <w:color w:val="000000" w:themeColor="text1"/>
                <w:sz w:val="24"/>
                <w:szCs w:val="24"/>
                <w:lang w:val="en-US" w:eastAsia="zh-CN"/>
                <w14:textFill>
                  <w14:solidFill>
                    <w14:schemeClr w14:val="tx1"/>
                  </w14:solidFill>
                </w14:textFill>
              </w:rPr>
              <w:t>收集后经1根37m</w:t>
            </w:r>
            <w:r>
              <w:rPr>
                <w:rFonts w:hint="eastAsia" w:ascii="Times New Roman" w:hAnsi="Times New Roman"/>
                <w:bCs/>
                <w:color w:val="000000" w:themeColor="text1"/>
                <w:sz w:val="24"/>
                <w:szCs w:val="24"/>
                <w14:textFill>
                  <w14:solidFill>
                    <w14:schemeClr w14:val="tx1"/>
                  </w14:solidFill>
                </w14:textFill>
              </w:rPr>
              <w:t>排气筒</w:t>
            </w:r>
            <w:r>
              <w:rPr>
                <w:rFonts w:hint="eastAsia" w:ascii="Times New Roman" w:hAnsi="Times New Roman"/>
                <w:bCs/>
                <w:color w:val="000000" w:themeColor="text1"/>
                <w:sz w:val="24"/>
                <w:szCs w:val="24"/>
                <w:lang w:eastAsia="zh-CN"/>
                <w14:textFill>
                  <w14:solidFill>
                    <w14:schemeClr w14:val="tx1"/>
                  </w14:solidFill>
                </w14:textFill>
              </w:rPr>
              <w:t>（</w:t>
            </w:r>
            <w:r>
              <w:rPr>
                <w:rFonts w:hint="eastAsia" w:ascii="Times New Roman" w:hAnsi="Times New Roman"/>
                <w:bCs/>
                <w:color w:val="000000" w:themeColor="text1"/>
                <w:sz w:val="24"/>
                <w:szCs w:val="24"/>
                <w:lang w:val="en-US" w:eastAsia="zh-CN"/>
                <w14:textFill>
                  <w14:solidFill>
                    <w14:schemeClr w14:val="tx1"/>
                  </w14:solidFill>
                </w14:textFill>
              </w:rPr>
              <w:t>DA001</w:t>
            </w:r>
            <w:r>
              <w:rPr>
                <w:rFonts w:hint="eastAsia" w:ascii="Times New Roman" w:hAnsi="Times New Roman"/>
                <w:bCs/>
                <w:color w:val="000000" w:themeColor="text1"/>
                <w:sz w:val="24"/>
                <w:szCs w:val="24"/>
                <w:lang w:eastAsia="zh-CN"/>
                <w14:textFill>
                  <w14:solidFill>
                    <w14:schemeClr w14:val="tx1"/>
                  </w14:solidFill>
                </w14:textFill>
              </w:rPr>
              <w:t>）</w:t>
            </w:r>
            <w:r>
              <w:rPr>
                <w:rFonts w:hint="eastAsia" w:ascii="Times New Roman" w:hAnsi="Times New Roman"/>
                <w:bCs/>
                <w:color w:val="000000" w:themeColor="text1"/>
                <w:sz w:val="24"/>
                <w:szCs w:val="24"/>
                <w14:textFill>
                  <w14:solidFill>
                    <w14:schemeClr w14:val="tx1"/>
                  </w14:solidFill>
                </w14:textFill>
              </w:rPr>
              <w:t>排放</w:t>
            </w:r>
            <w:r>
              <w:rPr>
                <w:rFonts w:hint="eastAsia" w:ascii="Times New Roman" w:hAnsi="Times New Roman"/>
                <w:bCs/>
                <w:color w:val="000000" w:themeColor="text1"/>
                <w:sz w:val="24"/>
                <w:szCs w:val="24"/>
                <w:lang w:eastAsia="zh-CN"/>
                <w14:textFill>
                  <w14:solidFill>
                    <w14:schemeClr w14:val="tx1"/>
                  </w14:solidFill>
                </w14:textFill>
              </w:rPr>
              <w:t>。</w:t>
            </w:r>
          </w:p>
          <w:p w14:paraId="7D6246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cs="Calibri"/>
                <w:color w:val="000000" w:themeColor="text1"/>
                <w:sz w:val="24"/>
                <w:lang w:val="en-US"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因本项目已建成并投入运营，本次污染物源强核算参照陕西正泽检测科技有限公司出具的例行监测报告中数据（报告编号：ZZJC-2024-H-03-042、ZZJC-2024-H-03-090，附件5、附件6）进行达标符合性分析；监测时锅炉房5台锅炉同时运行，锅炉房整体运行工况为80%，锅炉运行正常，并留有容量，保障小区正常供暖。</w:t>
            </w:r>
          </w:p>
          <w:p w14:paraId="3E7FDE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pP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本项目锅炉房</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废气污染物产排情况一览表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见表4-1。</w:t>
            </w:r>
          </w:p>
          <w:p w14:paraId="0393243B">
            <w:pPr>
              <w:pStyle w:val="5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 xml:space="preserve">表4-1  </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废气污染物排放情况表</w:t>
            </w:r>
          </w:p>
          <w:tbl>
            <w:tblPr>
              <w:tblStyle w:val="26"/>
              <w:tblW w:w="850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93"/>
              <w:gridCol w:w="587"/>
              <w:gridCol w:w="586"/>
              <w:gridCol w:w="655"/>
              <w:gridCol w:w="436"/>
              <w:gridCol w:w="627"/>
              <w:gridCol w:w="614"/>
              <w:gridCol w:w="873"/>
              <w:gridCol w:w="441"/>
              <w:gridCol w:w="665"/>
              <w:gridCol w:w="625"/>
              <w:gridCol w:w="519"/>
              <w:gridCol w:w="364"/>
              <w:gridCol w:w="461"/>
              <w:gridCol w:w="456"/>
            </w:tblGrid>
            <w:tr w14:paraId="0687F2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1180" w:type="dxa"/>
                  <w:gridSpan w:val="2"/>
                  <w:tcBorders>
                    <w:tl2br w:val="nil"/>
                    <w:tr2bl w:val="nil"/>
                  </w:tcBorders>
                  <w:vAlign w:val="center"/>
                </w:tcPr>
                <w:p w14:paraId="12832F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污染源名称</w:t>
                  </w:r>
                </w:p>
              </w:tc>
              <w:tc>
                <w:tcPr>
                  <w:tcW w:w="7322" w:type="dxa"/>
                  <w:gridSpan w:val="13"/>
                  <w:tcBorders>
                    <w:tl2br w:val="nil"/>
                    <w:tr2bl w:val="nil"/>
                  </w:tcBorders>
                  <w:vAlign w:val="center"/>
                </w:tcPr>
                <w:p w14:paraId="176366C6">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5</w:t>
                  </w: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台</w:t>
                  </w: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1.4MW</w:t>
                  </w: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燃气热水锅炉</w:t>
                  </w:r>
                </w:p>
              </w:tc>
            </w:tr>
            <w:tr w14:paraId="0F0E81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593" w:type="dxa"/>
                  <w:vMerge w:val="restart"/>
                  <w:tcBorders>
                    <w:tl2br w:val="nil"/>
                    <w:tr2bl w:val="nil"/>
                  </w:tcBorders>
                  <w:shd w:val="clear" w:color="auto" w:fill="auto"/>
                  <w:vAlign w:val="center"/>
                </w:tcPr>
                <w:p w14:paraId="30668B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废气量Nm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p>
              </w:tc>
              <w:tc>
                <w:tcPr>
                  <w:tcW w:w="587" w:type="dxa"/>
                  <w:vMerge w:val="restart"/>
                  <w:tcBorders>
                    <w:tl2br w:val="nil"/>
                    <w:tr2bl w:val="nil"/>
                  </w:tcBorders>
                  <w:shd w:val="clear" w:color="auto" w:fill="auto"/>
                  <w:vAlign w:val="center"/>
                </w:tcPr>
                <w:p w14:paraId="499588F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污染物名称</w:t>
                  </w:r>
                </w:p>
              </w:tc>
              <w:tc>
                <w:tcPr>
                  <w:tcW w:w="2918" w:type="dxa"/>
                  <w:gridSpan w:val="5"/>
                  <w:tcBorders>
                    <w:tl2br w:val="nil"/>
                    <w:tr2bl w:val="nil"/>
                  </w:tcBorders>
                  <w:vAlign w:val="center"/>
                </w:tcPr>
                <w:p w14:paraId="3C7C644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产生情况</w:t>
                  </w:r>
                </w:p>
              </w:tc>
              <w:tc>
                <w:tcPr>
                  <w:tcW w:w="1314" w:type="dxa"/>
                  <w:gridSpan w:val="2"/>
                  <w:tcBorders>
                    <w:tl2br w:val="nil"/>
                    <w:tr2bl w:val="nil"/>
                  </w:tcBorders>
                  <w:vAlign w:val="center"/>
                </w:tcPr>
                <w:p w14:paraId="6EA673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治理措施</w:t>
                  </w:r>
                </w:p>
              </w:tc>
              <w:tc>
                <w:tcPr>
                  <w:tcW w:w="1809" w:type="dxa"/>
                  <w:gridSpan w:val="3"/>
                  <w:tcBorders>
                    <w:tl2br w:val="nil"/>
                    <w:tr2bl w:val="nil"/>
                  </w:tcBorders>
                  <w:vAlign w:val="center"/>
                </w:tcPr>
                <w:p w14:paraId="1581F1B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排放状况</w:t>
                  </w:r>
                </w:p>
              </w:tc>
              <w:tc>
                <w:tcPr>
                  <w:tcW w:w="825" w:type="dxa"/>
                  <w:gridSpan w:val="2"/>
                  <w:tcBorders>
                    <w:tl2br w:val="nil"/>
                    <w:tr2bl w:val="nil"/>
                  </w:tcBorders>
                  <w:vAlign w:val="center"/>
                </w:tcPr>
                <w:p w14:paraId="13119CB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执行</w:t>
                  </w:r>
                </w:p>
                <w:p w14:paraId="053C948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标准</w:t>
                  </w:r>
                </w:p>
              </w:tc>
              <w:tc>
                <w:tcPr>
                  <w:tcW w:w="456" w:type="dxa"/>
                  <w:vMerge w:val="restart"/>
                  <w:tcBorders>
                    <w:tl2br w:val="nil"/>
                    <w:tr2bl w:val="nil"/>
                  </w:tcBorders>
                  <w:vAlign w:val="center"/>
                </w:tcPr>
                <w:p w14:paraId="7D50D5F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运行时间</w:t>
                  </w:r>
                </w:p>
              </w:tc>
            </w:tr>
            <w:tr w14:paraId="7CDDA9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981" w:hRule="atLeast"/>
                <w:jc w:val="center"/>
              </w:trPr>
              <w:tc>
                <w:tcPr>
                  <w:tcW w:w="593" w:type="dxa"/>
                  <w:vMerge w:val="continue"/>
                  <w:tcBorders>
                    <w:tl2br w:val="nil"/>
                    <w:tr2bl w:val="nil"/>
                  </w:tcBorders>
                  <w:vAlign w:val="center"/>
                </w:tcPr>
                <w:p w14:paraId="55D539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87" w:type="dxa"/>
                  <w:vMerge w:val="continue"/>
                  <w:tcBorders>
                    <w:tl2br w:val="nil"/>
                    <w:tr2bl w:val="nil"/>
                  </w:tcBorders>
                  <w:vAlign w:val="center"/>
                </w:tcPr>
                <w:p w14:paraId="2BB4C3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86" w:type="dxa"/>
                  <w:tcBorders>
                    <w:tl2br w:val="nil"/>
                    <w:tr2bl w:val="nil"/>
                  </w:tcBorders>
                  <w:shd w:val="clear" w:color="auto" w:fill="auto"/>
                  <w:vAlign w:val="center"/>
                </w:tcPr>
                <w:p w14:paraId="721B3A5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年产生量t/a</w:t>
                  </w:r>
                </w:p>
              </w:tc>
              <w:tc>
                <w:tcPr>
                  <w:tcW w:w="655" w:type="dxa"/>
                  <w:tcBorders>
                    <w:tl2br w:val="nil"/>
                    <w:tr2bl w:val="nil"/>
                  </w:tcBorders>
                  <w:shd w:val="clear" w:color="auto" w:fill="auto"/>
                  <w:vAlign w:val="center"/>
                </w:tcPr>
                <w:p w14:paraId="5D4188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1EBDD77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kg/h</w:t>
                  </w:r>
                </w:p>
              </w:tc>
              <w:tc>
                <w:tcPr>
                  <w:tcW w:w="436" w:type="dxa"/>
                  <w:tcBorders>
                    <w:tl2br w:val="nil"/>
                    <w:tr2bl w:val="nil"/>
                  </w:tcBorders>
                  <w:vAlign w:val="center"/>
                </w:tcPr>
                <w:p w14:paraId="0F2051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含氧量</w:t>
                  </w:r>
                </w:p>
              </w:tc>
              <w:tc>
                <w:tcPr>
                  <w:tcW w:w="627" w:type="dxa"/>
                  <w:tcBorders>
                    <w:tl2br w:val="nil"/>
                    <w:tr2bl w:val="nil"/>
                  </w:tcBorders>
                  <w:vAlign w:val="center"/>
                </w:tcPr>
                <w:p w14:paraId="785A20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实测</w:t>
                  </w:r>
                  <w:r>
                    <w:rPr>
                      <w:rFonts w:hint="default" w:ascii="Times New Roman" w:hAnsi="Times New Roman" w:eastAsia="宋体" w:cs="Times New Roman"/>
                      <w:b/>
                      <w:bCs/>
                      <w:color w:val="000000" w:themeColor="text1"/>
                      <w:sz w:val="21"/>
                      <w:szCs w:val="21"/>
                      <w14:textFill>
                        <w14:solidFill>
                          <w14:schemeClr w14:val="tx1"/>
                        </w14:solidFill>
                      </w14:textFill>
                    </w:rPr>
                    <w:t>浓度mg/Nm</w:t>
                  </w:r>
                  <w:r>
                    <w:rPr>
                      <w:rFonts w:hint="default" w:ascii="Times New Roman" w:hAnsi="Times New Roman" w:eastAsia="宋体" w:cs="Times New Roman"/>
                      <w:b/>
                      <w:bCs/>
                      <w:color w:val="000000" w:themeColor="text1"/>
                      <w:sz w:val="21"/>
                      <w:szCs w:val="21"/>
                      <w:vertAlign w:val="superscript"/>
                      <w14:textFill>
                        <w14:solidFill>
                          <w14:schemeClr w14:val="tx1"/>
                        </w14:solidFill>
                      </w14:textFill>
                    </w:rPr>
                    <w:t>3</w:t>
                  </w:r>
                </w:p>
              </w:tc>
              <w:tc>
                <w:tcPr>
                  <w:tcW w:w="614" w:type="dxa"/>
                  <w:tcBorders>
                    <w:tl2br w:val="nil"/>
                    <w:tr2bl w:val="nil"/>
                  </w:tcBorders>
                  <w:vAlign w:val="center"/>
                </w:tcPr>
                <w:p w14:paraId="2072B4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折算</w:t>
                  </w:r>
                  <w:r>
                    <w:rPr>
                      <w:rFonts w:hint="default" w:ascii="Times New Roman" w:hAnsi="Times New Roman" w:eastAsia="宋体" w:cs="Times New Roman"/>
                      <w:b/>
                      <w:bCs/>
                      <w:color w:val="000000" w:themeColor="text1"/>
                      <w:sz w:val="21"/>
                      <w:szCs w:val="21"/>
                      <w14:textFill>
                        <w14:solidFill>
                          <w14:schemeClr w14:val="tx1"/>
                        </w14:solidFill>
                      </w14:textFill>
                    </w:rPr>
                    <w:t>浓度mg/Nm</w:t>
                  </w:r>
                  <w:r>
                    <w:rPr>
                      <w:rFonts w:hint="default" w:ascii="Times New Roman" w:hAnsi="Times New Roman" w:eastAsia="宋体" w:cs="Times New Roman"/>
                      <w:b/>
                      <w:bCs/>
                      <w:color w:val="000000" w:themeColor="text1"/>
                      <w:sz w:val="21"/>
                      <w:szCs w:val="21"/>
                      <w:vertAlign w:val="superscript"/>
                      <w14:textFill>
                        <w14:solidFill>
                          <w14:schemeClr w14:val="tx1"/>
                        </w14:solidFill>
                      </w14:textFill>
                    </w:rPr>
                    <w:t>3</w:t>
                  </w:r>
                </w:p>
              </w:tc>
              <w:tc>
                <w:tcPr>
                  <w:tcW w:w="873" w:type="dxa"/>
                  <w:tcBorders>
                    <w:tl2br w:val="nil"/>
                    <w:tr2bl w:val="nil"/>
                  </w:tcBorders>
                  <w:vAlign w:val="center"/>
                </w:tcPr>
                <w:p w14:paraId="2AA1D4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工艺</w:t>
                  </w:r>
                </w:p>
              </w:tc>
              <w:tc>
                <w:tcPr>
                  <w:tcW w:w="441" w:type="dxa"/>
                  <w:tcBorders>
                    <w:tl2br w:val="nil"/>
                    <w:tr2bl w:val="nil"/>
                  </w:tcBorders>
                  <w:vAlign w:val="center"/>
                </w:tcPr>
                <w:p w14:paraId="11B18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是否为可行性技术</w:t>
                  </w:r>
                </w:p>
              </w:tc>
              <w:tc>
                <w:tcPr>
                  <w:tcW w:w="665" w:type="dxa"/>
                  <w:tcBorders>
                    <w:tl2br w:val="nil"/>
                    <w:tr2bl w:val="nil"/>
                  </w:tcBorders>
                  <w:vAlign w:val="center"/>
                </w:tcPr>
                <w:p w14:paraId="3DCC561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排放量t/a</w:t>
                  </w:r>
                </w:p>
              </w:tc>
              <w:tc>
                <w:tcPr>
                  <w:tcW w:w="625" w:type="dxa"/>
                  <w:tcBorders>
                    <w:tl2br w:val="nil"/>
                    <w:tr2bl w:val="nil"/>
                  </w:tcBorders>
                  <w:vAlign w:val="center"/>
                </w:tcPr>
                <w:p w14:paraId="33B7F3C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011AB0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kg/h</w:t>
                  </w:r>
                </w:p>
              </w:tc>
              <w:tc>
                <w:tcPr>
                  <w:tcW w:w="519" w:type="dxa"/>
                  <w:tcBorders>
                    <w:tl2br w:val="nil"/>
                    <w:tr2bl w:val="nil"/>
                  </w:tcBorders>
                  <w:vAlign w:val="center"/>
                </w:tcPr>
                <w:p w14:paraId="1FE605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折算</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浓度mg/Nm</w:t>
                  </w:r>
                  <w:r>
                    <w:rPr>
                      <w:rFonts w:hint="default" w:ascii="Times New Roman" w:hAnsi="Times New Roman" w:eastAsia="宋体" w:cs="Times New Roman"/>
                      <w:b/>
                      <w:bCs/>
                      <w:color w:val="000000" w:themeColor="text1"/>
                      <w:sz w:val="21"/>
                      <w:szCs w:val="21"/>
                      <w:vertAlign w:val="superscript"/>
                      <w:lang w:val="en-US" w:eastAsia="zh-CN"/>
                      <w14:textFill>
                        <w14:solidFill>
                          <w14:schemeClr w14:val="tx1"/>
                        </w14:solidFill>
                      </w14:textFill>
                    </w:rPr>
                    <w:t>3</w:t>
                  </w:r>
                </w:p>
              </w:tc>
              <w:tc>
                <w:tcPr>
                  <w:tcW w:w="364" w:type="dxa"/>
                  <w:tcBorders>
                    <w:tl2br w:val="nil"/>
                    <w:tr2bl w:val="nil"/>
                  </w:tcBorders>
                  <w:vAlign w:val="center"/>
                </w:tcPr>
                <w:p w14:paraId="1D6A2C2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速率kg/h</w:t>
                  </w:r>
                </w:p>
              </w:tc>
              <w:tc>
                <w:tcPr>
                  <w:tcW w:w="461" w:type="dxa"/>
                  <w:tcBorders>
                    <w:tl2br w:val="nil"/>
                    <w:tr2bl w:val="nil"/>
                  </w:tcBorders>
                  <w:vAlign w:val="center"/>
                </w:tcPr>
                <w:p w14:paraId="148457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w:t>
                  </w:r>
                </w:p>
                <w:p w14:paraId="6E3385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mg/Nm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p>
              </w:tc>
              <w:tc>
                <w:tcPr>
                  <w:tcW w:w="456" w:type="dxa"/>
                  <w:vMerge w:val="continue"/>
                  <w:tcBorders>
                    <w:tl2br w:val="nil"/>
                    <w:tr2bl w:val="nil"/>
                  </w:tcBorders>
                  <w:vAlign w:val="center"/>
                </w:tcPr>
                <w:p w14:paraId="39799496">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r>
            <w:tr w14:paraId="11C349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593" w:type="dxa"/>
                  <w:vMerge w:val="restart"/>
                  <w:tcBorders>
                    <w:tl2br w:val="nil"/>
                    <w:tr2bl w:val="nil"/>
                  </w:tcBorders>
                  <w:shd w:val="clear" w:color="auto" w:fill="auto"/>
                  <w:vAlign w:val="center"/>
                </w:tcPr>
                <w:p w14:paraId="0F3B45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17689</w:t>
                  </w:r>
                </w:p>
              </w:tc>
              <w:tc>
                <w:tcPr>
                  <w:tcW w:w="587" w:type="dxa"/>
                  <w:tcBorders>
                    <w:tl2br w:val="nil"/>
                    <w:tr2bl w:val="nil"/>
                  </w:tcBorders>
                  <w:shd w:val="clear" w:color="auto" w:fill="auto"/>
                  <w:vAlign w:val="center"/>
                </w:tcPr>
                <w:p w14:paraId="281C6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SO</w:t>
                  </w:r>
                  <w:r>
                    <w:rPr>
                      <w:rFonts w:hint="eastAsia" w:ascii="Times New Roman" w:hAnsi="Times New Roman" w:cs="Times New Roman"/>
                      <w:b w:val="0"/>
                      <w:bCs w:val="0"/>
                      <w:color w:val="000000" w:themeColor="text1"/>
                      <w:kern w:val="0"/>
                      <w:sz w:val="21"/>
                      <w:szCs w:val="21"/>
                      <w:vertAlign w:val="subscript"/>
                      <w:lang w:val="en-US" w:eastAsia="zh-CN"/>
                      <w14:textFill>
                        <w14:solidFill>
                          <w14:schemeClr w14:val="tx1"/>
                        </w14:solidFill>
                      </w14:textFill>
                    </w:rPr>
                    <w:t>2</w:t>
                  </w:r>
                </w:p>
              </w:tc>
              <w:tc>
                <w:tcPr>
                  <w:tcW w:w="586" w:type="dxa"/>
                  <w:tcBorders>
                    <w:tl2br w:val="nil"/>
                    <w:tr2bl w:val="nil"/>
                  </w:tcBorders>
                  <w:shd w:val="clear" w:color="auto" w:fill="auto"/>
                  <w:vAlign w:val="center"/>
                </w:tcPr>
                <w:p w14:paraId="065B77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0.018</w:t>
                  </w:r>
                </w:p>
              </w:tc>
              <w:tc>
                <w:tcPr>
                  <w:tcW w:w="655" w:type="dxa"/>
                  <w:tcBorders>
                    <w:tl2br w:val="nil"/>
                    <w:tr2bl w:val="nil"/>
                  </w:tcBorders>
                  <w:shd w:val="clear" w:color="auto" w:fill="auto"/>
                  <w:vAlign w:val="center"/>
                </w:tcPr>
                <w:p w14:paraId="75055B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0.015</w:t>
                  </w:r>
                </w:p>
              </w:tc>
              <w:tc>
                <w:tcPr>
                  <w:tcW w:w="436" w:type="dxa"/>
                  <w:tcBorders>
                    <w:tl2br w:val="nil"/>
                    <w:tr2bl w:val="nil"/>
                  </w:tcBorders>
                  <w:vAlign w:val="center"/>
                </w:tcPr>
                <w:p w14:paraId="191C21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7.9</w:t>
                  </w:r>
                </w:p>
              </w:tc>
              <w:tc>
                <w:tcPr>
                  <w:tcW w:w="627" w:type="dxa"/>
                  <w:tcBorders>
                    <w:tl2br w:val="nil"/>
                    <w:tr2bl w:val="nil"/>
                  </w:tcBorders>
                  <w:vAlign w:val="center"/>
                </w:tcPr>
                <w:p w14:paraId="358551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3ND</w:t>
                  </w:r>
                </w:p>
              </w:tc>
              <w:tc>
                <w:tcPr>
                  <w:tcW w:w="614" w:type="dxa"/>
                  <w:tcBorders>
                    <w:tl2br w:val="nil"/>
                    <w:tr2bl w:val="nil"/>
                  </w:tcBorders>
                  <w:vAlign w:val="center"/>
                </w:tcPr>
                <w:p w14:paraId="421005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3ND</w:t>
                  </w:r>
                </w:p>
              </w:tc>
              <w:tc>
                <w:tcPr>
                  <w:tcW w:w="873" w:type="dxa"/>
                  <w:vMerge w:val="restart"/>
                  <w:tcBorders>
                    <w:tl2br w:val="nil"/>
                    <w:tr2bl w:val="nil"/>
                  </w:tcBorders>
                  <w:vAlign w:val="center"/>
                </w:tcPr>
                <w:p w14:paraId="0613F3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Times New Roman"/>
                      <w:bCs/>
                      <w:color w:val="000000" w:themeColor="text1"/>
                      <w:kern w:val="0"/>
                      <w:sz w:val="21"/>
                      <w:szCs w:val="21"/>
                      <w:lang w:eastAsia="zh-CN"/>
                      <w14:textFill>
                        <w14:solidFill>
                          <w14:schemeClr w14:val="tx1"/>
                        </w14:solidFill>
                      </w14:textFill>
                    </w:rPr>
                    <w:t>经低氮燃烧器后废气通过</w:t>
                  </w:r>
                  <w:r>
                    <w:rPr>
                      <w:rFonts w:hint="eastAsia" w:ascii="Times New Roman" w:hAnsi="Times New Roman" w:cs="Times New Roman"/>
                      <w:bCs/>
                      <w:color w:val="000000" w:themeColor="text1"/>
                      <w:kern w:val="0"/>
                      <w:sz w:val="21"/>
                      <w:szCs w:val="21"/>
                      <w:lang w:val="en-US" w:eastAsia="zh-CN"/>
                      <w14:textFill>
                        <w14:solidFill>
                          <w14:schemeClr w14:val="tx1"/>
                        </w14:solidFill>
                      </w14:textFill>
                    </w:rPr>
                    <w:t>1根37</w:t>
                  </w:r>
                  <w:r>
                    <w:rPr>
                      <w:rFonts w:hint="eastAsia" w:ascii="Times New Roman" w:hAnsi="Times New Roman" w:cs="Times New Roman"/>
                      <w:bCs/>
                      <w:color w:val="000000" w:themeColor="text1"/>
                      <w:kern w:val="0"/>
                      <w:sz w:val="21"/>
                      <w:szCs w:val="21"/>
                      <w:lang w:eastAsia="zh-CN"/>
                      <w14:textFill>
                        <w14:solidFill>
                          <w14:schemeClr w14:val="tx1"/>
                        </w14:solidFill>
                      </w14:textFill>
                    </w:rPr>
                    <w:t>m排气筒（DA001）排放；</w:t>
                  </w:r>
                </w:p>
              </w:tc>
              <w:tc>
                <w:tcPr>
                  <w:tcW w:w="441" w:type="dxa"/>
                  <w:tcBorders>
                    <w:tl2br w:val="nil"/>
                    <w:tr2bl w:val="nil"/>
                  </w:tcBorders>
                  <w:vAlign w:val="center"/>
                </w:tcPr>
                <w:p w14:paraId="2C21B8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w:t>
                  </w:r>
                </w:p>
              </w:tc>
              <w:tc>
                <w:tcPr>
                  <w:tcW w:w="665" w:type="dxa"/>
                  <w:tcBorders>
                    <w:tl2br w:val="nil"/>
                    <w:tr2bl w:val="nil"/>
                  </w:tcBorders>
                  <w:vAlign w:val="center"/>
                </w:tcPr>
                <w:p w14:paraId="17F78A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0.018</w:t>
                  </w:r>
                </w:p>
              </w:tc>
              <w:tc>
                <w:tcPr>
                  <w:tcW w:w="625" w:type="dxa"/>
                  <w:tcBorders>
                    <w:tl2br w:val="nil"/>
                    <w:tr2bl w:val="nil"/>
                  </w:tcBorders>
                  <w:vAlign w:val="center"/>
                </w:tcPr>
                <w:p w14:paraId="6D950C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0.015</w:t>
                  </w:r>
                </w:p>
              </w:tc>
              <w:tc>
                <w:tcPr>
                  <w:tcW w:w="519" w:type="dxa"/>
                  <w:tcBorders>
                    <w:tl2br w:val="nil"/>
                    <w:tr2bl w:val="nil"/>
                  </w:tcBorders>
                  <w:vAlign w:val="center"/>
                </w:tcPr>
                <w:p w14:paraId="156167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3ND</w:t>
                  </w:r>
                </w:p>
              </w:tc>
              <w:tc>
                <w:tcPr>
                  <w:tcW w:w="364" w:type="dxa"/>
                  <w:tcBorders>
                    <w:tl2br w:val="nil"/>
                    <w:tr2bl w:val="nil"/>
                  </w:tcBorders>
                  <w:vAlign w:val="center"/>
                </w:tcPr>
                <w:p w14:paraId="510C43A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461" w:type="dxa"/>
                  <w:tcBorders>
                    <w:tl2br w:val="nil"/>
                    <w:tr2bl w:val="nil"/>
                  </w:tcBorders>
                  <w:vAlign w:val="center"/>
                </w:tcPr>
                <w:p w14:paraId="10047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20</w:t>
                  </w:r>
                </w:p>
              </w:tc>
              <w:tc>
                <w:tcPr>
                  <w:tcW w:w="456" w:type="dxa"/>
                  <w:vMerge w:val="restart"/>
                  <w:tcBorders>
                    <w:tl2br w:val="nil"/>
                    <w:tr2bl w:val="nil"/>
                  </w:tcBorders>
                  <w:vAlign w:val="center"/>
                </w:tcPr>
                <w:p w14:paraId="35B3BE5F">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1200</w:t>
                  </w:r>
                </w:p>
              </w:tc>
            </w:tr>
            <w:tr w14:paraId="5796CF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593" w:type="dxa"/>
                  <w:vMerge w:val="continue"/>
                  <w:tcBorders>
                    <w:tl2br w:val="nil"/>
                    <w:tr2bl w:val="nil"/>
                  </w:tcBorders>
                  <w:vAlign w:val="center"/>
                </w:tcPr>
                <w:p w14:paraId="2EB7810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587" w:type="dxa"/>
                  <w:tcBorders>
                    <w:tl2br w:val="nil"/>
                    <w:tr2bl w:val="nil"/>
                  </w:tcBorders>
                  <w:shd w:val="clear" w:color="auto" w:fill="auto"/>
                  <w:vAlign w:val="center"/>
                </w:tcPr>
                <w:p w14:paraId="439C484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kern w:val="0"/>
                      <w:sz w:val="21"/>
                      <w:szCs w:val="21"/>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NOx</w:t>
                  </w:r>
                </w:p>
              </w:tc>
              <w:tc>
                <w:tcPr>
                  <w:tcW w:w="586" w:type="dxa"/>
                  <w:tcBorders>
                    <w:tl2br w:val="nil"/>
                    <w:tr2bl w:val="nil"/>
                  </w:tcBorders>
                  <w:shd w:val="clear" w:color="auto" w:fill="auto"/>
                  <w:vAlign w:val="center"/>
                </w:tcPr>
                <w:p w14:paraId="1A4DA6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0.186</w:t>
                  </w:r>
                </w:p>
              </w:tc>
              <w:tc>
                <w:tcPr>
                  <w:tcW w:w="655" w:type="dxa"/>
                  <w:tcBorders>
                    <w:tl2br w:val="nil"/>
                    <w:tr2bl w:val="nil"/>
                  </w:tcBorders>
                  <w:shd w:val="clear" w:color="auto" w:fill="auto"/>
                  <w:vAlign w:val="center"/>
                </w:tcPr>
                <w:p w14:paraId="7F3F2D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0.155</w:t>
                  </w:r>
                </w:p>
              </w:tc>
              <w:tc>
                <w:tcPr>
                  <w:tcW w:w="436" w:type="dxa"/>
                  <w:tcBorders>
                    <w:tl2br w:val="nil"/>
                    <w:tr2bl w:val="nil"/>
                  </w:tcBorders>
                  <w:vAlign w:val="center"/>
                </w:tcPr>
                <w:p w14:paraId="25104D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7.9</w:t>
                  </w:r>
                </w:p>
              </w:tc>
              <w:tc>
                <w:tcPr>
                  <w:tcW w:w="627" w:type="dxa"/>
                  <w:tcBorders>
                    <w:tl2br w:val="nil"/>
                    <w:tr2bl w:val="nil"/>
                  </w:tcBorders>
                  <w:vAlign w:val="center"/>
                </w:tcPr>
                <w:p w14:paraId="259745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24</w:t>
                  </w:r>
                </w:p>
              </w:tc>
              <w:tc>
                <w:tcPr>
                  <w:tcW w:w="614" w:type="dxa"/>
                  <w:tcBorders>
                    <w:tl2br w:val="nil"/>
                    <w:tr2bl w:val="nil"/>
                  </w:tcBorders>
                  <w:vAlign w:val="center"/>
                </w:tcPr>
                <w:p w14:paraId="1C316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29</w:t>
                  </w:r>
                </w:p>
              </w:tc>
              <w:tc>
                <w:tcPr>
                  <w:tcW w:w="873" w:type="dxa"/>
                  <w:vMerge w:val="continue"/>
                  <w:tcBorders>
                    <w:tl2br w:val="nil"/>
                    <w:tr2bl w:val="nil"/>
                  </w:tcBorders>
                  <w:vAlign w:val="center"/>
                </w:tcPr>
                <w:p w14:paraId="1DE5567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441" w:type="dxa"/>
                  <w:tcBorders>
                    <w:tl2br w:val="nil"/>
                    <w:tr2bl w:val="nil"/>
                  </w:tcBorders>
                  <w:vAlign w:val="center"/>
                </w:tcPr>
                <w:p w14:paraId="166F31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665" w:type="dxa"/>
                  <w:tcBorders>
                    <w:tl2br w:val="nil"/>
                    <w:tr2bl w:val="nil"/>
                  </w:tcBorders>
                  <w:vAlign w:val="center"/>
                </w:tcPr>
                <w:p w14:paraId="79EDC6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0.186</w:t>
                  </w:r>
                </w:p>
              </w:tc>
              <w:tc>
                <w:tcPr>
                  <w:tcW w:w="625" w:type="dxa"/>
                  <w:tcBorders>
                    <w:tl2br w:val="nil"/>
                    <w:tr2bl w:val="nil"/>
                  </w:tcBorders>
                  <w:vAlign w:val="center"/>
                </w:tcPr>
                <w:p w14:paraId="0684D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0.155</w:t>
                  </w:r>
                </w:p>
              </w:tc>
              <w:tc>
                <w:tcPr>
                  <w:tcW w:w="519" w:type="dxa"/>
                  <w:tcBorders>
                    <w:tl2br w:val="nil"/>
                    <w:tr2bl w:val="nil"/>
                  </w:tcBorders>
                  <w:vAlign w:val="center"/>
                </w:tcPr>
                <w:p w14:paraId="27FFDF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29</w:t>
                  </w:r>
                </w:p>
              </w:tc>
              <w:tc>
                <w:tcPr>
                  <w:tcW w:w="364" w:type="dxa"/>
                  <w:tcBorders>
                    <w:tl2br w:val="nil"/>
                    <w:tr2bl w:val="nil"/>
                  </w:tcBorders>
                  <w:vAlign w:val="center"/>
                </w:tcPr>
                <w:p w14:paraId="0DDFAA9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461" w:type="dxa"/>
                  <w:tcBorders>
                    <w:tl2br w:val="nil"/>
                    <w:tr2bl w:val="nil"/>
                  </w:tcBorders>
                  <w:vAlign w:val="center"/>
                </w:tcPr>
                <w:p w14:paraId="31E1B5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30</w:t>
                  </w:r>
                </w:p>
              </w:tc>
              <w:tc>
                <w:tcPr>
                  <w:tcW w:w="456" w:type="dxa"/>
                  <w:vMerge w:val="continue"/>
                  <w:tcBorders>
                    <w:tl2br w:val="nil"/>
                    <w:tr2bl w:val="nil"/>
                  </w:tcBorders>
                  <w:vAlign w:val="center"/>
                </w:tcPr>
                <w:p w14:paraId="12D05595">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65FE65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593" w:type="dxa"/>
                  <w:vMerge w:val="continue"/>
                  <w:tcBorders>
                    <w:tl2br w:val="nil"/>
                    <w:tr2bl w:val="nil"/>
                  </w:tcBorders>
                  <w:vAlign w:val="center"/>
                </w:tcPr>
                <w:p w14:paraId="692D90E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87" w:type="dxa"/>
                  <w:tcBorders>
                    <w:tl2br w:val="nil"/>
                    <w:tr2bl w:val="nil"/>
                  </w:tcBorders>
                  <w:shd w:val="clear" w:color="auto" w:fill="auto"/>
                  <w:vAlign w:val="center"/>
                </w:tcPr>
                <w:p w14:paraId="1F4443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颗粒物</w:t>
                  </w:r>
                </w:p>
              </w:tc>
              <w:tc>
                <w:tcPr>
                  <w:tcW w:w="586" w:type="dxa"/>
                  <w:tcBorders>
                    <w:tl2br w:val="nil"/>
                    <w:tr2bl w:val="nil"/>
                  </w:tcBorders>
                  <w:shd w:val="clear" w:color="auto" w:fill="auto"/>
                  <w:vAlign w:val="center"/>
                </w:tcPr>
                <w:p w14:paraId="050294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0.074</w:t>
                  </w:r>
                </w:p>
              </w:tc>
              <w:tc>
                <w:tcPr>
                  <w:tcW w:w="655" w:type="dxa"/>
                  <w:tcBorders>
                    <w:tl2br w:val="nil"/>
                    <w:tr2bl w:val="nil"/>
                  </w:tcBorders>
                  <w:shd w:val="clear" w:color="auto" w:fill="auto"/>
                  <w:vAlign w:val="center"/>
                </w:tcPr>
                <w:p w14:paraId="41CE16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0.0619</w:t>
                  </w:r>
                </w:p>
              </w:tc>
              <w:tc>
                <w:tcPr>
                  <w:tcW w:w="436" w:type="dxa"/>
                  <w:tcBorders>
                    <w:tl2br w:val="nil"/>
                    <w:tr2bl w:val="nil"/>
                  </w:tcBorders>
                  <w:vAlign w:val="center"/>
                </w:tcPr>
                <w:p w14:paraId="74463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7.9</w:t>
                  </w:r>
                </w:p>
              </w:tc>
              <w:tc>
                <w:tcPr>
                  <w:tcW w:w="627" w:type="dxa"/>
                  <w:tcBorders>
                    <w:tl2br w:val="nil"/>
                    <w:tr2bl w:val="nil"/>
                  </w:tcBorders>
                  <w:vAlign w:val="center"/>
                </w:tcPr>
                <w:p w14:paraId="6C55FF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3.5</w:t>
                  </w:r>
                </w:p>
              </w:tc>
              <w:tc>
                <w:tcPr>
                  <w:tcW w:w="614" w:type="dxa"/>
                  <w:tcBorders>
                    <w:tl2br w:val="nil"/>
                    <w:tr2bl w:val="nil"/>
                  </w:tcBorders>
                  <w:vAlign w:val="center"/>
                </w:tcPr>
                <w:p w14:paraId="1D8A4A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4.7</w:t>
                  </w:r>
                </w:p>
              </w:tc>
              <w:tc>
                <w:tcPr>
                  <w:tcW w:w="873" w:type="dxa"/>
                  <w:vMerge w:val="continue"/>
                  <w:tcBorders>
                    <w:tl2br w:val="nil"/>
                    <w:tr2bl w:val="nil"/>
                  </w:tcBorders>
                  <w:vAlign w:val="center"/>
                </w:tcPr>
                <w:p w14:paraId="4F06E7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41" w:type="dxa"/>
                  <w:tcBorders>
                    <w:tl2br w:val="nil"/>
                    <w:tr2bl w:val="nil"/>
                  </w:tcBorders>
                  <w:vAlign w:val="center"/>
                </w:tcPr>
                <w:p w14:paraId="3D8A7DA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w:t>
                  </w:r>
                </w:p>
              </w:tc>
              <w:tc>
                <w:tcPr>
                  <w:tcW w:w="665" w:type="dxa"/>
                  <w:tcBorders>
                    <w:tl2br w:val="nil"/>
                    <w:tr2bl w:val="nil"/>
                  </w:tcBorders>
                  <w:vAlign w:val="center"/>
                </w:tcPr>
                <w:p w14:paraId="3BA7AA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0.074</w:t>
                  </w:r>
                </w:p>
              </w:tc>
              <w:tc>
                <w:tcPr>
                  <w:tcW w:w="625" w:type="dxa"/>
                  <w:tcBorders>
                    <w:tl2br w:val="nil"/>
                    <w:tr2bl w:val="nil"/>
                  </w:tcBorders>
                  <w:vAlign w:val="center"/>
                </w:tcPr>
                <w:p w14:paraId="68A2E1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0.0619</w:t>
                  </w:r>
                </w:p>
              </w:tc>
              <w:tc>
                <w:tcPr>
                  <w:tcW w:w="519" w:type="dxa"/>
                  <w:tcBorders>
                    <w:tl2br w:val="nil"/>
                    <w:tr2bl w:val="nil"/>
                  </w:tcBorders>
                  <w:vAlign w:val="center"/>
                </w:tcPr>
                <w:p w14:paraId="6F5E57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4.7</w:t>
                  </w:r>
                </w:p>
              </w:tc>
              <w:tc>
                <w:tcPr>
                  <w:tcW w:w="364" w:type="dxa"/>
                  <w:tcBorders>
                    <w:tl2br w:val="nil"/>
                    <w:tr2bl w:val="nil"/>
                  </w:tcBorders>
                  <w:vAlign w:val="center"/>
                </w:tcPr>
                <w:p w14:paraId="0D399E4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461" w:type="dxa"/>
                  <w:tcBorders>
                    <w:tl2br w:val="nil"/>
                    <w:tr2bl w:val="nil"/>
                  </w:tcBorders>
                  <w:vAlign w:val="center"/>
                </w:tcPr>
                <w:p w14:paraId="403EC9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10</w:t>
                  </w:r>
                </w:p>
              </w:tc>
              <w:tc>
                <w:tcPr>
                  <w:tcW w:w="456" w:type="dxa"/>
                  <w:vMerge w:val="continue"/>
                  <w:tcBorders>
                    <w:tl2br w:val="nil"/>
                    <w:tr2bl w:val="nil"/>
                  </w:tcBorders>
                  <w:vAlign w:val="center"/>
                </w:tcPr>
                <w:p w14:paraId="401DF1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bl>
          <w:p w14:paraId="0C3119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420" w:leftChars="200" w:right="0" w:rightChars="0"/>
              <w:textAlignment w:val="auto"/>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排放现状</w:t>
            </w:r>
          </w:p>
          <w:p w14:paraId="3FDB56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本项目锅炉房废气污染</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物排</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放</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见表4-2。</w:t>
            </w:r>
          </w:p>
          <w:p w14:paraId="08E20950">
            <w:pPr>
              <w:pStyle w:val="5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表4-2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27"/>
              <w:tblW w:w="842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338"/>
              <w:gridCol w:w="1091"/>
              <w:gridCol w:w="1132"/>
              <w:gridCol w:w="804"/>
              <w:gridCol w:w="694"/>
              <w:gridCol w:w="1172"/>
              <w:gridCol w:w="1159"/>
            </w:tblGrid>
            <w:tr w14:paraId="5C0E8E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1" w:type="dxa"/>
                  <w:tcBorders>
                    <w:tl2br w:val="nil"/>
                    <w:tr2bl w:val="nil"/>
                  </w:tcBorders>
                  <w:vAlign w:val="center"/>
                </w:tcPr>
                <w:p w14:paraId="006737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点位</w:t>
                  </w:r>
                </w:p>
                <w:p w14:paraId="406EC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名称</w:t>
                  </w:r>
                </w:p>
              </w:tc>
              <w:tc>
                <w:tcPr>
                  <w:tcW w:w="1338" w:type="dxa"/>
                  <w:tcBorders>
                    <w:tl2br w:val="nil"/>
                    <w:tr2bl w:val="nil"/>
                  </w:tcBorders>
                  <w:vAlign w:val="center"/>
                </w:tcPr>
                <w:p w14:paraId="06BE2E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点位编号</w:t>
                  </w:r>
                </w:p>
                <w:p w14:paraId="190C24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及坐标</w:t>
                  </w:r>
                </w:p>
              </w:tc>
              <w:tc>
                <w:tcPr>
                  <w:tcW w:w="1091" w:type="dxa"/>
                  <w:tcBorders>
                    <w:tl2br w:val="nil"/>
                    <w:tr2bl w:val="nil"/>
                  </w:tcBorders>
                  <w:vAlign w:val="center"/>
                </w:tcPr>
                <w:p w14:paraId="4A3D36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排气筒高度（m）</w:t>
                  </w:r>
                </w:p>
              </w:tc>
              <w:tc>
                <w:tcPr>
                  <w:tcW w:w="1132" w:type="dxa"/>
                  <w:tcBorders>
                    <w:tl2br w:val="nil"/>
                    <w:tr2bl w:val="nil"/>
                  </w:tcBorders>
                  <w:vAlign w:val="center"/>
                </w:tcPr>
                <w:p w14:paraId="6B322C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排气筒内径（mm）</w:t>
                  </w:r>
                </w:p>
              </w:tc>
              <w:tc>
                <w:tcPr>
                  <w:tcW w:w="804" w:type="dxa"/>
                  <w:tcBorders>
                    <w:tl2br w:val="nil"/>
                    <w:tr2bl w:val="nil"/>
                  </w:tcBorders>
                  <w:vAlign w:val="center"/>
                </w:tcPr>
                <w:p w14:paraId="27554F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烟温（℃）</w:t>
                  </w:r>
                </w:p>
              </w:tc>
              <w:tc>
                <w:tcPr>
                  <w:tcW w:w="694" w:type="dxa"/>
                  <w:tcBorders>
                    <w:tl2br w:val="nil"/>
                    <w:tr2bl w:val="nil"/>
                  </w:tcBorders>
                  <w:vAlign w:val="center"/>
                </w:tcPr>
                <w:p w14:paraId="55047E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监测项目</w:t>
                  </w:r>
                </w:p>
              </w:tc>
              <w:tc>
                <w:tcPr>
                  <w:tcW w:w="1172" w:type="dxa"/>
                  <w:tcBorders>
                    <w:tl2br w:val="nil"/>
                    <w:tr2bl w:val="nil"/>
                  </w:tcBorders>
                  <w:vAlign w:val="center"/>
                </w:tcPr>
                <w:p w14:paraId="583551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折算排放浓度（</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p>
              </w:tc>
              <w:tc>
                <w:tcPr>
                  <w:tcW w:w="1159" w:type="dxa"/>
                  <w:tcBorders>
                    <w:tl2br w:val="nil"/>
                    <w:tr2bl w:val="nil"/>
                  </w:tcBorders>
                  <w:vAlign w:val="center"/>
                </w:tcPr>
                <w:p w14:paraId="4E7CF0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排放限值</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p>
              </w:tc>
            </w:tr>
            <w:tr w14:paraId="2CF480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1" w:type="dxa"/>
                  <w:vMerge w:val="restart"/>
                  <w:tcBorders>
                    <w:tl2br w:val="nil"/>
                    <w:tr2bl w:val="nil"/>
                  </w:tcBorders>
                  <w:vAlign w:val="center"/>
                </w:tcPr>
                <w:p w14:paraId="6EAAF3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eastAsia" w:ascii="Times New Roman" w:hAnsi="Times New Roman" w:cs="Times New Roman"/>
                      <w:color w:val="000000" w:themeColor="text1"/>
                      <w:sz w:val="21"/>
                      <w:szCs w:val="21"/>
                      <w:lang w:val="en-US" w:eastAsia="zh-CN"/>
                      <w14:textFill>
                        <w14:solidFill>
                          <w14:schemeClr w14:val="tx1"/>
                        </w14:solidFill>
                      </w14:textFill>
                    </w:rPr>
                    <w:t>台</w:t>
                  </w:r>
                  <w:r>
                    <w:rPr>
                      <w:rFonts w:hint="default" w:ascii="Times New Roman" w:hAnsi="Times New Roman" w:cs="Times New Roman"/>
                      <w:color w:val="000000" w:themeColor="text1"/>
                      <w:sz w:val="21"/>
                      <w:szCs w:val="21"/>
                      <w:lang w:val="en-US" w:eastAsia="zh-CN"/>
                      <w14:textFill>
                        <w14:solidFill>
                          <w14:schemeClr w14:val="tx1"/>
                        </w14:solidFill>
                      </w14:textFill>
                    </w:rPr>
                    <w:t>1.4MW</w:t>
                  </w:r>
                  <w:r>
                    <w:rPr>
                      <w:rFonts w:hint="eastAsia" w:ascii="Times New Roman" w:hAnsi="Times New Roman" w:cs="Times New Roman"/>
                      <w:color w:val="000000" w:themeColor="text1"/>
                      <w:sz w:val="21"/>
                      <w:szCs w:val="21"/>
                      <w:lang w:val="en-US" w:eastAsia="zh-CN"/>
                      <w14:textFill>
                        <w14:solidFill>
                          <w14:schemeClr w14:val="tx1"/>
                        </w14:solidFill>
                      </w14:textFill>
                    </w:rPr>
                    <w:t>燃气热水锅炉</w:t>
                  </w:r>
                </w:p>
              </w:tc>
              <w:tc>
                <w:tcPr>
                  <w:tcW w:w="1338" w:type="dxa"/>
                  <w:tcBorders>
                    <w:tl2br w:val="nil"/>
                    <w:tr2bl w:val="nil"/>
                  </w:tcBorders>
                  <w:vAlign w:val="center"/>
                </w:tcPr>
                <w:p w14:paraId="16C576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DA001</w:t>
                  </w:r>
                </w:p>
              </w:tc>
              <w:tc>
                <w:tcPr>
                  <w:tcW w:w="1091" w:type="dxa"/>
                  <w:vMerge w:val="restart"/>
                  <w:tcBorders>
                    <w:tl2br w:val="nil"/>
                    <w:tr2bl w:val="nil"/>
                  </w:tcBorders>
                  <w:vAlign w:val="center"/>
                </w:tcPr>
                <w:p w14:paraId="16B998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37</w:t>
                  </w:r>
                </w:p>
              </w:tc>
              <w:tc>
                <w:tcPr>
                  <w:tcW w:w="1132" w:type="dxa"/>
                  <w:vMerge w:val="restart"/>
                  <w:tcBorders>
                    <w:tl2br w:val="nil"/>
                    <w:tr2bl w:val="nil"/>
                  </w:tcBorders>
                  <w:vAlign w:val="center"/>
                </w:tcPr>
                <w:p w14:paraId="047D19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1000</w:t>
                  </w:r>
                </w:p>
              </w:tc>
              <w:tc>
                <w:tcPr>
                  <w:tcW w:w="804" w:type="dxa"/>
                  <w:vMerge w:val="restart"/>
                  <w:tcBorders>
                    <w:tl2br w:val="nil"/>
                    <w:tr2bl w:val="nil"/>
                  </w:tcBorders>
                  <w:vAlign w:val="center"/>
                </w:tcPr>
                <w:p w14:paraId="5769D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30.8</w:t>
                  </w:r>
                </w:p>
              </w:tc>
              <w:tc>
                <w:tcPr>
                  <w:tcW w:w="694" w:type="dxa"/>
                  <w:tcBorders>
                    <w:tl2br w:val="nil"/>
                    <w:tr2bl w:val="nil"/>
                  </w:tcBorders>
                  <w:vAlign w:val="center"/>
                </w:tcPr>
                <w:p w14:paraId="398941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烟尘</w:t>
                  </w:r>
                </w:p>
              </w:tc>
              <w:tc>
                <w:tcPr>
                  <w:tcW w:w="1172" w:type="dxa"/>
                  <w:tcBorders>
                    <w:tl2br w:val="nil"/>
                    <w:tr2bl w:val="nil"/>
                  </w:tcBorders>
                  <w:vAlign w:val="center"/>
                </w:tcPr>
                <w:p w14:paraId="6B14B2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4.7</w:t>
                  </w:r>
                </w:p>
              </w:tc>
              <w:tc>
                <w:tcPr>
                  <w:tcW w:w="1159" w:type="dxa"/>
                  <w:tcBorders>
                    <w:tl2br w:val="nil"/>
                    <w:tr2bl w:val="nil"/>
                  </w:tcBorders>
                  <w:vAlign w:val="center"/>
                </w:tcPr>
                <w:p w14:paraId="057369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027B83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1" w:type="dxa"/>
                  <w:vMerge w:val="continue"/>
                  <w:tcBorders>
                    <w:tl2br w:val="nil"/>
                    <w:tr2bl w:val="nil"/>
                  </w:tcBorders>
                  <w:vAlign w:val="center"/>
                </w:tcPr>
                <w:p w14:paraId="1E3325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38" w:type="dxa"/>
                  <w:vMerge w:val="restart"/>
                  <w:tcBorders>
                    <w:tl2br w:val="nil"/>
                    <w:tr2bl w:val="nil"/>
                  </w:tcBorders>
                  <w:vAlign w:val="center"/>
                </w:tcPr>
                <w:p w14:paraId="2D64D8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r>
                    <w:rPr>
                      <w:rFonts w:hint="default" w:ascii="Times New Roman" w:hAnsi="Times New Roman" w:cs="Times New Roman"/>
                      <w:color w:val="000000" w:themeColor="text1"/>
                      <w:sz w:val="21"/>
                      <w:szCs w:val="21"/>
                      <w14:textFill>
                        <w14:solidFill>
                          <w14:schemeClr w14:val="tx1"/>
                        </w14:solidFill>
                      </w14:textFill>
                    </w:rPr>
                    <w:t>108.843861121</w:t>
                  </w:r>
                </w:p>
                <w:p w14:paraId="4C1ECF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w:t>
                  </w:r>
                  <w:r>
                    <w:rPr>
                      <w:rFonts w:hint="default" w:ascii="Times New Roman" w:hAnsi="Times New Roman" w:cs="Times New Roman"/>
                      <w:color w:val="000000" w:themeColor="text1"/>
                      <w:sz w:val="21"/>
                      <w:szCs w:val="21"/>
                      <w14:textFill>
                        <w14:solidFill>
                          <w14:schemeClr w14:val="tx1"/>
                        </w14:solidFill>
                      </w14:textFill>
                    </w:rPr>
                    <w:t>34.291131759</w:t>
                  </w:r>
                </w:p>
              </w:tc>
              <w:tc>
                <w:tcPr>
                  <w:tcW w:w="1091" w:type="dxa"/>
                  <w:vMerge w:val="continue"/>
                  <w:tcBorders>
                    <w:tl2br w:val="nil"/>
                    <w:tr2bl w:val="nil"/>
                  </w:tcBorders>
                  <w:vAlign w:val="center"/>
                </w:tcPr>
                <w:p w14:paraId="353AB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32" w:type="dxa"/>
                  <w:vMerge w:val="continue"/>
                  <w:tcBorders>
                    <w:tl2br w:val="nil"/>
                    <w:tr2bl w:val="nil"/>
                  </w:tcBorders>
                  <w:vAlign w:val="center"/>
                </w:tcPr>
                <w:p w14:paraId="4910F8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4" w:type="dxa"/>
                  <w:vMerge w:val="continue"/>
                  <w:tcBorders>
                    <w:tl2br w:val="nil"/>
                    <w:tr2bl w:val="nil"/>
                  </w:tcBorders>
                  <w:vAlign w:val="center"/>
                </w:tcPr>
                <w:p w14:paraId="055D9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94" w:type="dxa"/>
                  <w:tcBorders>
                    <w:tl2br w:val="nil"/>
                    <w:tr2bl w:val="nil"/>
                  </w:tcBorders>
                  <w:vAlign w:val="center"/>
                </w:tcPr>
                <w:p w14:paraId="18FAC6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72" w:type="dxa"/>
                  <w:tcBorders>
                    <w:tl2br w:val="nil"/>
                    <w:tr2bl w:val="nil"/>
                  </w:tcBorders>
                  <w:vAlign w:val="center"/>
                </w:tcPr>
                <w:p w14:paraId="0BA29B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3ND</w:t>
                  </w:r>
                </w:p>
              </w:tc>
              <w:tc>
                <w:tcPr>
                  <w:tcW w:w="1159" w:type="dxa"/>
                  <w:tcBorders>
                    <w:tl2br w:val="nil"/>
                    <w:tr2bl w:val="nil"/>
                  </w:tcBorders>
                  <w:vAlign w:val="center"/>
                </w:tcPr>
                <w:p w14:paraId="2D5838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552326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1" w:type="dxa"/>
                  <w:vMerge w:val="continue"/>
                  <w:tcBorders>
                    <w:tl2br w:val="nil"/>
                    <w:tr2bl w:val="nil"/>
                  </w:tcBorders>
                  <w:vAlign w:val="center"/>
                </w:tcPr>
                <w:p w14:paraId="7C47B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38" w:type="dxa"/>
                  <w:vMerge w:val="continue"/>
                  <w:tcBorders>
                    <w:tl2br w:val="nil"/>
                    <w:tr2bl w:val="nil"/>
                  </w:tcBorders>
                  <w:vAlign w:val="center"/>
                </w:tcPr>
                <w:p w14:paraId="6133E9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091" w:type="dxa"/>
                  <w:vMerge w:val="continue"/>
                  <w:tcBorders>
                    <w:tl2br w:val="nil"/>
                    <w:tr2bl w:val="nil"/>
                  </w:tcBorders>
                  <w:vAlign w:val="center"/>
                </w:tcPr>
                <w:p w14:paraId="5DF31E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32" w:type="dxa"/>
                  <w:vMerge w:val="continue"/>
                  <w:tcBorders>
                    <w:tl2br w:val="nil"/>
                    <w:tr2bl w:val="nil"/>
                  </w:tcBorders>
                  <w:vAlign w:val="center"/>
                </w:tcPr>
                <w:p w14:paraId="7CA5F9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4" w:type="dxa"/>
                  <w:vMerge w:val="continue"/>
                  <w:tcBorders>
                    <w:tl2br w:val="nil"/>
                    <w:tr2bl w:val="nil"/>
                  </w:tcBorders>
                  <w:vAlign w:val="center"/>
                </w:tcPr>
                <w:p w14:paraId="04B0B3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94" w:type="dxa"/>
                  <w:tcBorders>
                    <w:tl2br w:val="nil"/>
                    <w:tr2bl w:val="nil"/>
                  </w:tcBorders>
                  <w:vAlign w:val="center"/>
                </w:tcPr>
                <w:p w14:paraId="2F5614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72" w:type="dxa"/>
                  <w:tcBorders>
                    <w:tl2br w:val="nil"/>
                    <w:tr2bl w:val="nil"/>
                  </w:tcBorders>
                  <w:vAlign w:val="center"/>
                </w:tcPr>
                <w:p w14:paraId="36D016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w:t>
                  </w:r>
                </w:p>
              </w:tc>
              <w:tc>
                <w:tcPr>
                  <w:tcW w:w="1159" w:type="dxa"/>
                  <w:tcBorders>
                    <w:tl2br w:val="nil"/>
                    <w:tr2bl w:val="nil"/>
                  </w:tcBorders>
                  <w:vAlign w:val="center"/>
                </w:tcPr>
                <w:p w14:paraId="453A9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157F23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1" w:type="dxa"/>
                  <w:vMerge w:val="continue"/>
                  <w:tcBorders>
                    <w:tl2br w:val="nil"/>
                    <w:tr2bl w:val="nil"/>
                  </w:tcBorders>
                  <w:vAlign w:val="center"/>
                </w:tcPr>
                <w:p w14:paraId="6A2B35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38" w:type="dxa"/>
                  <w:vMerge w:val="continue"/>
                  <w:tcBorders>
                    <w:tl2br w:val="nil"/>
                    <w:tr2bl w:val="nil"/>
                  </w:tcBorders>
                  <w:vAlign w:val="center"/>
                </w:tcPr>
                <w:p w14:paraId="57A21F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091" w:type="dxa"/>
                  <w:vMerge w:val="continue"/>
                  <w:tcBorders>
                    <w:tl2br w:val="nil"/>
                    <w:tr2bl w:val="nil"/>
                  </w:tcBorders>
                  <w:vAlign w:val="center"/>
                </w:tcPr>
                <w:p w14:paraId="14127E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32" w:type="dxa"/>
                  <w:vMerge w:val="continue"/>
                  <w:tcBorders>
                    <w:tl2br w:val="nil"/>
                    <w:tr2bl w:val="nil"/>
                  </w:tcBorders>
                  <w:vAlign w:val="center"/>
                </w:tcPr>
                <w:p w14:paraId="40C540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4" w:type="dxa"/>
                  <w:vMerge w:val="continue"/>
                  <w:tcBorders>
                    <w:tl2br w:val="nil"/>
                    <w:tr2bl w:val="nil"/>
                  </w:tcBorders>
                  <w:vAlign w:val="center"/>
                </w:tcPr>
                <w:p w14:paraId="466A5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94" w:type="dxa"/>
                  <w:tcBorders>
                    <w:tl2br w:val="nil"/>
                    <w:tr2bl w:val="nil"/>
                  </w:tcBorders>
                  <w:vAlign w:val="center"/>
                </w:tcPr>
                <w:p w14:paraId="2FCD7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p>
              </w:tc>
              <w:tc>
                <w:tcPr>
                  <w:tcW w:w="1172" w:type="dxa"/>
                  <w:tcBorders>
                    <w:tl2br w:val="nil"/>
                    <w:tr2bl w:val="nil"/>
                  </w:tcBorders>
                  <w:vAlign w:val="center"/>
                </w:tcPr>
                <w:p w14:paraId="14810E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＜1级</w:t>
                  </w:r>
                </w:p>
              </w:tc>
              <w:tc>
                <w:tcPr>
                  <w:tcW w:w="1159" w:type="dxa"/>
                  <w:tcBorders>
                    <w:tl2br w:val="nil"/>
                    <w:tr2bl w:val="nil"/>
                  </w:tcBorders>
                  <w:vAlign w:val="center"/>
                </w:tcPr>
                <w:p w14:paraId="2B345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bl>
          <w:p w14:paraId="0B4918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2" w:firstLineChars="200"/>
              <w:textAlignment w:val="auto"/>
              <w:rPr>
                <w:rFonts w:hint="default"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vertAlign w:val="baseline"/>
                <w:lang w:val="en-US" w:eastAsia="zh-CN" w:bidi="ar-SA"/>
                <w14:textFill>
                  <w14:solidFill>
                    <w14:schemeClr w14:val="tx1"/>
                  </w14:solidFill>
                </w14:textFill>
              </w:rPr>
              <w:t>（3）</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排放量核算</w:t>
            </w:r>
          </w:p>
          <w:p w14:paraId="54AD76B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bCs/>
                <w:color w:val="000000" w:themeColor="text1"/>
                <w:sz w:val="24"/>
                <w:szCs w:val="24"/>
                <w:lang w:val="en-US" w:eastAsia="zh-CN"/>
                <w14:textFill>
                  <w14:solidFill>
                    <w14:schemeClr w14:val="tx1"/>
                  </w14:solidFill>
                </w14:textFill>
              </w:rPr>
              <w:t>燃气热水真空</w:t>
            </w:r>
            <w:r>
              <w:rPr>
                <w:rFonts w:hint="eastAsia" w:ascii="Times New Roman" w:hAnsi="Times New Roman"/>
                <w:bCs/>
                <w:color w:val="000000" w:themeColor="text1"/>
                <w:sz w:val="24"/>
                <w:szCs w:val="24"/>
                <w14:textFill>
                  <w14:solidFill>
                    <w14:schemeClr w14:val="tx1"/>
                  </w14:solidFill>
                </w14:textFill>
              </w:rPr>
              <w:t>锅炉</w:t>
            </w:r>
            <w:r>
              <w:rPr>
                <w:rFonts w:hint="eastAsia" w:ascii="Times New Roman" w:hAnsi="Times New Roman"/>
                <w:bCs/>
                <w:color w:val="000000" w:themeColor="text1"/>
                <w:sz w:val="24"/>
                <w:szCs w:val="24"/>
                <w:lang w:val="en-US" w:eastAsia="zh-CN"/>
                <w14:textFill>
                  <w14:solidFill>
                    <w14:schemeClr w14:val="tx1"/>
                  </w14:solidFill>
                </w14:textFill>
              </w:rPr>
              <w:t>年</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运行120天，每天运行10小时，锅炉废气污染物排放量采用下式进行计算：</w:t>
            </w:r>
          </w:p>
          <w:p w14:paraId="7A033201">
            <w:pPr>
              <w:keepNext w:val="0"/>
              <w:keepLines w:val="0"/>
              <w:suppressLineNumbers w:val="0"/>
              <w:bidi w:val="0"/>
              <w:spacing w:before="0" w:beforeAutospacing="0" w:after="0" w:afterAutospacing="0" w:line="360" w:lineRule="auto"/>
              <w:ind w:left="0" w:right="0" w:firstLine="241" w:firstLineChars="100"/>
              <w:rPr>
                <w:rFonts w:hint="default"/>
                <w:b/>
                <w:bCs/>
                <w:color w:val="000000" w:themeColor="text1"/>
                <w:vertAlign w:val="baseline"/>
                <w:lang w:val="en-US" w:eastAsia="zh-CN"/>
                <w14:textFill>
                  <w14:solidFill>
                    <w14:schemeClr w14:val="tx1"/>
                  </w14:solidFill>
                </w14:textFill>
              </w:rPr>
            </w:pP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废气污染物排放总量q=（废气排放速率G</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10</w:t>
            </w:r>
            <w:r>
              <w:rPr>
                <w:rFonts w:hint="eastAsia" w:ascii="Times New Roman" w:hAnsi="Times New Roman" w:eastAsiaTheme="minorEastAsia" w:cstheme="minorBidi"/>
                <w:b/>
                <w:bCs/>
                <w:snapToGrid/>
                <w:color w:val="000000" w:themeColor="text1"/>
                <w:spacing w:val="0"/>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cstheme="minorBidi"/>
                <w:b/>
                <w:bCs/>
                <w:snapToGrid/>
                <w:color w:val="000000" w:themeColor="text1"/>
                <w:spacing w:val="0"/>
                <w:kern w:val="2"/>
                <w:sz w:val="24"/>
                <w:szCs w:val="24"/>
                <w:highlight w:val="none"/>
                <w:vertAlign w:val="baseline"/>
                <w:lang w:val="en-US" w:eastAsia="zh-CN" w:bidi="ar-SA"/>
                <w14:textFill>
                  <w14:solidFill>
                    <w14:schemeClr w14:val="tx1"/>
                  </w14:solidFill>
                </w14:textFill>
              </w:rPr>
              <w:t>，</w:t>
            </w:r>
          </w:p>
          <w:p w14:paraId="060538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①</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污染物废气排放总量</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q，t/a；</w:t>
            </w:r>
          </w:p>
          <w:p w14:paraId="1F65FF4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②</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废气排放速率G</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，Kg/h；</w:t>
            </w:r>
          </w:p>
          <w:p w14:paraId="6C604D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③</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，天；</w:t>
            </w:r>
          </w:p>
          <w:p w14:paraId="5C6952A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④</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，小时；</w:t>
            </w:r>
          </w:p>
          <w:p w14:paraId="61539F3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监测时锅炉房5台锅炉同时运行，锅炉房整体运行工况为80%，锅炉运行正常，经低氮燃烧器后废气通过1根37m排气筒（DA001）排放，本项目废气污染物排放量情况一览表见表4-3。</w:t>
            </w:r>
          </w:p>
          <w:p w14:paraId="4831D68E">
            <w:pPr>
              <w:pStyle w:val="5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表4-3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量</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26"/>
              <w:tblW w:w="833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87"/>
              <w:gridCol w:w="955"/>
              <w:gridCol w:w="1128"/>
              <w:gridCol w:w="682"/>
              <w:gridCol w:w="968"/>
              <w:gridCol w:w="927"/>
              <w:gridCol w:w="835"/>
              <w:gridCol w:w="573"/>
              <w:gridCol w:w="1479"/>
            </w:tblGrid>
            <w:tr w14:paraId="0A5193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restart"/>
                  <w:tcBorders>
                    <w:tl2br w:val="nil"/>
                    <w:tr2bl w:val="nil"/>
                  </w:tcBorders>
                  <w:vAlign w:val="center"/>
                </w:tcPr>
                <w:p w14:paraId="74020FB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w:t>
                  </w:r>
                </w:p>
                <w:p w14:paraId="3205890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955" w:type="dxa"/>
                  <w:vMerge w:val="restart"/>
                  <w:tcBorders>
                    <w:tl2br w:val="nil"/>
                    <w:tr2bl w:val="nil"/>
                  </w:tcBorders>
                  <w:vAlign w:val="center"/>
                </w:tcPr>
                <w:p w14:paraId="2159DC7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6592" w:type="dxa"/>
                  <w:gridSpan w:val="7"/>
                  <w:tcBorders>
                    <w:tl2br w:val="nil"/>
                    <w:tr2bl w:val="nil"/>
                  </w:tcBorders>
                  <w:vAlign w:val="center"/>
                </w:tcPr>
                <w:p w14:paraId="250B14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排放状况</w:t>
                  </w:r>
                </w:p>
              </w:tc>
            </w:tr>
            <w:tr w14:paraId="3ACCD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continue"/>
                  <w:tcBorders>
                    <w:tl2br w:val="nil"/>
                    <w:tr2bl w:val="nil"/>
                  </w:tcBorders>
                  <w:vAlign w:val="center"/>
                </w:tcPr>
                <w:p w14:paraId="100038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55" w:type="dxa"/>
                  <w:vMerge w:val="continue"/>
                  <w:tcBorders>
                    <w:tl2br w:val="nil"/>
                    <w:tr2bl w:val="nil"/>
                  </w:tcBorders>
                  <w:vAlign w:val="center"/>
                </w:tcPr>
                <w:p w14:paraId="10C8732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1128" w:type="dxa"/>
                  <w:tcBorders>
                    <w:tl2br w:val="nil"/>
                    <w:tr2bl w:val="nil"/>
                  </w:tcBorders>
                  <w:vAlign w:val="center"/>
                </w:tcPr>
                <w:p w14:paraId="1697BF0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废气量</w:t>
                  </w:r>
                </w:p>
                <w:p w14:paraId="2EADC43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682" w:type="dxa"/>
                  <w:tcBorders>
                    <w:tl2br w:val="nil"/>
                    <w:tr2bl w:val="nil"/>
                  </w:tcBorders>
                  <w:vAlign w:val="center"/>
                </w:tcPr>
                <w:p w14:paraId="32A730E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运行时间</w:t>
                  </w: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68" w:type="dxa"/>
                  <w:tcBorders>
                    <w:tl2br w:val="nil"/>
                    <w:tr2bl w:val="nil"/>
                  </w:tcBorders>
                  <w:vAlign w:val="center"/>
                </w:tcPr>
                <w:p w14:paraId="68C152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折算</w:t>
                  </w:r>
                  <w:r>
                    <w:rPr>
                      <w:rFonts w:hint="default" w:ascii="Times New Roman" w:hAnsi="Times New Roman" w:cs="Times New Roman"/>
                      <w:b/>
                      <w:bCs/>
                      <w:color w:val="000000" w:themeColor="text1"/>
                      <w:sz w:val="21"/>
                      <w:szCs w:val="21"/>
                      <w14:textFill>
                        <w14:solidFill>
                          <w14:schemeClr w14:val="tx1"/>
                        </w14:solidFill>
                      </w14:textFill>
                    </w:rPr>
                    <w:t>浓度</w:t>
                  </w:r>
                </w:p>
                <w:p w14:paraId="4F55750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mg/m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27" w:type="dxa"/>
                  <w:tcBorders>
                    <w:tl2br w:val="nil"/>
                    <w:tr2bl w:val="nil"/>
                  </w:tcBorders>
                  <w:vAlign w:val="center"/>
                </w:tcPr>
                <w:p w14:paraId="7E0AA6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4F5F6B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kg/h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835" w:type="dxa"/>
                  <w:tcBorders>
                    <w:tl2br w:val="nil"/>
                    <w:tr2bl w:val="nil"/>
                  </w:tcBorders>
                  <w:vAlign w:val="center"/>
                </w:tcPr>
                <w:p w14:paraId="17F1EC2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w:t>
                  </w:r>
                </w:p>
                <w:p w14:paraId="53B6B0E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t/a</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573" w:type="dxa"/>
                  <w:tcBorders>
                    <w:tl2br w:val="nil"/>
                    <w:tr2bl w:val="nil"/>
                  </w:tcBorders>
                  <w:vAlign w:val="center"/>
                </w:tcPr>
                <w:p w14:paraId="17781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监测工况</w:t>
                  </w:r>
                </w:p>
              </w:tc>
              <w:tc>
                <w:tcPr>
                  <w:tcW w:w="1479" w:type="dxa"/>
                  <w:tcBorders>
                    <w:tl2br w:val="nil"/>
                    <w:tr2bl w:val="nil"/>
                  </w:tcBorders>
                  <w:vAlign w:val="center"/>
                </w:tcPr>
                <w:p w14:paraId="705230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满负荷排放量（</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t/a</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w:t>
                  </w:r>
                </w:p>
              </w:tc>
            </w:tr>
            <w:tr w14:paraId="70F46E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restart"/>
                  <w:tcBorders>
                    <w:tl2br w:val="nil"/>
                    <w:tr2bl w:val="nil"/>
                  </w:tcBorders>
                  <w:vAlign w:val="center"/>
                </w:tcPr>
                <w:p w14:paraId="65BEC1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eastAsia" w:ascii="Times New Roman" w:hAnsi="Times New Roman" w:cs="Times New Roman"/>
                      <w:color w:val="000000" w:themeColor="text1"/>
                      <w:sz w:val="21"/>
                      <w:szCs w:val="21"/>
                      <w:lang w:val="en-US" w:eastAsia="zh-CN"/>
                      <w14:textFill>
                        <w14:solidFill>
                          <w14:schemeClr w14:val="tx1"/>
                        </w14:solidFill>
                      </w14:textFill>
                    </w:rPr>
                    <w:t>台</w:t>
                  </w:r>
                  <w:r>
                    <w:rPr>
                      <w:rFonts w:hint="default" w:ascii="Times New Roman" w:hAnsi="Times New Roman" w:cs="Times New Roman"/>
                      <w:color w:val="000000" w:themeColor="text1"/>
                      <w:sz w:val="21"/>
                      <w:szCs w:val="21"/>
                      <w:lang w:val="en-US" w:eastAsia="zh-CN"/>
                      <w14:textFill>
                        <w14:solidFill>
                          <w14:schemeClr w14:val="tx1"/>
                        </w14:solidFill>
                      </w14:textFill>
                    </w:rPr>
                    <w:t>1.4MW</w:t>
                  </w:r>
                  <w:r>
                    <w:rPr>
                      <w:rFonts w:hint="eastAsia" w:ascii="Times New Roman" w:hAnsi="Times New Roman" w:cs="Times New Roman"/>
                      <w:color w:val="000000" w:themeColor="text1"/>
                      <w:sz w:val="21"/>
                      <w:szCs w:val="21"/>
                      <w:lang w:val="en-US" w:eastAsia="zh-CN"/>
                      <w14:textFill>
                        <w14:solidFill>
                          <w14:schemeClr w14:val="tx1"/>
                        </w14:solidFill>
                      </w14:textFill>
                    </w:rPr>
                    <w:t>燃气热水锅炉</w:t>
                  </w:r>
                </w:p>
              </w:tc>
              <w:tc>
                <w:tcPr>
                  <w:tcW w:w="955" w:type="dxa"/>
                  <w:tcBorders>
                    <w:tl2br w:val="nil"/>
                    <w:tr2bl w:val="nil"/>
                  </w:tcBorders>
                  <w:vAlign w:val="center"/>
                </w:tcPr>
                <w:p w14:paraId="6D66CD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t>颗粒物</w:t>
                  </w:r>
                </w:p>
              </w:tc>
              <w:tc>
                <w:tcPr>
                  <w:tcW w:w="1128" w:type="dxa"/>
                  <w:vMerge w:val="restart"/>
                  <w:tcBorders>
                    <w:tl2br w:val="nil"/>
                    <w:tr2bl w:val="nil"/>
                  </w:tcBorders>
                  <w:vAlign w:val="center"/>
                </w:tcPr>
                <w:p w14:paraId="495EA45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17689</w:t>
                  </w:r>
                </w:p>
              </w:tc>
              <w:tc>
                <w:tcPr>
                  <w:tcW w:w="682" w:type="dxa"/>
                  <w:vMerge w:val="restart"/>
                  <w:tcBorders>
                    <w:tl2br w:val="nil"/>
                    <w:tr2bl w:val="nil"/>
                  </w:tcBorders>
                  <w:vAlign w:val="center"/>
                </w:tcPr>
                <w:p w14:paraId="7F773C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1200</w:t>
                  </w:r>
                </w:p>
              </w:tc>
              <w:tc>
                <w:tcPr>
                  <w:tcW w:w="968" w:type="dxa"/>
                  <w:tcBorders>
                    <w:tl2br w:val="nil"/>
                    <w:tr2bl w:val="nil"/>
                  </w:tcBorders>
                  <w:vAlign w:val="center"/>
                </w:tcPr>
                <w:p w14:paraId="0DEF27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4.7</w:t>
                  </w:r>
                </w:p>
              </w:tc>
              <w:tc>
                <w:tcPr>
                  <w:tcW w:w="927" w:type="dxa"/>
                  <w:tcBorders>
                    <w:tl2br w:val="nil"/>
                    <w:tr2bl w:val="nil"/>
                  </w:tcBorders>
                  <w:vAlign w:val="center"/>
                </w:tcPr>
                <w:p w14:paraId="2B4B01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0.0619</w:t>
                  </w:r>
                </w:p>
              </w:tc>
              <w:tc>
                <w:tcPr>
                  <w:tcW w:w="835" w:type="dxa"/>
                  <w:tcBorders>
                    <w:tl2br w:val="nil"/>
                    <w:tr2bl w:val="nil"/>
                  </w:tcBorders>
                  <w:vAlign w:val="center"/>
                </w:tcPr>
                <w:p w14:paraId="1B47D2F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0.074</w:t>
                  </w:r>
                </w:p>
              </w:tc>
              <w:tc>
                <w:tcPr>
                  <w:tcW w:w="573" w:type="dxa"/>
                  <w:vMerge w:val="restart"/>
                  <w:tcBorders>
                    <w:tl2br w:val="nil"/>
                    <w:tr2bl w:val="nil"/>
                  </w:tcBorders>
                  <w:vAlign w:val="center"/>
                </w:tcPr>
                <w:p w14:paraId="64067B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80%</w:t>
                  </w:r>
                </w:p>
              </w:tc>
              <w:tc>
                <w:tcPr>
                  <w:tcW w:w="1479" w:type="dxa"/>
                  <w:tcBorders>
                    <w:tl2br w:val="nil"/>
                    <w:tr2bl w:val="nil"/>
                  </w:tcBorders>
                  <w:vAlign w:val="center"/>
                </w:tcPr>
                <w:p w14:paraId="1DAB43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0.093</w:t>
                  </w:r>
                </w:p>
              </w:tc>
            </w:tr>
            <w:tr w14:paraId="21443F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continue"/>
                  <w:tcBorders>
                    <w:tl2br w:val="nil"/>
                    <w:tr2bl w:val="nil"/>
                  </w:tcBorders>
                  <w:vAlign w:val="center"/>
                </w:tcPr>
                <w:p w14:paraId="3491A6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4823BD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625F1D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682" w:type="dxa"/>
                  <w:vMerge w:val="continue"/>
                  <w:tcBorders>
                    <w:tl2br w:val="nil"/>
                    <w:tr2bl w:val="nil"/>
                  </w:tcBorders>
                  <w:vAlign w:val="center"/>
                </w:tcPr>
                <w:p w14:paraId="2D24AD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968" w:type="dxa"/>
                  <w:tcBorders>
                    <w:tl2br w:val="nil"/>
                    <w:tr2bl w:val="nil"/>
                  </w:tcBorders>
                  <w:vAlign w:val="center"/>
                </w:tcPr>
                <w:p w14:paraId="2529E6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3ND</w:t>
                  </w:r>
                </w:p>
              </w:tc>
              <w:tc>
                <w:tcPr>
                  <w:tcW w:w="927" w:type="dxa"/>
                  <w:tcBorders>
                    <w:tl2br w:val="nil"/>
                    <w:tr2bl w:val="nil"/>
                  </w:tcBorders>
                  <w:vAlign w:val="center"/>
                </w:tcPr>
                <w:p w14:paraId="503A93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0.027</w:t>
                  </w:r>
                </w:p>
              </w:tc>
              <w:tc>
                <w:tcPr>
                  <w:tcW w:w="835" w:type="dxa"/>
                  <w:tcBorders>
                    <w:tl2br w:val="nil"/>
                    <w:tr2bl w:val="nil"/>
                  </w:tcBorders>
                  <w:vAlign w:val="center"/>
                </w:tcPr>
                <w:p w14:paraId="5C288E0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0.032</w:t>
                  </w:r>
                </w:p>
              </w:tc>
              <w:tc>
                <w:tcPr>
                  <w:tcW w:w="573" w:type="dxa"/>
                  <w:vMerge w:val="continue"/>
                  <w:tcBorders>
                    <w:tl2br w:val="nil"/>
                    <w:tr2bl w:val="nil"/>
                  </w:tcBorders>
                  <w:vAlign w:val="center"/>
                </w:tcPr>
                <w:p w14:paraId="631B59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479" w:type="dxa"/>
                  <w:tcBorders>
                    <w:tl2br w:val="nil"/>
                    <w:tr2bl w:val="nil"/>
                  </w:tcBorders>
                  <w:vAlign w:val="center"/>
                </w:tcPr>
                <w:p w14:paraId="1CC811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0.041</w:t>
                  </w:r>
                </w:p>
              </w:tc>
            </w:tr>
            <w:tr w14:paraId="28096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continue"/>
                  <w:tcBorders>
                    <w:tl2br w:val="nil"/>
                    <w:tr2bl w:val="nil"/>
                  </w:tcBorders>
                  <w:vAlign w:val="center"/>
                </w:tcPr>
                <w:p w14:paraId="6529D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6E5A9F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6B8A74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7CD468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674706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w:t>
                  </w:r>
                </w:p>
              </w:tc>
              <w:tc>
                <w:tcPr>
                  <w:tcW w:w="927" w:type="dxa"/>
                  <w:tcBorders>
                    <w:tl2br w:val="nil"/>
                    <w:tr2bl w:val="nil"/>
                  </w:tcBorders>
                  <w:vAlign w:val="center"/>
                </w:tcPr>
                <w:p w14:paraId="7B6D0E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0.155</w:t>
                  </w:r>
                </w:p>
              </w:tc>
              <w:tc>
                <w:tcPr>
                  <w:tcW w:w="835" w:type="dxa"/>
                  <w:tcBorders>
                    <w:tl2br w:val="nil"/>
                    <w:tr2bl w:val="nil"/>
                  </w:tcBorders>
                  <w:vAlign w:val="center"/>
                </w:tcPr>
                <w:p w14:paraId="6CF86F9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0.186</w:t>
                  </w:r>
                </w:p>
              </w:tc>
              <w:tc>
                <w:tcPr>
                  <w:tcW w:w="573" w:type="dxa"/>
                  <w:vMerge w:val="continue"/>
                  <w:tcBorders>
                    <w:tl2br w:val="nil"/>
                    <w:tr2bl w:val="nil"/>
                  </w:tcBorders>
                  <w:vAlign w:val="center"/>
                </w:tcPr>
                <w:p w14:paraId="4E5FC2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479" w:type="dxa"/>
                  <w:tcBorders>
                    <w:tl2br w:val="nil"/>
                    <w:tr2bl w:val="nil"/>
                  </w:tcBorders>
                  <w:vAlign w:val="center"/>
                </w:tcPr>
                <w:p w14:paraId="5580E3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0.233</w:t>
                  </w:r>
                </w:p>
              </w:tc>
            </w:tr>
          </w:tbl>
          <w:p w14:paraId="5949D72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综上，本项目锅炉废气中的颗粒物、二氧化硫废气排放</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浓度可达到《锅炉大气污染物排放标准》（DB61/1226-2018）表3燃气锅炉排放限值中的标准限值要求</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；根据</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附件5陕西正泽检测科技有限公司出具的例行监测报告中数据（报告编号：ZZJC-2024-H-03-042），</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氮氧化物废气排放</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浓度可达到</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《西安市大气污染治理专项行动2024年工作方案》中</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低于30</w:t>
            </w:r>
            <w:r>
              <w:rPr>
                <w:rFonts w:hint="default" w:ascii="Times New Roman" w:hAnsi="Times New Roman" w:eastAsiaTheme="minorEastAsia" w:cstheme="minorBidi"/>
                <w:b w:val="0"/>
                <w:bCs w:val="0"/>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val="0"/>
                <w:bCs w:val="0"/>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的</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控制标准</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因此，本项目</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对周围环境的影响较小。</w:t>
            </w:r>
          </w:p>
          <w:p w14:paraId="66A854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1.2 </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锅炉废气污染治理设施可行性分析</w:t>
            </w:r>
          </w:p>
          <w:p w14:paraId="2CAFE2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（1）颗粒物与二氧化硫锅炉烟气污染防治可行技术</w:t>
            </w:r>
          </w:p>
          <w:p w14:paraId="51319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根据《排污许可证申请与核发技术规范锅炉》（HJ953-2018）</w:t>
            </w:r>
            <w:r>
              <w:rPr>
                <w:rFonts w:hint="eastAsia" w:ascii="Times New Roman" w:hAnsi="Times New Roman" w:cs="Times New Roman"/>
                <w:color w:val="000000" w:themeColor="text1"/>
                <w:sz w:val="24"/>
                <w:szCs w:val="32"/>
                <w:lang w:val="en-US" w:eastAsia="zh-CN"/>
                <w14:textFill>
                  <w14:solidFill>
                    <w14:schemeClr w14:val="tx1"/>
                  </w14:solidFill>
                </w14:textFill>
              </w:rPr>
              <w:t>表7可知，对天然气锅炉中</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颗粒物与二氧化硫</w:t>
            </w:r>
            <w:r>
              <w:rPr>
                <w:rFonts w:hint="eastAsia" w:ascii="Times New Roman" w:hAnsi="Times New Roman" w:cs="Times New Roman"/>
                <w:color w:val="000000" w:themeColor="text1"/>
                <w:sz w:val="24"/>
                <w:szCs w:val="32"/>
                <w:lang w:val="en-US" w:eastAsia="zh-CN"/>
                <w14:textFill>
                  <w14:solidFill>
                    <w14:schemeClr w14:val="tx1"/>
                  </w14:solidFill>
                </w14:textFill>
              </w:rPr>
              <w:t>的</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锅炉烟气污染防治可行技术</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未提及；</w:t>
            </w:r>
            <w:r>
              <w:rPr>
                <w:rFonts w:hint="default" w:ascii="Times New Roman" w:hAnsi="Times New Roman" w:cs="Times New Roman"/>
                <w:color w:val="000000" w:themeColor="text1"/>
                <w:sz w:val="24"/>
                <w:szCs w:val="32"/>
                <w:lang w:val="en-US" w:eastAsia="zh-CN"/>
                <w14:textFill>
                  <w14:solidFill>
                    <w14:schemeClr w14:val="tx1"/>
                  </w14:solidFill>
                </w14:textFill>
              </w:rPr>
              <w:t>本项目燃料使用天然气，含硫量低，烟气粉尘含量小，废气不经处理颗粒物和SO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排放浓度均可满足《锅炉大气污染物排放标准》（DB61/1226-2018）表3中燃气锅炉大气污染物排放浓度限值要求，因此项目颗粒物和SO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不需要设置治理设施。</w:t>
            </w:r>
          </w:p>
          <w:p w14:paraId="4D7C434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200" w:right="0" w:rightChars="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（2）氮氧化物锅炉烟气污染防治可行技术</w:t>
            </w:r>
          </w:p>
          <w:p w14:paraId="2D3DAE6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根据《排污许可证申请与核发技术规范锅炉》（HJ953-2018）表</w:t>
            </w:r>
            <w:r>
              <w:rPr>
                <w:rFonts w:hint="eastAsia" w:ascii="Times New Roman" w:hAnsi="Times New Roman" w:cs="Times New Roman"/>
                <w:color w:val="000000" w:themeColor="text1"/>
                <w:sz w:val="24"/>
                <w:szCs w:val="32"/>
                <w:lang w:val="en-US" w:eastAsia="zh-CN"/>
                <w14:textFill>
                  <w14:solidFill>
                    <w14:schemeClr w14:val="tx1"/>
                  </w14:solidFill>
                </w14:textFill>
              </w:rPr>
              <w:t>7</w:t>
            </w:r>
            <w:r>
              <w:rPr>
                <w:rFonts w:hint="default" w:ascii="Times New Roman" w:hAnsi="Times New Roman" w:cs="Times New Roman"/>
                <w:color w:val="000000" w:themeColor="text1"/>
                <w:sz w:val="24"/>
                <w:szCs w:val="32"/>
                <w:lang w:val="en-US" w:eastAsia="zh-CN"/>
                <w14:textFill>
                  <w14:solidFill>
                    <w14:schemeClr w14:val="tx1"/>
                  </w14:solidFill>
                </w14:textFill>
              </w:rPr>
              <w:t>中内容，</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燃气锅炉烟气中氮氧化物污染防治设施名称及工艺包括</w:t>
            </w:r>
            <w:r>
              <w:rPr>
                <w:rFonts w:hint="eastAsia" w:ascii="Times New Roman" w:hAnsi="Times New Roman" w:cs="Times New Roman"/>
                <w:color w:val="000000" w:themeColor="text1"/>
                <w:sz w:val="24"/>
                <w:szCs w:val="32"/>
                <w:lang w:val="en-US" w:eastAsia="zh-CN"/>
                <w14:textFill>
                  <w14:solidFill>
                    <w14:schemeClr w14:val="tx1"/>
                  </w14:solidFill>
                </w14:textFill>
              </w:rPr>
              <w:t>：低氮燃烧技术、低氮燃烧+SCR脱硝技术</w:t>
            </w:r>
            <w:r>
              <w:rPr>
                <w:rFonts w:hint="default" w:ascii="Times New Roman" w:hAnsi="Times New Roman" w:cs="Times New Roman"/>
                <w:color w:val="000000" w:themeColor="text1"/>
                <w:sz w:val="24"/>
                <w:szCs w:val="32"/>
                <w:lang w:val="en-US" w:eastAsia="zh-CN"/>
                <w14:textFill>
                  <w14:solidFill>
                    <w14:schemeClr w14:val="tx1"/>
                  </w14:solidFill>
                </w14:textFill>
              </w:rPr>
              <w:t>、低氮燃烧+SCR法、其他</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，本项目采用</w:t>
            </w:r>
            <w:r>
              <w:rPr>
                <w:rFonts w:hint="eastAsia" w:ascii="Times New Roman" w:hAnsi="Times New Roman" w:cs="Times New Roman"/>
                <w:color w:val="000000" w:themeColor="text1"/>
                <w:sz w:val="24"/>
                <w:szCs w:val="32"/>
                <w:lang w:val="en-US" w:eastAsia="zh-CN"/>
                <w14:textFill>
                  <w14:solidFill>
                    <w14:schemeClr w14:val="tx1"/>
                  </w14:solidFill>
                </w14:textFill>
              </w:rPr>
              <w:t>国际领先的</w:t>
            </w:r>
            <w:r>
              <w:rPr>
                <w:rFonts w:hint="default" w:ascii="Times New Roman" w:hAnsi="Times New Roman" w:cs="Times New Roman"/>
                <w:color w:val="000000" w:themeColor="text1"/>
                <w:sz w:val="24"/>
                <w:szCs w:val="32"/>
                <w:lang w:val="en-US" w:eastAsia="zh-CN"/>
                <w14:textFill>
                  <w14:solidFill>
                    <w14:schemeClr w14:val="tx1"/>
                  </w14:solidFill>
                </w14:textFill>
              </w:rPr>
              <w:t>低氮燃烧</w:t>
            </w:r>
            <w:r>
              <w:rPr>
                <w:rFonts w:hint="eastAsia" w:ascii="Times New Roman" w:hAnsi="Times New Roman" w:cs="Times New Roman"/>
                <w:color w:val="000000" w:themeColor="text1"/>
                <w:sz w:val="24"/>
                <w:szCs w:val="32"/>
                <w:lang w:val="en-US" w:eastAsia="zh-CN"/>
                <w14:textFill>
                  <w14:solidFill>
                    <w14:schemeClr w14:val="tx1"/>
                  </w14:solidFill>
                </w14:textFill>
              </w:rPr>
              <w:t>技术，从源头进行</w:t>
            </w:r>
            <w:r>
              <w:rPr>
                <w:rFonts w:hint="default" w:ascii="Times New Roman" w:hAnsi="Times New Roman" w:cs="Times New Roman"/>
                <w:color w:val="000000" w:themeColor="text1"/>
                <w:sz w:val="24"/>
                <w:szCs w:val="32"/>
                <w:lang w:val="en-US" w:eastAsia="zh-CN"/>
                <w14:textFill>
                  <w14:solidFill>
                    <w14:schemeClr w14:val="tx1"/>
                  </w14:solidFill>
                </w14:textFill>
              </w:rPr>
              <w:t>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szCs w:val="32"/>
                <w:lang w:val="en-US" w:eastAsia="zh-CN"/>
                <w14:textFill>
                  <w14:solidFill>
                    <w14:schemeClr w14:val="tx1"/>
                  </w14:solidFill>
                </w14:textFill>
              </w:rPr>
              <w:t>减排，</w:t>
            </w:r>
            <w:r>
              <w:rPr>
                <w:rFonts w:hint="default" w:ascii="Times New Roman" w:hAnsi="Times New Roman" w:cs="Times New Roman"/>
                <w:color w:val="000000" w:themeColor="text1"/>
                <w:sz w:val="24"/>
                <w:szCs w:val="32"/>
                <w:lang w:val="en-US" w:eastAsia="zh-CN"/>
                <w14:textFill>
                  <w14:solidFill>
                    <w14:schemeClr w14:val="tx1"/>
                  </w14:solidFill>
                </w14:textFill>
              </w:rPr>
              <w:t>可达标排放，属于可行技术</w:t>
            </w:r>
            <w:r>
              <w:rPr>
                <w:rFonts w:hint="eastAsia" w:ascii="Times New Roman" w:hAnsi="Times New Roman" w:cs="Times New Roman"/>
                <w:color w:val="000000" w:themeColor="text1"/>
                <w:sz w:val="24"/>
                <w:szCs w:val="32"/>
                <w:lang w:val="en-US" w:eastAsia="zh-CN"/>
                <w14:textFill>
                  <w14:solidFill>
                    <w14:schemeClr w14:val="tx1"/>
                  </w14:solidFill>
                </w14:textFill>
              </w:rPr>
              <w:t>。</w:t>
            </w:r>
          </w:p>
          <w:p w14:paraId="4F14B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w:t>
            </w:r>
            <w:r>
              <w:rPr>
                <w:rFonts w:hint="eastAsia" w:ascii="Times New Roman" w:hAnsi="Times New Roman" w:cs="Times New Roman"/>
                <w:b/>
                <w:bCs/>
                <w:color w:val="000000" w:themeColor="text1"/>
                <w:sz w:val="24"/>
                <w:szCs w:val="32"/>
                <w:lang w:val="en-US" w:eastAsia="zh-CN"/>
                <w14:textFill>
                  <w14:solidFill>
                    <w14:schemeClr w14:val="tx1"/>
                  </w14:solidFill>
                </w14:textFill>
              </w:rPr>
              <w:t>氮氧化物</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稳定达标排放的具体措施</w:t>
            </w:r>
          </w:p>
          <w:p w14:paraId="1BC16D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本项目低氮燃烧器采用燃气全预混燃烧原理，</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燃气全预混燃烧是指燃气在燃烧器前与足够的空气进行充分混合，在燃烧的过程中不再需要供给空气的燃烧方式。全预混燃烧的火焰传播速度快，燃烧室容积热强度很高，一般可达28~56×10</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kW/m</w:t>
            </w:r>
            <w:r>
              <w:rPr>
                <w:rFonts w:hint="eastAsia"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或更高，且能在很小的过剩空气系数下达到完全燃烧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通常a=1.05~1.1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，几乎不存在化学不完全燃烧现象。全预混燃烧降低了氮氧化物的排放，全预混燃烧不产生燃料型氮氧化物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其次，全预混燃烧不产生快速型氮氧化物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最后，全预混燃烧降低了温度型氮氧化物的生成浓度。</w:t>
            </w:r>
          </w:p>
          <w:p w14:paraId="1B4F62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NOx的排放浓度满足《锅炉大气污染物排放标准》（DB61/1226-2018）表3中标准要求，NOx可以控制在30毫克/立方米，符合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中相关要求，故本项目使用的低氮燃烧器可行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5FA8B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val="0"/>
                <w:color w:val="000000" w:themeColor="text1"/>
                <w:sz w:val="24"/>
                <w:szCs w:val="24"/>
                <w:highlight w:val="none"/>
                <w:lang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1.3 </w:t>
            </w:r>
            <w:r>
              <w:rPr>
                <w:rFonts w:hint="eastAsia" w:ascii="Times New Roman" w:hAnsi="Times New Roman"/>
                <w:b/>
                <w:bCs w:val="0"/>
                <w:color w:val="000000" w:themeColor="text1"/>
                <w:sz w:val="24"/>
                <w:szCs w:val="24"/>
                <w:highlight w:val="none"/>
                <w14:textFill>
                  <w14:solidFill>
                    <w14:schemeClr w14:val="tx1"/>
                  </w14:solidFill>
                </w14:textFill>
              </w:rPr>
              <w:t>排气筒高度设置的合理性</w:t>
            </w:r>
            <w:r>
              <w:rPr>
                <w:rFonts w:hint="eastAsia" w:ascii="Times New Roman" w:hAnsi="Times New Roman"/>
                <w:b/>
                <w:bCs w:val="0"/>
                <w:color w:val="000000" w:themeColor="text1"/>
                <w:sz w:val="24"/>
                <w:szCs w:val="24"/>
                <w:highlight w:val="none"/>
                <w:lang w:eastAsia="zh-CN"/>
                <w14:textFill>
                  <w14:solidFill>
                    <w14:schemeClr w14:val="tx1"/>
                  </w14:solidFill>
                </w14:textFill>
              </w:rPr>
              <w:t>分析</w:t>
            </w:r>
          </w:p>
          <w:p w14:paraId="274EC7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《锅炉大气污染物排放标准》（GB13271-2014）的相关规定：燃油、燃气锅炉烟囱不低于8m；新建锅炉</w:t>
            </w:r>
            <w:r>
              <w:rPr>
                <w:rFonts w:hint="default" w:ascii="Times New Roman" w:hAnsi="Times New Roman" w:cs="Times New Roman"/>
                <w:color w:val="000000" w:themeColor="text1"/>
                <w:sz w:val="24"/>
                <w:lang w:val="en-US" w:eastAsia="zh-CN"/>
                <w14:textFill>
                  <w14:solidFill>
                    <w14:schemeClr w14:val="tx1"/>
                  </w14:solidFill>
                </w14:textFill>
              </w:rPr>
              <w:t>房</w:t>
            </w:r>
            <w:r>
              <w:rPr>
                <w:rFonts w:hint="default" w:ascii="Times New Roman" w:hAnsi="Times New Roman" w:cs="Times New Roman"/>
                <w:color w:val="000000" w:themeColor="text1"/>
                <w:sz w:val="24"/>
                <w14:textFill>
                  <w14:solidFill>
                    <w14:schemeClr w14:val="tx1"/>
                  </w14:solidFill>
                </w14:textFill>
              </w:rPr>
              <w:t>的烟囱周围半径200m距离内有建筑物时，其烟囱应高出最高建筑物3m以上。</w:t>
            </w:r>
          </w:p>
          <w:p w14:paraId="520184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200m范围内最高建筑物为</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未央经典（西旅逸都）小区楼层</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9</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层高，每层按3m高计）</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，总高</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8</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90</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77DCC6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eastAsia" w:ascii="Times New Roman" w:hAnsi="Times New Roman" w:cs="Times New Roman"/>
                <w:color w:val="000000" w:themeColor="text1"/>
                <w:sz w:val="24"/>
                <w:lang w:val="en-US" w:eastAsia="zh-CN"/>
                <w14:textFill>
                  <w14:solidFill>
                    <w14:schemeClr w14:val="tx1"/>
                  </w14:solidFill>
                </w14:textFill>
              </w:rPr>
              <w:t>未央经典（西旅逸都）小区5#住宅楼</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w:t>
            </w:r>
            <w:r>
              <w:rPr>
                <w:rFonts w:hint="default" w:ascii="Times New Roman" w:hAnsi="Times New Roman" w:cs="Times New Roman"/>
                <w:color w:val="000000" w:themeColor="text1"/>
                <w:spacing w:val="-1"/>
                <w:sz w:val="24"/>
                <w:szCs w:val="24"/>
                <w:lang w:val="en-US" w:eastAsia="zh-CN"/>
                <w14:textFill>
                  <w14:solidFill>
                    <w14:schemeClr w14:val="tx1"/>
                  </w14:solidFill>
                </w14:textFill>
              </w:rPr>
              <w:t>5</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台锅炉废气串联设置排烟道，通过负1层预留的砖混烟道收集后引至5#住宅楼外墙，通过1根</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内径为Φ</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10</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00mm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高</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为37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m的</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不锈钢材质</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排气筒（DA00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依附</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5#住宅楼外墙排放</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p>
          <w:p w14:paraId="321636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因此，本项目排气筒</w:t>
            </w:r>
            <w:r>
              <w:rPr>
                <w:rFonts w:hint="eastAsia" w:ascii="Times New Roman" w:hAnsi="Times New Roman" w:cs="Times New Roman"/>
                <w:color w:val="000000" w:themeColor="text1"/>
                <w:sz w:val="24"/>
                <w:szCs w:val="32"/>
                <w:lang w:val="en-US" w:eastAsia="zh-CN"/>
                <w14:textFill>
                  <w14:solidFill>
                    <w14:schemeClr w14:val="tx1"/>
                  </w14:solidFill>
                </w14:textFill>
              </w:rPr>
              <w:t>高度需要整改至90m后排放。经建设单位现场评估，现场具备整改条件，在整改后废气经90m排气筒引至</w:t>
            </w:r>
            <w:r>
              <w:rPr>
                <w:rFonts w:hint="eastAsia" w:ascii="Times New Roman" w:hAnsi="Times New Roman" w:cs="Times New Roman"/>
                <w:color w:val="000000" w:themeColor="text1"/>
                <w:spacing w:val="-1"/>
                <w:sz w:val="24"/>
                <w:szCs w:val="24"/>
                <w:lang w:val="en-US" w:eastAsia="zh-CN"/>
                <w14:textFill>
                  <w14:solidFill>
                    <w14:schemeClr w14:val="tx1"/>
                  </w14:solidFill>
                </w14:textFill>
              </w:rPr>
              <w:t>5#住宅楼</w:t>
            </w:r>
            <w:r>
              <w:rPr>
                <w:rFonts w:hint="eastAsia" w:ascii="Times New Roman" w:hAnsi="Times New Roman" w:cs="Times New Roman"/>
                <w:color w:val="000000" w:themeColor="text1"/>
                <w:sz w:val="24"/>
                <w:szCs w:val="32"/>
                <w:lang w:val="en-US" w:eastAsia="zh-CN"/>
                <w14:textFill>
                  <w14:solidFill>
                    <w14:schemeClr w14:val="tx1"/>
                  </w14:solidFill>
                </w14:textFill>
              </w:rPr>
              <w:t>楼顶排放，因此，本项目排气筒</w:t>
            </w:r>
            <w:r>
              <w:rPr>
                <w:rFonts w:hint="default" w:ascii="Times New Roman" w:hAnsi="Times New Roman" w:cs="Times New Roman"/>
                <w:color w:val="000000" w:themeColor="text1"/>
                <w:sz w:val="24"/>
                <w:szCs w:val="32"/>
                <w:lang w:val="en-US" w:eastAsia="zh-CN"/>
                <w14:textFill>
                  <w14:solidFill>
                    <w14:schemeClr w14:val="tx1"/>
                  </w14:solidFill>
                </w14:textFill>
              </w:rPr>
              <w:t>设置高度是可行的。</w:t>
            </w:r>
          </w:p>
          <w:p w14:paraId="187893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1.4 </w:t>
            </w:r>
            <w:r>
              <w:rPr>
                <w:rFonts w:hint="default" w:ascii="Times New Roman" w:hAnsi="Times New Roman"/>
                <w:b/>
                <w:bCs w:val="0"/>
                <w:color w:val="000000" w:themeColor="text1"/>
                <w:sz w:val="24"/>
                <w:szCs w:val="24"/>
                <w:highlight w:val="none"/>
                <w:lang w:val="en-US" w:eastAsia="zh-CN"/>
                <w14:textFill>
                  <w14:solidFill>
                    <w14:schemeClr w14:val="tx1"/>
                  </w14:solidFill>
                </w14:textFill>
              </w:rPr>
              <w:t>非正常情况污染排放</w:t>
            </w:r>
          </w:p>
          <w:p w14:paraId="446534A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sz w:val="24"/>
                <w:szCs w:val="32"/>
                <w14:textFill>
                  <w14:solidFill>
                    <w14:schemeClr w14:val="tx1"/>
                  </w14:solidFill>
                </w14:textFill>
              </w:rPr>
              <w:t>本项目非正常工况废气排放分析及防范措施具体如下：</w:t>
            </w:r>
          </w:p>
          <w:p w14:paraId="2C9ACF6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sz w:val="24"/>
                <w:szCs w:val="32"/>
                <w14:textFill>
                  <w14:solidFill>
                    <w14:schemeClr w14:val="tx1"/>
                  </w14:solidFill>
                </w14:textFill>
              </w:rPr>
              <w:t>（1）非正常工况源强分析</w:t>
            </w:r>
          </w:p>
          <w:p w14:paraId="6AFEA2A8">
            <w:pPr>
              <w:keepNext w:val="0"/>
              <w:keepLines w:val="0"/>
              <w:suppressLineNumbers w:val="0"/>
              <w:spacing w:before="0" w:beforeAutospacing="0" w:after="0" w:afterAutospacing="0" w:line="360" w:lineRule="auto"/>
              <w:ind w:left="0" w:right="0" w:firstLine="480" w:firstLineChars="20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非正常排放是指生产过程中开停车（工、炉）、设备检修、工艺设备运转异常等非正常工况下的污染物排放，以及污染物排放控制措施达不到应有效率等情况下的排放。</w:t>
            </w:r>
          </w:p>
          <w:p w14:paraId="0313207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sz w:val="24"/>
                <w:szCs w:val="32"/>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本项目</w:t>
            </w:r>
            <w:r>
              <w:rPr>
                <w:rFonts w:hint="eastAsia" w:ascii="宋体" w:hAnsi="宋体" w:eastAsia="宋体" w:cs="宋体"/>
                <w:color w:val="000000" w:themeColor="text1"/>
                <w:sz w:val="24"/>
                <w:szCs w:val="24"/>
                <w:lang w:val="en-US" w:eastAsia="zh-CN"/>
                <w14:textFill>
                  <w14:solidFill>
                    <w14:schemeClr w14:val="tx1"/>
                  </w14:solidFill>
                </w14:textFill>
              </w:rPr>
              <w:t>运营过程中使用清洁能源，无废气治理设施；</w:t>
            </w:r>
            <w:r>
              <w:rPr>
                <w:rFonts w:ascii="宋体" w:hAnsi="宋体" w:eastAsia="宋体" w:cs="宋体"/>
                <w:color w:val="000000" w:themeColor="text1"/>
                <w:sz w:val="24"/>
                <w:szCs w:val="24"/>
                <w14:textFill>
                  <w14:solidFill>
                    <w14:schemeClr w14:val="tx1"/>
                  </w14:solidFill>
                </w14:textFill>
              </w:rPr>
              <w:t>废气非正常工况排放主要为</w:t>
            </w:r>
            <w:r>
              <w:rPr>
                <w:rFonts w:hint="eastAsia" w:ascii="宋体" w:hAnsi="宋体" w:eastAsia="宋体" w:cs="宋体"/>
                <w:color w:val="000000" w:themeColor="text1"/>
                <w:sz w:val="24"/>
                <w:szCs w:val="24"/>
                <w:lang w:eastAsia="zh-CN"/>
                <w14:textFill>
                  <w14:solidFill>
                    <w14:schemeClr w14:val="tx1"/>
                  </w14:solidFill>
                </w14:textFill>
              </w:rPr>
              <w:t>天然气锅炉“起炉、停炉”过程中导致燃料燃烧不充分，以及</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低氮燃烧器</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源头降氮</w:t>
            </w:r>
            <w:r>
              <w:rPr>
                <w:rFonts w:ascii="宋体" w:hAnsi="宋体" w:eastAsia="宋体" w:cs="宋体"/>
                <w:color w:val="000000" w:themeColor="text1"/>
                <w:sz w:val="24"/>
                <w:szCs w:val="24"/>
                <w14:textFill>
                  <w14:solidFill>
                    <w14:schemeClr w14:val="tx1"/>
                  </w14:solidFill>
                </w14:textFill>
              </w:rPr>
              <w:t>设备发生故障</w:t>
            </w:r>
            <w:r>
              <w:rPr>
                <w:rFonts w:hint="eastAsia" w:ascii="宋体" w:hAnsi="宋体" w:eastAsia="宋体" w:cs="宋体"/>
                <w:color w:val="000000" w:themeColor="text1"/>
                <w:sz w:val="24"/>
                <w:szCs w:val="24"/>
                <w:lang w:eastAsia="zh-CN"/>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非正常工况下废气</w:t>
            </w:r>
            <w:r>
              <w:rPr>
                <w:rFonts w:hint="eastAsia" w:ascii="宋体" w:hAnsi="宋体" w:eastAsia="宋体" w:cs="宋体"/>
                <w:color w:val="000000" w:themeColor="text1"/>
                <w:sz w:val="24"/>
                <w:szCs w:val="24"/>
                <w:lang w:eastAsia="zh-CN"/>
                <w14:textFill>
                  <w14:solidFill>
                    <w14:schemeClr w14:val="tx1"/>
                  </w14:solidFill>
                </w14:textFill>
              </w:rPr>
              <w:t>中氮氧化物以高于标准限值进入排气筒，排放至大气环境中</w:t>
            </w:r>
            <w:r>
              <w:rPr>
                <w:rFonts w:ascii="宋体" w:hAnsi="宋体" w:eastAsia="宋体" w:cs="宋体"/>
                <w:color w:val="000000" w:themeColor="text1"/>
                <w:sz w:val="24"/>
                <w:szCs w:val="24"/>
                <w14:textFill>
                  <w14:solidFill>
                    <w14:schemeClr w14:val="tx1"/>
                  </w14:solidFill>
                </w14:textFill>
              </w:rPr>
              <w:t>。</w:t>
            </w:r>
          </w:p>
          <w:p w14:paraId="355B899F">
            <w:pPr>
              <w:keepNext w:val="0"/>
              <w:keepLines w:val="0"/>
              <w:suppressLineNumbers w:val="0"/>
              <w:spacing w:before="0" w:beforeAutospacing="0" w:after="0" w:afterAutospacing="0" w:line="360" w:lineRule="auto"/>
              <w:ind w:left="0" w:right="0" w:firstLine="480" w:firstLineChars="200"/>
              <w:rPr>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4"/>
                <w:szCs w:val="32"/>
                <w14:textFill>
                  <w14:solidFill>
                    <w14:schemeClr w14:val="tx1"/>
                  </w14:solidFill>
                </w14:textFill>
              </w:rPr>
              <w:t>本项目非正常工况下，污染物排放情况如下表</w:t>
            </w:r>
            <w:r>
              <w:rPr>
                <w:rFonts w:hint="eastAsia" w:ascii="Times New Roman" w:hAnsi="Times New Roman" w:cs="Times New Roman"/>
                <w:color w:val="000000" w:themeColor="text1"/>
                <w:sz w:val="24"/>
                <w:szCs w:val="32"/>
                <w:lang w:val="en-US" w:eastAsia="zh-CN"/>
                <w14:textFill>
                  <w14:solidFill>
                    <w14:schemeClr w14:val="tx1"/>
                  </w14:solidFill>
                </w14:textFill>
              </w:rPr>
              <w:t>4-4</w:t>
            </w:r>
            <w:r>
              <w:rPr>
                <w:rFonts w:hint="default" w:ascii="Times New Roman" w:hAnsi="Times New Roman" w:cs="Times New Roman" w:eastAsiaTheme="minorEastAsia"/>
                <w:color w:val="000000" w:themeColor="text1"/>
                <w:sz w:val="24"/>
                <w:szCs w:val="32"/>
                <w14:textFill>
                  <w14:solidFill>
                    <w14:schemeClr w14:val="tx1"/>
                  </w14:solidFill>
                </w14:textFill>
              </w:rPr>
              <w:t>所示。</w:t>
            </w:r>
          </w:p>
          <w:p w14:paraId="518384F8">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b/>
                <w:bCs/>
                <w:color w:val="000000" w:themeColor="text1"/>
                <w:sz w:val="24"/>
                <w:szCs w:val="32"/>
                <w14:textFill>
                  <w14:solidFill>
                    <w14:schemeClr w14:val="tx1"/>
                  </w14:solidFill>
                </w14:textFill>
              </w:rPr>
              <w:t>表4-</w:t>
            </w:r>
            <w:r>
              <w:rPr>
                <w:rFonts w:hint="eastAsia" w:ascii="Times New Roman" w:hAnsi="Times New Roman" w:cs="Times New Roman"/>
                <w:b/>
                <w:bCs/>
                <w:color w:val="000000" w:themeColor="text1"/>
                <w:sz w:val="24"/>
                <w:szCs w:val="32"/>
                <w:lang w:val="en-US" w:eastAsia="zh-CN"/>
                <w14:textFill>
                  <w14:solidFill>
                    <w14:schemeClr w14:val="tx1"/>
                  </w14:solidFill>
                </w14:textFill>
              </w:rPr>
              <w:t>4</w:t>
            </w:r>
            <w:r>
              <w:rPr>
                <w:rFonts w:hint="default" w:ascii="Times New Roman" w:hAnsi="Times New Roman" w:cs="Times New Roman" w:eastAsiaTheme="minorEastAsia"/>
                <w:b/>
                <w:bCs/>
                <w:color w:val="000000" w:themeColor="text1"/>
                <w:sz w:val="24"/>
                <w:szCs w:val="32"/>
                <w14:textFill>
                  <w14:solidFill>
                    <w14:schemeClr w14:val="tx1"/>
                  </w14:solidFill>
                </w14:textFill>
              </w:rPr>
              <w:t xml:space="preserve">  本项目非正常工况废气有组织排放情况汇总表</w:t>
            </w:r>
          </w:p>
          <w:tbl>
            <w:tblPr>
              <w:tblStyle w:val="27"/>
              <w:tblW w:w="81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288"/>
              <w:gridCol w:w="1275"/>
              <w:gridCol w:w="1250"/>
              <w:gridCol w:w="1100"/>
              <w:gridCol w:w="1133"/>
            </w:tblGrid>
            <w:tr w14:paraId="4012D4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428" w:type="dxa"/>
                  <w:gridSpan w:val="2"/>
                  <w:tcBorders>
                    <w:tl2br w:val="nil"/>
                    <w:tr2bl w:val="nil"/>
                  </w:tcBorders>
                  <w:vAlign w:val="center"/>
                </w:tcPr>
                <w:p w14:paraId="7054A0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b/>
                      <w:bCs/>
                      <w:color w:val="000000" w:themeColor="text1"/>
                      <w:lang w:val="en-US" w:eastAsia="en-US"/>
                      <w14:textFill>
                        <w14:solidFill>
                          <w14:schemeClr w14:val="tx1"/>
                        </w14:solidFill>
                      </w14:textFill>
                    </w:rPr>
                  </w:pPr>
                  <w:r>
                    <w:rPr>
                      <w:rFonts w:hint="default" w:ascii="Times New Roman" w:hAnsi="Times New Roman" w:cs="Times New Roman" w:eastAsiaTheme="minorEastAsia"/>
                      <w:b/>
                      <w:bCs/>
                      <w:color w:val="000000" w:themeColor="text1"/>
                      <w14:textFill>
                        <w14:solidFill>
                          <w14:schemeClr w14:val="tx1"/>
                        </w14:solidFill>
                      </w14:textFill>
                    </w:rPr>
                    <w:t>污染物</w:t>
                  </w:r>
                </w:p>
              </w:tc>
              <w:tc>
                <w:tcPr>
                  <w:tcW w:w="1275" w:type="dxa"/>
                  <w:tcBorders>
                    <w:tl2br w:val="nil"/>
                    <w:tr2bl w:val="nil"/>
                  </w:tcBorders>
                  <w:vAlign w:val="center"/>
                </w:tcPr>
                <w:p w14:paraId="0FFB34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b/>
                      <w:bCs/>
                      <w:color w:val="000000" w:themeColor="text1"/>
                      <w:lang w:val="en-US" w:eastAsia="en-US"/>
                      <w14:textFill>
                        <w14:solidFill>
                          <w14:schemeClr w14:val="tx1"/>
                        </w14:solidFill>
                      </w14:textFill>
                    </w:rPr>
                  </w:pPr>
                  <w:r>
                    <w:rPr>
                      <w:rFonts w:hint="default" w:ascii="Times New Roman" w:hAnsi="Times New Roman" w:cs="Times New Roman" w:eastAsiaTheme="minorEastAsia"/>
                      <w:b/>
                      <w:bCs/>
                      <w:color w:val="000000" w:themeColor="text1"/>
                      <w14:textFill>
                        <w14:solidFill>
                          <w14:schemeClr w14:val="tx1"/>
                        </w14:solidFill>
                      </w14:textFill>
                    </w:rPr>
                    <w:t>非正常排放速率kg/h</w:t>
                  </w:r>
                </w:p>
              </w:tc>
              <w:tc>
                <w:tcPr>
                  <w:tcW w:w="1250" w:type="dxa"/>
                  <w:tcBorders>
                    <w:tl2br w:val="nil"/>
                    <w:tr2bl w:val="nil"/>
                  </w:tcBorders>
                  <w:vAlign w:val="center"/>
                </w:tcPr>
                <w:p w14:paraId="348DFE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b/>
                      <w:bCs/>
                      <w:color w:val="000000" w:themeColor="text1"/>
                      <w:lang w:val="en-US" w:eastAsia="en-US"/>
                      <w14:textFill>
                        <w14:solidFill>
                          <w14:schemeClr w14:val="tx1"/>
                        </w14:solidFill>
                      </w14:textFill>
                    </w:rPr>
                  </w:pPr>
                  <w:r>
                    <w:rPr>
                      <w:rFonts w:hint="default" w:ascii="Times New Roman" w:hAnsi="Times New Roman" w:cs="Times New Roman" w:eastAsiaTheme="minorEastAsia"/>
                      <w:b/>
                      <w:bCs/>
                      <w:color w:val="000000" w:themeColor="text1"/>
                      <w14:textFill>
                        <w14:solidFill>
                          <w14:schemeClr w14:val="tx1"/>
                        </w14:solidFill>
                      </w14:textFill>
                    </w:rPr>
                    <w:t>非正常浓度mg/m</w:t>
                  </w:r>
                  <w:r>
                    <w:rPr>
                      <w:rFonts w:hint="default" w:ascii="Times New Roman" w:hAnsi="Times New Roman" w:cs="Times New Roman" w:eastAsiaTheme="minorEastAsia"/>
                      <w:b/>
                      <w:bCs/>
                      <w:color w:val="000000" w:themeColor="text1"/>
                      <w:vertAlign w:val="superscript"/>
                      <w14:textFill>
                        <w14:solidFill>
                          <w14:schemeClr w14:val="tx1"/>
                        </w14:solidFill>
                      </w14:textFill>
                    </w:rPr>
                    <w:t>3</w:t>
                  </w:r>
                </w:p>
              </w:tc>
              <w:tc>
                <w:tcPr>
                  <w:tcW w:w="1100" w:type="dxa"/>
                  <w:tcBorders>
                    <w:tl2br w:val="nil"/>
                    <w:tr2bl w:val="nil"/>
                  </w:tcBorders>
                  <w:vAlign w:val="center"/>
                </w:tcPr>
                <w:p w14:paraId="26F68E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b/>
                      <w:bCs/>
                      <w:color w:val="000000" w:themeColor="text1"/>
                      <w:lang w:val="en-US" w:eastAsia="en-US"/>
                      <w14:textFill>
                        <w14:solidFill>
                          <w14:schemeClr w14:val="tx1"/>
                        </w14:solidFill>
                      </w14:textFill>
                    </w:rPr>
                  </w:pPr>
                  <w:r>
                    <w:rPr>
                      <w:rFonts w:hint="default" w:ascii="Times New Roman" w:hAnsi="Times New Roman" w:cs="Times New Roman" w:eastAsiaTheme="minorEastAsia"/>
                      <w:b/>
                      <w:bCs/>
                      <w:color w:val="000000" w:themeColor="text1"/>
                      <w14:textFill>
                        <w14:solidFill>
                          <w14:schemeClr w14:val="tx1"/>
                        </w14:solidFill>
                      </w14:textFill>
                    </w:rPr>
                    <w:t>单次持续时间h</w:t>
                  </w:r>
                </w:p>
              </w:tc>
              <w:tc>
                <w:tcPr>
                  <w:tcW w:w="1133" w:type="dxa"/>
                  <w:tcBorders>
                    <w:tl2br w:val="nil"/>
                    <w:tr2bl w:val="nil"/>
                  </w:tcBorders>
                  <w:vAlign w:val="center"/>
                </w:tcPr>
                <w:p w14:paraId="43271F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b/>
                      <w:bCs/>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14:textFill>
                        <w14:solidFill>
                          <w14:schemeClr w14:val="tx1"/>
                        </w14:solidFill>
                      </w14:textFill>
                    </w:rPr>
                    <w:t>年发生频次h/a</w:t>
                  </w:r>
                </w:p>
              </w:tc>
            </w:tr>
            <w:tr w14:paraId="49E1F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0" w:type="dxa"/>
                  <w:tcBorders>
                    <w:tl2br w:val="nil"/>
                    <w:tr2bl w:val="nil"/>
                  </w:tcBorders>
                  <w:vAlign w:val="center"/>
                </w:tcPr>
                <w:p w14:paraId="1BDE9F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en-US"/>
                      <w14:textFill>
                        <w14:solidFill>
                          <w14:schemeClr w14:val="tx1"/>
                        </w14:solidFill>
                      </w14:textFill>
                    </w:rPr>
                  </w:pPr>
                  <w:r>
                    <w:rPr>
                      <w:rFonts w:hint="default" w:ascii="Times New Roman" w:hAnsi="Times New Roman" w:cs="Times New Roman" w:eastAsiaTheme="minorEastAsia"/>
                      <w:color w:val="000000" w:themeColor="text1"/>
                      <w:lang w:val="en-US" w:eastAsia="zh-CN"/>
                      <w14:textFill>
                        <w14:solidFill>
                          <w14:schemeClr w14:val="tx1"/>
                        </w14:solidFill>
                      </w14:textFill>
                    </w:rPr>
                    <w:t>DA001</w:t>
                  </w:r>
                  <w:r>
                    <w:rPr>
                      <w:rFonts w:hint="default" w:ascii="Times New Roman" w:hAnsi="Times New Roman" w:cs="Times New Roman" w:eastAsiaTheme="minorEastAsia"/>
                      <w:color w:val="000000" w:themeColor="text1"/>
                      <w14:textFill>
                        <w14:solidFill>
                          <w14:schemeClr w14:val="tx1"/>
                        </w14:solidFill>
                      </w14:textFill>
                    </w:rPr>
                    <w:t>排气筒</w:t>
                  </w:r>
                </w:p>
              </w:tc>
              <w:tc>
                <w:tcPr>
                  <w:tcW w:w="1288" w:type="dxa"/>
                  <w:tcBorders>
                    <w:tl2br w:val="nil"/>
                    <w:tr2bl w:val="nil"/>
                  </w:tcBorders>
                  <w:vAlign w:val="center"/>
                </w:tcPr>
                <w:p w14:paraId="64F8E0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NO</w:t>
                  </w:r>
                  <w:r>
                    <w:rPr>
                      <w:rFonts w:hint="eastAsia" w:ascii="Times New Roman" w:hAnsi="Times New Roman" w:cs="Times New Roman"/>
                      <w:color w:val="000000" w:themeColor="text1"/>
                      <w:vertAlign w:val="subscript"/>
                      <w:lang w:val="en-US" w:eastAsia="zh-CN"/>
                      <w14:textFill>
                        <w14:solidFill>
                          <w14:schemeClr w14:val="tx1"/>
                        </w14:solidFill>
                      </w14:textFill>
                    </w:rPr>
                    <w:t>X</w:t>
                  </w:r>
                </w:p>
              </w:tc>
              <w:tc>
                <w:tcPr>
                  <w:tcW w:w="1275" w:type="dxa"/>
                  <w:tcBorders>
                    <w:tl2br w:val="nil"/>
                    <w:tr2bl w:val="nil"/>
                  </w:tcBorders>
                  <w:vAlign w:val="center"/>
                </w:tcPr>
                <w:p w14:paraId="02A8A2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sz w:val="18"/>
                      <w:szCs w:val="18"/>
                      <w:lang w:val="en-US" w:eastAsia="zh-CN"/>
                      <w14:textFill>
                        <w14:solidFill>
                          <w14:schemeClr w14:val="tx1"/>
                        </w14:solidFill>
                      </w14:textFill>
                    </w:rPr>
                    <w:t>/</w:t>
                  </w:r>
                </w:p>
              </w:tc>
              <w:tc>
                <w:tcPr>
                  <w:tcW w:w="1250" w:type="dxa"/>
                  <w:tcBorders>
                    <w:tl2br w:val="nil"/>
                    <w:tr2bl w:val="nil"/>
                  </w:tcBorders>
                  <w:vAlign w:val="center"/>
                </w:tcPr>
                <w:p w14:paraId="659F44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sz w:val="18"/>
                      <w:szCs w:val="18"/>
                      <w:lang w:val="en-US" w:eastAsia="zh-CN"/>
                      <w14:textFill>
                        <w14:solidFill>
                          <w14:schemeClr w14:val="tx1"/>
                        </w14:solidFill>
                      </w14:textFill>
                    </w:rPr>
                    <w:t>30</w:t>
                  </w:r>
                </w:p>
              </w:tc>
              <w:tc>
                <w:tcPr>
                  <w:tcW w:w="1100" w:type="dxa"/>
                  <w:tcBorders>
                    <w:tl2br w:val="nil"/>
                    <w:tr2bl w:val="nil"/>
                  </w:tcBorders>
                  <w:vAlign w:val="center"/>
                </w:tcPr>
                <w:p w14:paraId="558CEE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133" w:type="dxa"/>
                  <w:tcBorders>
                    <w:tl2br w:val="nil"/>
                    <w:tr2bl w:val="nil"/>
                  </w:tcBorders>
                  <w:vAlign w:val="center"/>
                </w:tcPr>
                <w:p w14:paraId="517500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p>
              </w:tc>
            </w:tr>
            <w:tr w14:paraId="45648E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140" w:type="dxa"/>
                  <w:tcBorders>
                    <w:tl2br w:val="nil"/>
                    <w:tr2bl w:val="nil"/>
                  </w:tcBorders>
                  <w:vAlign w:val="center"/>
                </w:tcPr>
                <w:p w14:paraId="4A6203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eastAsia" w:ascii="Times New Roman" w:hAnsi="Times New Roman" w:cs="Times New Roman" w:eastAsiaTheme="minorEastAsia"/>
                      <w:color w:val="000000" w:themeColor="text1"/>
                      <w:lang w:val="en-US" w:eastAsia="zh-CN"/>
                      <w14:textFill>
                        <w14:solidFill>
                          <w14:schemeClr w14:val="tx1"/>
                        </w14:solidFill>
                      </w14:textFill>
                    </w:rPr>
                    <w:t>《</w:t>
                  </w:r>
                  <w:r>
                    <w:rPr>
                      <w:rFonts w:hint="default" w:ascii="Times New Roman" w:hAnsi="Times New Roman" w:cs="Times New Roman" w:eastAsiaTheme="minorEastAsia"/>
                      <w:color w:val="000000" w:themeColor="text1"/>
                      <w:lang w:val="en-US" w:eastAsia="zh-CN"/>
                      <w14:textFill>
                        <w14:solidFill>
                          <w14:schemeClr w14:val="tx1"/>
                        </w14:solidFill>
                      </w14:textFill>
                    </w:rPr>
                    <w:t>西安市大气污染治理专项行动2024年工作方案</w:t>
                  </w:r>
                  <w:r>
                    <w:rPr>
                      <w:rFonts w:hint="eastAsia" w:ascii="Times New Roman" w:hAnsi="Times New Roman" w:cs="Times New Roman" w:eastAsiaTheme="minorEastAsia"/>
                      <w:color w:val="000000" w:themeColor="text1"/>
                      <w:lang w:val="en-US" w:eastAsia="zh-CN"/>
                      <w14:textFill>
                        <w14:solidFill>
                          <w14:schemeClr w14:val="tx1"/>
                        </w14:solidFill>
                      </w14:textFill>
                    </w:rPr>
                    <w:t>》</w:t>
                  </w:r>
                </w:p>
              </w:tc>
              <w:tc>
                <w:tcPr>
                  <w:tcW w:w="1288" w:type="dxa"/>
                  <w:tcBorders>
                    <w:tl2br w:val="nil"/>
                    <w:tr2bl w:val="nil"/>
                  </w:tcBorders>
                  <w:vAlign w:val="center"/>
                </w:tcPr>
                <w:p w14:paraId="373EAF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NO</w:t>
                  </w:r>
                  <w:r>
                    <w:rPr>
                      <w:rFonts w:hint="eastAsia" w:ascii="Times New Roman" w:hAnsi="Times New Roman" w:cs="Times New Roman"/>
                      <w:color w:val="000000" w:themeColor="text1"/>
                      <w:vertAlign w:val="subscript"/>
                      <w:lang w:val="en-US" w:eastAsia="zh-CN"/>
                      <w14:textFill>
                        <w14:solidFill>
                          <w14:schemeClr w14:val="tx1"/>
                        </w14:solidFill>
                      </w14:textFill>
                    </w:rPr>
                    <w:t>X</w:t>
                  </w:r>
                </w:p>
              </w:tc>
              <w:tc>
                <w:tcPr>
                  <w:tcW w:w="1275" w:type="dxa"/>
                  <w:tcBorders>
                    <w:tl2br w:val="nil"/>
                    <w:tr2bl w:val="nil"/>
                  </w:tcBorders>
                  <w:vAlign w:val="center"/>
                </w:tcPr>
                <w:p w14:paraId="47DAD7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eastAsiaTheme="minorEastAsia"/>
                      <w:color w:val="000000" w:themeColor="text1"/>
                      <w:lang w:val="en-US" w:eastAsia="zh-CN"/>
                      <w14:textFill>
                        <w14:solidFill>
                          <w14:schemeClr w14:val="tx1"/>
                        </w14:solidFill>
                      </w14:textFill>
                    </w:rPr>
                    <w:t>/</w:t>
                  </w:r>
                </w:p>
              </w:tc>
              <w:tc>
                <w:tcPr>
                  <w:tcW w:w="1250" w:type="dxa"/>
                  <w:tcBorders>
                    <w:tl2br w:val="nil"/>
                    <w:tr2bl w:val="nil"/>
                  </w:tcBorders>
                  <w:vAlign w:val="center"/>
                </w:tcPr>
                <w:p w14:paraId="3B6ACF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30</w:t>
                  </w:r>
                </w:p>
              </w:tc>
              <w:tc>
                <w:tcPr>
                  <w:tcW w:w="1100" w:type="dxa"/>
                  <w:tcBorders>
                    <w:tl2br w:val="nil"/>
                    <w:tr2bl w:val="nil"/>
                  </w:tcBorders>
                  <w:vAlign w:val="center"/>
                </w:tcPr>
                <w:p w14:paraId="69C1C3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1133" w:type="dxa"/>
                  <w:tcBorders>
                    <w:tl2br w:val="nil"/>
                    <w:tr2bl w:val="nil"/>
                  </w:tcBorders>
                  <w:vAlign w:val="center"/>
                </w:tcPr>
                <w:p w14:paraId="7E4A7A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eastAsiaTheme="minorEastAsia"/>
                      <w:color w:val="000000" w:themeColor="text1"/>
                      <w:lang w:val="en-US" w:eastAsia="zh-CN"/>
                      <w14:textFill>
                        <w14:solidFill>
                          <w14:schemeClr w14:val="tx1"/>
                        </w14:solidFill>
                      </w14:textFill>
                    </w:rPr>
                    <w:t>/</w:t>
                  </w:r>
                </w:p>
              </w:tc>
            </w:tr>
          </w:tbl>
          <w:p w14:paraId="25E8FC7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非正常情况应对措施</w:t>
            </w:r>
            <w:r>
              <w:rPr>
                <w:rFonts w:hint="default" w:ascii="Times New Roman" w:hAnsi="Times New Roman"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非正常情况下比正常工况下各污染物排放量明显偏大，污染物排放浓度较正常状态下超标较多。因此，为防止</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废气非正常工况排放，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建设单位</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必须要加强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锅炉及低氮燃烧器</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的管理，定期检修，确保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各</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设施正常运行，应采取以下措施确保废气达标排放：</w:t>
            </w:r>
          </w:p>
          <w:p w14:paraId="4FFB655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安排专人负责</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设备的日常维护和管理，每隔固定时间检查、汇报情况，及时发现</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设备的隐患，确保</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低氮燃烧</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系统正常运行</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p>
          <w:p w14:paraId="48B9DCE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建立健全的环保管理机构，对环保管理人员和技术人员进行岗位培训，委托具有专业资质的环境检测单位对项目排放的各类污染物进行定期检测</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p>
          <w:p w14:paraId="3B73E9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（3）严格执行锅炉运行操作规程，保证锅炉的稳定运行。</w:t>
            </w:r>
          </w:p>
          <w:p w14:paraId="6EF0FB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1.5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监测要求</w:t>
            </w:r>
          </w:p>
          <w:p w14:paraId="1448615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依据《排污单位自行监测技术指南 火力发电及锅炉》（HJ820-2017）、《排污许可证申请与核发技术规范 锅炉》（HJ953-2018）和项目内容、企业实际情况，</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本项目锅炉废气排放口为“一般排放口”，特</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制定相应的监测方案</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废气监测计划具体如表</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4-5</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所示。</w:t>
            </w:r>
          </w:p>
          <w:p w14:paraId="5FB800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4-5</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废气常规监测计划表</w:t>
            </w:r>
          </w:p>
          <w:tbl>
            <w:tblPr>
              <w:tblStyle w:val="26"/>
              <w:tblW w:w="84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077"/>
              <w:gridCol w:w="1186"/>
              <w:gridCol w:w="928"/>
              <w:gridCol w:w="654"/>
              <w:gridCol w:w="941"/>
              <w:gridCol w:w="2907"/>
            </w:tblGrid>
            <w:tr w14:paraId="76074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7" w:type="dxa"/>
                  <w:tcBorders>
                    <w:tl2br w:val="nil"/>
                    <w:tr2bl w:val="nil"/>
                  </w:tcBorders>
                  <w:noWrap w:val="0"/>
                  <w:vAlign w:val="center"/>
                </w:tcPr>
                <w:p w14:paraId="0388A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000000" w:themeColor="text1"/>
                      <w:szCs w:val="21"/>
                      <w:lang w:eastAsia="zh-CN"/>
                      <w14:textFill>
                        <w14:solidFill>
                          <w14:schemeClr w14:val="tx1"/>
                        </w14:solidFill>
                      </w14:textFill>
                    </w:rPr>
                  </w:pPr>
                  <w:r>
                    <w:rPr>
                      <w:rFonts w:hint="eastAsia" w:ascii="Times New Roman" w:hAnsi="Times New Roman" w:cs="Times New Roman"/>
                      <w:b/>
                      <w:bCs/>
                      <w:color w:val="000000" w:themeColor="text1"/>
                      <w:szCs w:val="21"/>
                      <w:lang w:eastAsia="zh-CN"/>
                      <w14:textFill>
                        <w14:solidFill>
                          <w14:schemeClr w14:val="tx1"/>
                        </w14:solidFill>
                      </w14:textFill>
                    </w:rPr>
                    <w:t>类别</w:t>
                  </w:r>
                </w:p>
              </w:tc>
              <w:tc>
                <w:tcPr>
                  <w:tcW w:w="1077" w:type="dxa"/>
                  <w:tcBorders>
                    <w:tl2br w:val="nil"/>
                    <w:tr2bl w:val="nil"/>
                  </w:tcBorders>
                  <w:noWrap w:val="0"/>
                  <w:vAlign w:val="center"/>
                </w:tcPr>
                <w:p w14:paraId="1EBD4A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p w14:paraId="74213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1186" w:type="dxa"/>
                  <w:tcBorders>
                    <w:tl2br w:val="nil"/>
                    <w:tr2bl w:val="nil"/>
                  </w:tcBorders>
                  <w:noWrap w:val="0"/>
                  <w:vAlign w:val="center"/>
                </w:tcPr>
                <w:p w14:paraId="29F89D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监测项目</w:t>
                  </w:r>
                </w:p>
              </w:tc>
              <w:tc>
                <w:tcPr>
                  <w:tcW w:w="928" w:type="dxa"/>
                  <w:tcBorders>
                    <w:tl2br w:val="nil"/>
                    <w:tr2bl w:val="nil"/>
                  </w:tcBorders>
                  <w:noWrap w:val="0"/>
                  <w:vAlign w:val="center"/>
                </w:tcPr>
                <w:p w14:paraId="6576D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监测点位置</w:t>
                  </w:r>
                </w:p>
              </w:tc>
              <w:tc>
                <w:tcPr>
                  <w:tcW w:w="654" w:type="dxa"/>
                  <w:tcBorders>
                    <w:tl2br w:val="nil"/>
                    <w:tr2bl w:val="nil"/>
                  </w:tcBorders>
                  <w:noWrap w:val="0"/>
                  <w:vAlign w:val="center"/>
                </w:tcPr>
                <w:p w14:paraId="2AEB8B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点位数量</w:t>
                  </w:r>
                </w:p>
              </w:tc>
              <w:tc>
                <w:tcPr>
                  <w:tcW w:w="941" w:type="dxa"/>
                  <w:tcBorders>
                    <w:tl2br w:val="nil"/>
                    <w:tr2bl w:val="nil"/>
                  </w:tcBorders>
                  <w:noWrap w:val="0"/>
                  <w:vAlign w:val="center"/>
                </w:tcPr>
                <w:p w14:paraId="23631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w:t>
                  </w:r>
                </w:p>
                <w:p w14:paraId="268F0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频率</w:t>
                  </w:r>
                </w:p>
              </w:tc>
              <w:tc>
                <w:tcPr>
                  <w:tcW w:w="2907" w:type="dxa"/>
                  <w:tcBorders>
                    <w:tl2br w:val="nil"/>
                    <w:tr2bl w:val="nil"/>
                  </w:tcBorders>
                  <w:noWrap w:val="0"/>
                  <w:vAlign w:val="center"/>
                </w:tcPr>
                <w:p w14:paraId="3FF77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w:t>
                  </w:r>
                </w:p>
              </w:tc>
            </w:tr>
            <w:tr w14:paraId="1EC23D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7" w:type="dxa"/>
                  <w:vMerge w:val="restart"/>
                  <w:tcBorders>
                    <w:tl2br w:val="nil"/>
                    <w:tr2bl w:val="nil"/>
                  </w:tcBorders>
                  <w:noWrap w:val="0"/>
                  <w:vAlign w:val="center"/>
                </w:tcPr>
                <w:p w14:paraId="788A4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有组织废气</w:t>
                  </w:r>
                </w:p>
              </w:tc>
              <w:tc>
                <w:tcPr>
                  <w:tcW w:w="1077" w:type="dxa"/>
                  <w:vMerge w:val="restart"/>
                  <w:tcBorders>
                    <w:tl2br w:val="nil"/>
                    <w:tr2bl w:val="nil"/>
                  </w:tcBorders>
                  <w:noWrap w:val="0"/>
                  <w:vAlign w:val="center"/>
                </w:tcPr>
                <w:p w14:paraId="56EE2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w:t>
                  </w:r>
                  <w:r>
                    <w:rPr>
                      <w:rFonts w:hint="eastAsia" w:ascii="Times New Roman" w:hAnsi="Times New Roman" w:cs="Times New Roman"/>
                      <w:color w:val="000000" w:themeColor="text1"/>
                      <w:szCs w:val="21"/>
                      <w:lang w:eastAsia="zh-CN"/>
                      <w14:textFill>
                        <w14:solidFill>
                          <w14:schemeClr w14:val="tx1"/>
                        </w14:solidFill>
                      </w14:textFill>
                    </w:rPr>
                    <w:t>烟气</w:t>
                  </w:r>
                </w:p>
              </w:tc>
              <w:tc>
                <w:tcPr>
                  <w:tcW w:w="1186" w:type="dxa"/>
                  <w:tcBorders>
                    <w:tl2br w:val="nil"/>
                    <w:tr2bl w:val="nil"/>
                  </w:tcBorders>
                  <w:noWrap w:val="0"/>
                  <w:vAlign w:val="center"/>
                </w:tcPr>
                <w:p w14:paraId="341C7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p>
              </w:tc>
              <w:tc>
                <w:tcPr>
                  <w:tcW w:w="928" w:type="dxa"/>
                  <w:vMerge w:val="restart"/>
                  <w:tcBorders>
                    <w:tl2br w:val="nil"/>
                    <w:tr2bl w:val="nil"/>
                  </w:tcBorders>
                  <w:noWrap w:val="0"/>
                  <w:vAlign w:val="center"/>
                </w:tcPr>
                <w:p w14:paraId="652C13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排气筒</w:t>
                  </w:r>
                </w:p>
                <w:p w14:paraId="339FA0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出口</w:t>
                  </w:r>
                  <w:r>
                    <w:rPr>
                      <w:rFonts w:hint="eastAsia" w:ascii="Times New Roman" w:hAnsi="Times New Roman" w:cs="Times New Roman"/>
                      <w:color w:val="000000" w:themeColor="text1"/>
                      <w:szCs w:val="21"/>
                      <w:lang w:val="en-US" w:eastAsia="zh-CN"/>
                      <w14:textFill>
                        <w14:solidFill>
                          <w14:schemeClr w14:val="tx1"/>
                        </w14:solidFill>
                      </w14:textFill>
                    </w:rPr>
                    <w:t>DA001</w:t>
                  </w:r>
                </w:p>
              </w:tc>
              <w:tc>
                <w:tcPr>
                  <w:tcW w:w="654" w:type="dxa"/>
                  <w:vMerge w:val="restart"/>
                  <w:tcBorders>
                    <w:tl2br w:val="nil"/>
                    <w:tr2bl w:val="nil"/>
                  </w:tcBorders>
                  <w:noWrap w:val="0"/>
                  <w:vAlign w:val="center"/>
                </w:tcPr>
                <w:p w14:paraId="2BCA9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个</w:t>
                  </w:r>
                </w:p>
              </w:tc>
              <w:tc>
                <w:tcPr>
                  <w:tcW w:w="941" w:type="dxa"/>
                  <w:tcBorders>
                    <w:tl2br w:val="nil"/>
                    <w:tr2bl w:val="nil"/>
                  </w:tcBorders>
                  <w:noWrap w:val="0"/>
                  <w:vAlign w:val="center"/>
                </w:tcPr>
                <w:p w14:paraId="50699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w:t>
                  </w:r>
                  <w:r>
                    <w:rPr>
                      <w:rFonts w:hint="eastAsia" w:ascii="Times New Roman" w:hAnsi="Times New Roman" w:cs="Times New Roman"/>
                      <w:color w:val="000000" w:themeColor="text1"/>
                      <w:szCs w:val="21"/>
                      <w:lang w:eastAsia="zh-CN"/>
                      <w14:textFill>
                        <w14:solidFill>
                          <w14:schemeClr w14:val="tx1"/>
                        </w14:solidFill>
                      </w14:textFill>
                    </w:rPr>
                    <w:t>月</w:t>
                  </w:r>
                </w:p>
              </w:tc>
              <w:tc>
                <w:tcPr>
                  <w:tcW w:w="2907" w:type="dxa"/>
                  <w:tcBorders>
                    <w:tl2br w:val="nil"/>
                    <w:tr2bl w:val="nil"/>
                  </w:tcBorders>
                  <w:noWrap w:val="0"/>
                  <w:vAlign w:val="center"/>
                </w:tcPr>
                <w:p w14:paraId="2BB0B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default" w:ascii="Times New Roman" w:eastAsia="宋体"/>
                      <w:color w:val="000000" w:themeColor="text1"/>
                      <w:sz w:val="21"/>
                      <w:szCs w:val="21"/>
                      <w:lang w:val="en-US" w:eastAsia="zh-CN"/>
                      <w14:textFill>
                        <w14:solidFill>
                          <w14:schemeClr w14:val="tx1"/>
                        </w14:solidFill>
                      </w14:textFill>
                    </w:rPr>
                    <w:t>西安市大气污染治理专项行动2024年工作方案</w:t>
                  </w:r>
                  <w:r>
                    <w:rPr>
                      <w:rFonts w:hint="eastAsia" w:ascii="Times New Roman" w:eastAsia="宋体"/>
                      <w:color w:val="000000" w:themeColor="text1"/>
                      <w:sz w:val="21"/>
                      <w:szCs w:val="21"/>
                      <w:lang w:val="en-US" w:eastAsia="zh-CN"/>
                      <w14:textFill>
                        <w14:solidFill>
                          <w14:schemeClr w14:val="tx1"/>
                        </w14:solidFill>
                      </w14:textFill>
                    </w:rPr>
                    <w:t>》</w:t>
                  </w:r>
                </w:p>
              </w:tc>
            </w:tr>
            <w:tr w14:paraId="77628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7" w:type="dxa"/>
                  <w:vMerge w:val="continue"/>
                  <w:tcBorders>
                    <w:tl2br w:val="nil"/>
                    <w:tr2bl w:val="nil"/>
                  </w:tcBorders>
                  <w:noWrap w:val="0"/>
                  <w:vAlign w:val="center"/>
                </w:tcPr>
                <w:p w14:paraId="35478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p>
              </w:tc>
              <w:tc>
                <w:tcPr>
                  <w:tcW w:w="1077" w:type="dxa"/>
                  <w:vMerge w:val="continue"/>
                  <w:tcBorders>
                    <w:tl2br w:val="nil"/>
                    <w:tr2bl w:val="nil"/>
                  </w:tcBorders>
                  <w:noWrap w:val="0"/>
                  <w:vAlign w:val="center"/>
                </w:tcPr>
                <w:p w14:paraId="37D87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p>
              </w:tc>
              <w:tc>
                <w:tcPr>
                  <w:tcW w:w="1186" w:type="dxa"/>
                  <w:tcBorders>
                    <w:tl2br w:val="nil"/>
                    <w:tr2bl w:val="nil"/>
                  </w:tcBorders>
                  <w:noWrap w:val="0"/>
                  <w:vAlign w:val="center"/>
                </w:tcPr>
                <w:p w14:paraId="484C47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928" w:type="dxa"/>
                  <w:vMerge w:val="continue"/>
                  <w:tcBorders>
                    <w:tl2br w:val="nil"/>
                    <w:tr2bl w:val="nil"/>
                  </w:tcBorders>
                  <w:noWrap w:val="0"/>
                  <w:vAlign w:val="center"/>
                </w:tcPr>
                <w:p w14:paraId="69BFE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p>
              </w:tc>
              <w:tc>
                <w:tcPr>
                  <w:tcW w:w="654" w:type="dxa"/>
                  <w:vMerge w:val="continue"/>
                  <w:tcBorders>
                    <w:tl2br w:val="nil"/>
                    <w:tr2bl w:val="nil"/>
                  </w:tcBorders>
                  <w:noWrap w:val="0"/>
                  <w:vAlign w:val="center"/>
                </w:tcPr>
                <w:p w14:paraId="63BB3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941" w:type="dxa"/>
                  <w:vMerge w:val="restart"/>
                  <w:tcBorders>
                    <w:tl2br w:val="nil"/>
                    <w:tr2bl w:val="nil"/>
                  </w:tcBorders>
                  <w:noWrap w:val="0"/>
                  <w:vAlign w:val="center"/>
                </w:tcPr>
                <w:p w14:paraId="567459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1次/</w:t>
                  </w:r>
                  <w:r>
                    <w:rPr>
                      <w:rFonts w:hint="eastAsia" w:ascii="Times New Roman" w:hAnsi="Times New Roman" w:eastAsia="宋体" w:cs="Times New Roman"/>
                      <w:color w:val="000000" w:themeColor="text1"/>
                      <w:lang w:val="en-US" w:eastAsia="zh-CN"/>
                      <w14:textFill>
                        <w14:solidFill>
                          <w14:schemeClr w14:val="tx1"/>
                        </w14:solidFill>
                      </w14:textFill>
                    </w:rPr>
                    <w:t>年</w:t>
                  </w:r>
                </w:p>
              </w:tc>
              <w:tc>
                <w:tcPr>
                  <w:tcW w:w="2907" w:type="dxa"/>
                  <w:vMerge w:val="restart"/>
                  <w:tcBorders>
                    <w:tl2br w:val="nil"/>
                    <w:tr2bl w:val="nil"/>
                  </w:tcBorders>
                  <w:noWrap w:val="0"/>
                  <w:vAlign w:val="center"/>
                </w:tcPr>
                <w:p w14:paraId="7FD2E8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《锅炉大气污染物排放标准》（DB61/1226-2018）</w:t>
                  </w:r>
                </w:p>
              </w:tc>
            </w:tr>
            <w:tr w14:paraId="26785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7" w:type="dxa"/>
                  <w:vMerge w:val="continue"/>
                  <w:tcBorders>
                    <w:tl2br w:val="nil"/>
                    <w:tr2bl w:val="nil"/>
                  </w:tcBorders>
                  <w:noWrap w:val="0"/>
                  <w:vAlign w:val="center"/>
                </w:tcPr>
                <w:p w14:paraId="3DDC23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1077" w:type="dxa"/>
                  <w:vMerge w:val="continue"/>
                  <w:tcBorders>
                    <w:tl2br w:val="nil"/>
                    <w:tr2bl w:val="nil"/>
                  </w:tcBorders>
                  <w:noWrap w:val="0"/>
                  <w:vAlign w:val="center"/>
                </w:tcPr>
                <w:p w14:paraId="286AF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186" w:type="dxa"/>
                  <w:tcBorders>
                    <w:tl2br w:val="nil"/>
                    <w:tr2bl w:val="nil"/>
                  </w:tcBorders>
                  <w:noWrap w:val="0"/>
                  <w:vAlign w:val="center"/>
                </w:tcPr>
                <w:p w14:paraId="68FEC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928" w:type="dxa"/>
                  <w:vMerge w:val="continue"/>
                  <w:tcBorders>
                    <w:tl2br w:val="nil"/>
                    <w:tr2bl w:val="nil"/>
                  </w:tcBorders>
                  <w:noWrap w:val="0"/>
                  <w:vAlign w:val="center"/>
                </w:tcPr>
                <w:p w14:paraId="1AF6B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654" w:type="dxa"/>
                  <w:vMerge w:val="continue"/>
                  <w:tcBorders>
                    <w:tl2br w:val="nil"/>
                    <w:tr2bl w:val="nil"/>
                  </w:tcBorders>
                  <w:noWrap w:val="0"/>
                  <w:vAlign w:val="center"/>
                </w:tcPr>
                <w:p w14:paraId="5FD4C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941" w:type="dxa"/>
                  <w:vMerge w:val="continue"/>
                  <w:tcBorders>
                    <w:tl2br w:val="nil"/>
                    <w:tr2bl w:val="nil"/>
                  </w:tcBorders>
                  <w:noWrap w:val="0"/>
                  <w:vAlign w:val="center"/>
                </w:tcPr>
                <w:p w14:paraId="755990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907" w:type="dxa"/>
                  <w:vMerge w:val="continue"/>
                  <w:tcBorders>
                    <w:tl2br w:val="nil"/>
                    <w:tr2bl w:val="nil"/>
                  </w:tcBorders>
                  <w:noWrap w:val="0"/>
                  <w:vAlign w:val="center"/>
                </w:tcPr>
                <w:p w14:paraId="21D6E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r>
            <w:tr w14:paraId="0E2BC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7" w:type="dxa"/>
                  <w:vMerge w:val="continue"/>
                  <w:tcBorders>
                    <w:tl2br w:val="nil"/>
                    <w:tr2bl w:val="nil"/>
                  </w:tcBorders>
                  <w:noWrap w:val="0"/>
                  <w:vAlign w:val="center"/>
                </w:tcPr>
                <w:p w14:paraId="1D838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color w:val="000000" w:themeColor="text1"/>
                      <w14:textFill>
                        <w14:solidFill>
                          <w14:schemeClr w14:val="tx1"/>
                        </w14:solidFill>
                      </w14:textFill>
                    </w:rPr>
                  </w:pPr>
                </w:p>
              </w:tc>
              <w:tc>
                <w:tcPr>
                  <w:tcW w:w="1077" w:type="dxa"/>
                  <w:vMerge w:val="continue"/>
                  <w:tcBorders>
                    <w:tl2br w:val="nil"/>
                    <w:tr2bl w:val="nil"/>
                  </w:tcBorders>
                  <w:noWrap w:val="0"/>
                  <w:vAlign w:val="center"/>
                </w:tcPr>
                <w:p w14:paraId="634C3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color w:val="000000" w:themeColor="text1"/>
                      <w14:textFill>
                        <w14:solidFill>
                          <w14:schemeClr w14:val="tx1"/>
                        </w14:solidFill>
                      </w14:textFill>
                    </w:rPr>
                  </w:pPr>
                </w:p>
              </w:tc>
              <w:tc>
                <w:tcPr>
                  <w:tcW w:w="1186" w:type="dxa"/>
                  <w:tcBorders>
                    <w:tl2br w:val="nil"/>
                    <w:tr2bl w:val="nil"/>
                  </w:tcBorders>
                  <w:noWrap w:val="0"/>
                  <w:vAlign w:val="center"/>
                </w:tcPr>
                <w:p w14:paraId="37836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烟气黑度</w:t>
                  </w:r>
                </w:p>
              </w:tc>
              <w:tc>
                <w:tcPr>
                  <w:tcW w:w="928" w:type="dxa"/>
                  <w:vMerge w:val="continue"/>
                  <w:tcBorders>
                    <w:tl2br w:val="nil"/>
                    <w:tr2bl w:val="nil"/>
                  </w:tcBorders>
                  <w:noWrap w:val="0"/>
                  <w:vAlign w:val="center"/>
                </w:tcPr>
                <w:p w14:paraId="0C4F5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654" w:type="dxa"/>
                  <w:vMerge w:val="continue"/>
                  <w:tcBorders>
                    <w:tl2br w:val="nil"/>
                    <w:tr2bl w:val="nil"/>
                  </w:tcBorders>
                  <w:noWrap w:val="0"/>
                  <w:vAlign w:val="center"/>
                </w:tcPr>
                <w:p w14:paraId="61B48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941" w:type="dxa"/>
                  <w:vMerge w:val="continue"/>
                  <w:tcBorders>
                    <w:tl2br w:val="nil"/>
                    <w:tr2bl w:val="nil"/>
                  </w:tcBorders>
                  <w:noWrap w:val="0"/>
                  <w:vAlign w:val="center"/>
                </w:tcPr>
                <w:p w14:paraId="492933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907" w:type="dxa"/>
                  <w:tcBorders>
                    <w:tl2br w:val="nil"/>
                    <w:tr2bl w:val="nil"/>
                  </w:tcBorders>
                  <w:noWrap w:val="0"/>
                  <w:vAlign w:val="center"/>
                </w:tcPr>
                <w:p w14:paraId="1A6F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锅炉大气污染物排放标准</w:t>
                  </w: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GB13271-2014</w:t>
                  </w:r>
                  <w:r>
                    <w:rPr>
                      <w:rFonts w:hint="eastAsia" w:ascii="Times New Roman" w:eastAsia="宋体"/>
                      <w:color w:val="000000" w:themeColor="text1"/>
                      <w:sz w:val="21"/>
                      <w:szCs w:val="21"/>
                      <w:lang w:val="en-US" w:eastAsia="zh-CN"/>
                      <w14:textFill>
                        <w14:solidFill>
                          <w14:schemeClr w14:val="tx1"/>
                        </w14:solidFill>
                      </w14:textFill>
                    </w:rPr>
                    <w:t>）；</w:t>
                  </w:r>
                </w:p>
              </w:tc>
            </w:tr>
          </w:tbl>
          <w:p w14:paraId="43DB64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textAlignment w:val="auto"/>
              <w:rPr>
                <w:rFonts w:hint="eastAsia"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1.6 大气环境影响结论</w:t>
            </w:r>
          </w:p>
          <w:p w14:paraId="58BFDE4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根据环境空气质量现状，本</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项目所在区域属于不达标区域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，项目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采用</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国际领先的</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低氮燃烧</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技术，从源头进行</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NOx</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减排，废气污染物</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可达标排放</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；本项目为未央经典（西旅逸都）小区供热、供暖，项目废气污染物排放量较小。</w:t>
            </w:r>
          </w:p>
          <w:p w14:paraId="4285ACD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通过废气源强统计可知，本项目锅炉废气中颗粒物排放浓度为4.7mg/m</w:t>
            </w:r>
            <w:r>
              <w:rPr>
                <w:rFonts w:hint="eastAsia" w:ascii="Times New Roman" w:hAnsi="Times New Roman" w:eastAsia="宋体" w:cs="Times New Roman"/>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，二氧化硫未检出，氮氧化物排放浓度低于30mg/m</w:t>
            </w:r>
            <w:r>
              <w:rPr>
                <w:rFonts w:hint="eastAsia" w:ascii="Times New Roman" w:hAnsi="Times New Roman" w:eastAsia="宋体" w:cs="Times New Roman"/>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color w:val="000000" w:themeColor="text1"/>
                <w:spacing w:val="0"/>
                <w:kern w:val="2"/>
                <w:sz w:val="24"/>
                <w:szCs w:val="24"/>
                <w:vertAlign w:val="baseline"/>
                <w:lang w:val="en-US" w:eastAsia="zh-CN" w:bidi="ar-SA"/>
                <w14:textFill>
                  <w14:solidFill>
                    <w14:schemeClr w14:val="tx1"/>
                  </w14:solidFill>
                </w14:textFill>
              </w:rPr>
              <w:t>，满负荷情况下氮氧化物的排放量为0.233t/a，因此，本项目对周边的敏感点影响较小。</w:t>
            </w:r>
          </w:p>
          <w:p w14:paraId="0B1C5E5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color w:val="000000" w:themeColor="text1"/>
                <w:lang w:val="en-US"/>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建设项目在大气污染防治方面采用的环保设施合理、可靠、有效，大气污染物经治理后可以达标排放，总体上对区域大气环境影响较小，本评价认为，从环保角度来讲，建设项目具备环境可行性。</w:t>
            </w:r>
          </w:p>
          <w:p w14:paraId="6836F459">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color w:val="000000" w:themeColor="text1"/>
                <w:sz w:val="24"/>
                <w:szCs w:val="24"/>
                <w:highlight w:val="none"/>
                <w:lang w:val="en-US" w:eastAsia="zh-CN"/>
                <w14:textFill>
                  <w14:solidFill>
                    <w14:schemeClr w14:val="tx1"/>
                  </w14:solidFill>
                </w14:textFill>
              </w:rPr>
            </w:pPr>
            <w:r>
              <w:rPr>
                <w:rFonts w:ascii="Times New Roman" w:hAnsi="Times New Roman"/>
                <w:b/>
                <w:bCs w:val="0"/>
                <w:color w:val="000000" w:themeColor="text1"/>
                <w:sz w:val="24"/>
                <w:szCs w:val="24"/>
                <w:highlight w:val="none"/>
                <w14:textFill>
                  <w14:solidFill>
                    <w14:schemeClr w14:val="tx1"/>
                  </w14:solidFill>
                </w14:textFill>
              </w:rPr>
              <w:t>2</w:t>
            </w:r>
            <w:r>
              <w:rPr>
                <w:rFonts w:hint="eastAsia" w:ascii="Times New Roman" w:hAnsi="Times New Roman"/>
                <w:b/>
                <w:bCs w:val="0"/>
                <w:color w:val="000000" w:themeColor="text1"/>
                <w:sz w:val="24"/>
                <w:szCs w:val="24"/>
                <w:highlight w:val="none"/>
                <w:lang w:val="en-US" w:eastAsia="zh-CN"/>
                <w14:textFill>
                  <w14:solidFill>
                    <w14:schemeClr w14:val="tx1"/>
                  </w14:solidFill>
                </w14:textFill>
              </w:rPr>
              <w:t>.</w:t>
            </w:r>
            <w:r>
              <w:rPr>
                <w:rFonts w:hint="eastAsia" w:ascii="Times New Roman" w:hAnsi="Times New Roman"/>
                <w:b/>
                <w:bCs w:val="0"/>
                <w:color w:val="000000" w:themeColor="text1"/>
                <w:sz w:val="24"/>
                <w:szCs w:val="24"/>
                <w:highlight w:val="none"/>
                <w:lang w:eastAsia="zh-CN"/>
                <w14:textFill>
                  <w14:solidFill>
                    <w14:schemeClr w14:val="tx1"/>
                  </w14:solidFill>
                </w14:textFill>
              </w:rPr>
              <w:t>水环境影响</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分析</w:t>
            </w:r>
          </w:p>
          <w:p w14:paraId="4A4EBF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2.1 废水排放情况</w:t>
            </w:r>
          </w:p>
          <w:p w14:paraId="74D128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运营期排水为锅炉定期排污水、反冲洗废水、</w:t>
            </w:r>
            <w:r>
              <w:rPr>
                <w:rFonts w:hint="eastAsia" w:ascii="Times New Roman" w:hAnsi="Times New Roman" w:cs="Times New Roman"/>
                <w:color w:val="000000" w:themeColor="text1"/>
                <w:sz w:val="24"/>
                <w:szCs w:val="24"/>
                <w:lang w:eastAsia="zh-CN"/>
                <w14:textFill>
                  <w14:solidFill>
                    <w14:schemeClr w14:val="tx1"/>
                  </w14:solidFill>
                </w14:textFill>
              </w:rPr>
              <w:t>软化水系统排水</w:t>
            </w:r>
            <w:r>
              <w:rPr>
                <w:rFonts w:hint="eastAsia" w:ascii="Times New Roman" w:hAnsi="Times New Roman" w:cs="Times New Roman"/>
                <w:color w:val="000000" w:themeColor="text1"/>
                <w:sz w:val="24"/>
                <w:szCs w:val="24"/>
                <w:lang w:val="en-US" w:eastAsia="zh-CN"/>
                <w14:textFill>
                  <w14:solidFill>
                    <w14:schemeClr w14:val="tx1"/>
                  </w14:solidFill>
                </w14:textFill>
              </w:rPr>
              <w:t>。</w:t>
            </w:r>
          </w:p>
          <w:p w14:paraId="479D4B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①锅</w:t>
            </w:r>
            <w:r>
              <w:rPr>
                <w:rFonts w:hint="eastAsia" w:ascii="Times New Roman" w:hAnsi="Times New Roman" w:cs="Times New Roman"/>
                <w:color w:val="000000" w:themeColor="text1"/>
                <w:sz w:val="24"/>
                <w:szCs w:val="24"/>
                <w:lang w:eastAsia="zh-CN"/>
                <w14:textFill>
                  <w14:solidFill>
                    <w14:schemeClr w14:val="tx1"/>
                  </w14:solidFill>
                </w14:textFill>
              </w:rPr>
              <w:t>炉废水：项目锅炉</w:t>
            </w:r>
            <w:r>
              <w:rPr>
                <w:rFonts w:hint="eastAsia" w:ascii="Times New Roman" w:hAnsi="Times New Roman" w:cs="Times New Roman"/>
                <w:color w:val="000000" w:themeColor="text1"/>
                <w:sz w:val="24"/>
                <w:szCs w:val="24"/>
                <w:lang w:val="en-US" w:eastAsia="zh-CN"/>
                <w14:textFill>
                  <w14:solidFill>
                    <w14:schemeClr w14:val="tx1"/>
                  </w14:solidFill>
                </w14:textFill>
              </w:rPr>
              <w:t>用水</w:t>
            </w:r>
            <w:r>
              <w:rPr>
                <w:rFonts w:hint="eastAsia" w:ascii="Times New Roman" w:hAnsi="Times New Roman" w:cs="Times New Roman"/>
                <w:color w:val="000000" w:themeColor="text1"/>
                <w:sz w:val="24"/>
                <w:szCs w:val="24"/>
                <w:lang w:eastAsia="zh-CN"/>
                <w14:textFill>
                  <w14:solidFill>
                    <w14:schemeClr w14:val="tx1"/>
                  </w14:solidFill>
                </w14:textFill>
              </w:rPr>
              <w:t>循环使用，</w:t>
            </w:r>
            <w:r>
              <w:rPr>
                <w:rFonts w:hint="eastAsia" w:ascii="Times New Roman" w:hAnsi="Times New Roman"/>
                <w:color w:val="000000" w:themeColor="text1"/>
                <w:sz w:val="24"/>
                <w14:textFill>
                  <w14:solidFill>
                    <w14:schemeClr w14:val="tx1"/>
                  </w14:solidFill>
                </w14:textFill>
              </w:rPr>
              <w:t>锅炉排污废水</w:t>
            </w:r>
            <w:r>
              <w:rPr>
                <w:rFonts w:hint="eastAsia" w:ascii="Times New Roman" w:hAnsi="Times New Roman"/>
                <w:color w:val="000000" w:themeColor="text1"/>
                <w:sz w:val="24"/>
                <w:lang w:val="en-US" w:eastAsia="zh-CN"/>
                <w14:textFill>
                  <w14:solidFill>
                    <w14:schemeClr w14:val="tx1"/>
                  </w14:solidFill>
                </w14:textFill>
              </w:rPr>
              <w:t>约</w:t>
            </w:r>
            <w:r>
              <w:rPr>
                <w:rFonts w:hint="eastAsia" w:ascii="Times New Roman" w:hAnsi="Times New Roman"/>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锅炉</w:t>
            </w:r>
            <w:r>
              <w:rPr>
                <w:rFonts w:ascii="Times New Roman" w:hAnsi="Times New Roman"/>
                <w:color w:val="000000" w:themeColor="text1"/>
                <w:sz w:val="24"/>
                <w14:textFill>
                  <w14:solidFill>
                    <w14:schemeClr w14:val="tx1"/>
                  </w14:solidFill>
                </w14:textFill>
              </w:rPr>
              <w:t>用水量</w:t>
            </w:r>
            <w:r>
              <w:rPr>
                <w:rFonts w:hint="eastAsia"/>
                <w:color w:val="000000" w:themeColor="text1"/>
                <w:sz w:val="24"/>
                <w:lang w:val="en-US" w:eastAsia="zh-CN"/>
                <w14:textFill>
                  <w14:solidFill>
                    <w14:schemeClr w14:val="tx1"/>
                  </w14:solidFill>
                </w14:textFill>
              </w:rPr>
              <w:t>的</w:t>
            </w:r>
            <w:r>
              <w:rPr>
                <w:rFonts w:hint="eastAsia" w:ascii="Times New Roman" w:hAnsi="Times New Roman"/>
                <w:color w:val="000000" w:themeColor="text1"/>
                <w:kern w:val="0"/>
                <w:sz w:val="24"/>
                <w:lang w:bidi="ar"/>
                <w14:textFill>
                  <w14:solidFill>
                    <w14:schemeClr w14:val="tx1"/>
                  </w14:solidFill>
                </w14:textFill>
              </w:rPr>
              <w:t>5%计，</w:t>
            </w:r>
            <w:r>
              <w:rPr>
                <w:rFonts w:hint="eastAsia" w:ascii="Times New Roman" w:hAnsi="Times New Roman" w:cs="Times New Roman"/>
                <w:color w:val="000000" w:themeColor="text1"/>
                <w:sz w:val="24"/>
                <w:szCs w:val="24"/>
                <w:lang w:eastAsia="zh-CN"/>
                <w14:textFill>
                  <w14:solidFill>
                    <w14:schemeClr w14:val="tx1"/>
                  </w14:solidFill>
                </w14:textFill>
              </w:rPr>
              <w:t>排放量约为</w:t>
            </w:r>
            <w:r>
              <w:rPr>
                <w:rFonts w:hint="eastAsia" w:ascii="Times New Roman" w:hAnsi="Times New Roman"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d（288</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361A7D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宋体" w:hAnsi="宋体" w:eastAsia="宋体" w:cs="宋体"/>
                <w:color w:val="000000" w:themeColor="text1"/>
                <w:sz w:val="24"/>
                <w:szCs w:val="24"/>
                <w:lang w:val="en-US" w:eastAsia="zh-CN"/>
                <w14:textFill>
                  <w14:solidFill>
                    <w14:schemeClr w14:val="tx1"/>
                  </w14:solidFill>
                </w14:textFill>
              </w:rPr>
              <w:t>排水：</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，则反冲洗废水排放量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0E2445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③</w:t>
            </w:r>
            <w:r>
              <w:rPr>
                <w:rFonts w:hint="eastAsia" w:ascii="Times New Roman" w:hAnsi="Times New Roman" w:cs="Times New Roman"/>
                <w:color w:val="000000" w:themeColor="text1"/>
                <w:sz w:val="24"/>
                <w:szCs w:val="24"/>
                <w:lang w:eastAsia="zh-CN"/>
                <w14:textFill>
                  <w14:solidFill>
                    <w14:schemeClr w14:val="tx1"/>
                  </w14:solidFill>
                </w14:textFill>
              </w:rPr>
              <w:t>软化水系统排水：软水器制水时废水量为用水量的15%，则软水制备废水量为为</w:t>
            </w:r>
            <w:r>
              <w:rPr>
                <w:rFonts w:hint="eastAsia" w:ascii="Times New Roman" w:hAnsi="Times New Roman" w:cs="Times New Roman"/>
                <w:color w:val="000000" w:themeColor="text1"/>
                <w:sz w:val="24"/>
                <w:szCs w:val="24"/>
                <w:lang w:val="en-US" w:eastAsia="zh-CN"/>
                <w14:textFill>
                  <w14:solidFill>
                    <w14:schemeClr w14:val="tx1"/>
                  </w14:solidFill>
                </w14:textFill>
              </w:rPr>
              <w:t>8.59</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1030.66</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6C4263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综上，本项目运行期总排水量为11.66</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d（1398.66</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、反冲洗废水及软化水系统排水经锅炉房降温池沉淀后进入小区</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，最终进入西安净水处理有限责任公司第六再生水厂进行处理。</w:t>
            </w:r>
          </w:p>
          <w:p w14:paraId="3211CE4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本项目废水基本情况</w:t>
            </w:r>
            <w:r>
              <w:rPr>
                <w:rFonts w:hint="default" w:ascii="Times New Roman" w:hAnsi="Times New Roman" w:cs="Times New Roman"/>
                <w:color w:val="000000" w:themeColor="text1"/>
                <w:sz w:val="24"/>
                <w:szCs w:val="24"/>
                <w:lang w:val="en-US" w:eastAsia="zh-CN"/>
                <w14:textFill>
                  <w14:solidFill>
                    <w14:schemeClr w14:val="tx1"/>
                  </w14:solidFill>
                </w14:textFill>
              </w:rPr>
              <w:t>见表4-</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79AC115A">
            <w:pPr>
              <w:pStyle w:val="24"/>
              <w:keepNext w:val="0"/>
              <w:keepLines w:val="0"/>
              <w:suppressLineNumbers w:val="0"/>
              <w:adjustRightInd w:val="0"/>
              <w:spacing w:before="0" w:beforeAutospacing="0" w:after="0" w:afterAutospacing="0"/>
              <w:ind w:left="0" w:right="0" w:firstLine="482" w:firstLineChars="20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6</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w:t>
            </w:r>
            <w:r>
              <w:rPr>
                <w:b/>
                <w:bCs/>
                <w:color w:val="000000" w:themeColor="text1"/>
                <w:sz w:val="24"/>
                <w14:textFill>
                  <w14:solidFill>
                    <w14:schemeClr w14:val="tx1"/>
                  </w14:solidFill>
                </w14:textFill>
              </w:rPr>
              <w:t>污水类别、污染物种类、污水排放去向及污染防治设施表</w:t>
            </w:r>
          </w:p>
          <w:tbl>
            <w:tblPr>
              <w:tblStyle w:val="26"/>
              <w:tblW w:w="49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225"/>
              <w:gridCol w:w="1717"/>
              <w:gridCol w:w="710"/>
              <w:gridCol w:w="900"/>
              <w:gridCol w:w="872"/>
              <w:gridCol w:w="723"/>
              <w:gridCol w:w="895"/>
              <w:gridCol w:w="664"/>
            </w:tblGrid>
            <w:tr w14:paraId="4CADE5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83" w:type="pct"/>
                  <w:vMerge w:val="restart"/>
                  <w:tcBorders>
                    <w:tl2br w:val="nil"/>
                    <w:tr2bl w:val="nil"/>
                  </w:tcBorders>
                  <w:noWrap w:val="0"/>
                  <w:vAlign w:val="center"/>
                </w:tcPr>
                <w:p w14:paraId="5B0D70A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废水</w:t>
                  </w:r>
                </w:p>
                <w:p w14:paraId="77BBE2CB">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733" w:type="pct"/>
                  <w:vMerge w:val="restart"/>
                  <w:tcBorders>
                    <w:tl2br w:val="nil"/>
                    <w:tr2bl w:val="nil"/>
                  </w:tcBorders>
                  <w:noWrap w:val="0"/>
                  <w:vAlign w:val="center"/>
                </w:tcPr>
                <w:p w14:paraId="5A1ED794">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污染物种类</w:t>
                  </w:r>
                </w:p>
              </w:tc>
              <w:tc>
                <w:tcPr>
                  <w:tcW w:w="1028" w:type="pct"/>
                  <w:vMerge w:val="restart"/>
                  <w:tcBorders>
                    <w:tl2br w:val="nil"/>
                    <w:tr2bl w:val="nil"/>
                  </w:tcBorders>
                  <w:noWrap w:val="0"/>
                  <w:vAlign w:val="center"/>
                </w:tcPr>
                <w:p w14:paraId="08A6EA8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425" w:type="pct"/>
                  <w:vMerge w:val="restart"/>
                  <w:tcBorders>
                    <w:tl2br w:val="nil"/>
                    <w:tr2bl w:val="nil"/>
                  </w:tcBorders>
                  <w:noWrap w:val="0"/>
                  <w:vAlign w:val="center"/>
                </w:tcPr>
                <w:p w14:paraId="50AC900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排放规律</w:t>
                  </w:r>
                </w:p>
              </w:tc>
              <w:tc>
                <w:tcPr>
                  <w:tcW w:w="1494" w:type="pct"/>
                  <w:gridSpan w:val="3"/>
                  <w:tcBorders>
                    <w:tl2br w:val="nil"/>
                    <w:tr2bl w:val="nil"/>
                  </w:tcBorders>
                  <w:noWrap w:val="0"/>
                  <w:vAlign w:val="center"/>
                </w:tcPr>
                <w:p w14:paraId="2DAF3B4F">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污染治理设施</w:t>
                  </w:r>
                </w:p>
              </w:tc>
              <w:tc>
                <w:tcPr>
                  <w:tcW w:w="536" w:type="pct"/>
                  <w:vMerge w:val="restart"/>
                  <w:tcBorders>
                    <w:tl2br w:val="nil"/>
                    <w:tr2bl w:val="nil"/>
                  </w:tcBorders>
                  <w:noWrap w:val="0"/>
                  <w:vAlign w:val="center"/>
                </w:tcPr>
                <w:p w14:paraId="2245ECF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排放口编号</w:t>
                  </w:r>
                </w:p>
              </w:tc>
              <w:tc>
                <w:tcPr>
                  <w:tcW w:w="397" w:type="pct"/>
                  <w:vMerge w:val="restart"/>
                  <w:tcBorders>
                    <w:tl2br w:val="nil"/>
                    <w:tr2bl w:val="nil"/>
                  </w:tcBorders>
                  <w:noWrap w:val="0"/>
                  <w:vAlign w:val="center"/>
                </w:tcPr>
                <w:p w14:paraId="04E2579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tc>
            </w:tr>
            <w:tr w14:paraId="46D731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83" w:type="pct"/>
                  <w:vMerge w:val="continue"/>
                  <w:tcBorders>
                    <w:tl2br w:val="nil"/>
                    <w:tr2bl w:val="nil"/>
                  </w:tcBorders>
                  <w:noWrap w:val="0"/>
                  <w:vAlign w:val="center"/>
                </w:tcPr>
                <w:p w14:paraId="40445DE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733" w:type="pct"/>
                  <w:vMerge w:val="continue"/>
                  <w:tcBorders>
                    <w:tl2br w:val="nil"/>
                    <w:tr2bl w:val="nil"/>
                  </w:tcBorders>
                  <w:noWrap w:val="0"/>
                  <w:vAlign w:val="center"/>
                </w:tcPr>
                <w:p w14:paraId="3A4F4C8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1028" w:type="pct"/>
                  <w:vMerge w:val="continue"/>
                  <w:tcBorders>
                    <w:tl2br w:val="nil"/>
                    <w:tr2bl w:val="nil"/>
                  </w:tcBorders>
                  <w:noWrap w:val="0"/>
                  <w:vAlign w:val="center"/>
                </w:tcPr>
                <w:p w14:paraId="74A30617">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425" w:type="pct"/>
                  <w:vMerge w:val="continue"/>
                  <w:tcBorders>
                    <w:tl2br w:val="nil"/>
                    <w:tr2bl w:val="nil"/>
                  </w:tcBorders>
                  <w:noWrap w:val="0"/>
                  <w:vAlign w:val="center"/>
                </w:tcPr>
                <w:p w14:paraId="06356A6F">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539" w:type="pct"/>
                  <w:tcBorders>
                    <w:tl2br w:val="nil"/>
                    <w:tr2bl w:val="nil"/>
                  </w:tcBorders>
                  <w:noWrap w:val="0"/>
                  <w:vAlign w:val="center"/>
                </w:tcPr>
                <w:p w14:paraId="3392F72C">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522" w:type="pct"/>
                  <w:tcBorders>
                    <w:tl2br w:val="nil"/>
                    <w:tr2bl w:val="nil"/>
                  </w:tcBorders>
                  <w:noWrap w:val="0"/>
                  <w:vAlign w:val="center"/>
                </w:tcPr>
                <w:p w14:paraId="0FD1FE0F">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433" w:type="pct"/>
                  <w:tcBorders>
                    <w:tl2br w:val="nil"/>
                    <w:tr2bl w:val="nil"/>
                  </w:tcBorders>
                  <w:noWrap w:val="0"/>
                  <w:vAlign w:val="center"/>
                </w:tcPr>
                <w:p w14:paraId="64E3EEAE">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工艺</w:t>
                  </w:r>
                </w:p>
              </w:tc>
              <w:tc>
                <w:tcPr>
                  <w:tcW w:w="536" w:type="pct"/>
                  <w:vMerge w:val="continue"/>
                  <w:tcBorders>
                    <w:tl2br w:val="nil"/>
                    <w:tr2bl w:val="nil"/>
                  </w:tcBorders>
                  <w:noWrap w:val="0"/>
                  <w:vAlign w:val="center"/>
                </w:tcPr>
                <w:p w14:paraId="339456A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color w:val="000000" w:themeColor="text1"/>
                      <w:szCs w:val="21"/>
                      <w14:textFill>
                        <w14:solidFill>
                          <w14:schemeClr w14:val="tx1"/>
                        </w14:solidFill>
                      </w14:textFill>
                    </w:rPr>
                  </w:pPr>
                </w:p>
              </w:tc>
              <w:tc>
                <w:tcPr>
                  <w:tcW w:w="397" w:type="pct"/>
                  <w:vMerge w:val="continue"/>
                  <w:tcBorders>
                    <w:tl2br w:val="nil"/>
                    <w:tr2bl w:val="nil"/>
                  </w:tcBorders>
                  <w:noWrap w:val="0"/>
                  <w:vAlign w:val="center"/>
                </w:tcPr>
                <w:p w14:paraId="3A11083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color w:val="000000" w:themeColor="text1"/>
                      <w:szCs w:val="21"/>
                      <w14:textFill>
                        <w14:solidFill>
                          <w14:schemeClr w14:val="tx1"/>
                        </w14:solidFill>
                      </w14:textFill>
                    </w:rPr>
                  </w:pPr>
                </w:p>
              </w:tc>
            </w:tr>
            <w:tr w14:paraId="7424B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83" w:type="pct"/>
                  <w:tcBorders>
                    <w:tl2br w:val="nil"/>
                    <w:tr2bl w:val="nil"/>
                  </w:tcBorders>
                  <w:noWrap w:val="0"/>
                  <w:vAlign w:val="center"/>
                </w:tcPr>
                <w:p w14:paraId="4030587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锅炉废水</w:t>
                  </w:r>
                </w:p>
              </w:tc>
              <w:tc>
                <w:tcPr>
                  <w:tcW w:w="733" w:type="pct"/>
                  <w:tcBorders>
                    <w:tl2br w:val="nil"/>
                    <w:tr2bl w:val="nil"/>
                  </w:tcBorders>
                  <w:noWrap w:val="0"/>
                  <w:vAlign w:val="center"/>
                </w:tcPr>
                <w:p w14:paraId="70F13546">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pH、</w:t>
                  </w:r>
                  <w:r>
                    <w:rPr>
                      <w:rFonts w:hint="default" w:ascii="Times New Roman" w:hAnsi="Times New Roman" w:cs="Times New Roman"/>
                      <w:color w:val="000000" w:themeColor="text1"/>
                      <w14:textFill>
                        <w14:solidFill>
                          <w14:schemeClr w14:val="tx1"/>
                        </w14:solidFill>
                      </w14:textFill>
                    </w:rPr>
                    <w:t>COD、NH</w:t>
                  </w:r>
                  <w:r>
                    <w:rPr>
                      <w:rFonts w:hint="default" w:ascii="Times New Roman" w:hAnsi="Times New Roman" w:cs="Times New Roman"/>
                      <w:color w:val="000000" w:themeColor="text1"/>
                      <w:vertAlign w:val="sub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-N、SS、</w:t>
                  </w:r>
                  <w:r>
                    <w:rPr>
                      <w:rFonts w:hint="eastAsia" w:ascii="Times New Roman" w:hAnsi="Times New Roman" w:cs="Times New Roman"/>
                      <w:color w:val="000000" w:themeColor="text1"/>
                      <w:lang w:val="en-US" w:eastAsia="zh-CN"/>
                      <w14:textFill>
                        <w14:solidFill>
                          <w14:schemeClr w14:val="tx1"/>
                        </w14:solidFill>
                      </w14:textFill>
                    </w:rPr>
                    <w:t>TDS</w:t>
                  </w:r>
                </w:p>
              </w:tc>
              <w:tc>
                <w:tcPr>
                  <w:tcW w:w="1028" w:type="pct"/>
                  <w:tcBorders>
                    <w:tl2br w:val="nil"/>
                    <w:tr2bl w:val="nil"/>
                  </w:tcBorders>
                  <w:noWrap w:val="0"/>
                  <w:vAlign w:val="center"/>
                </w:tcPr>
                <w:p w14:paraId="03B75DE0">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废水</w:t>
                  </w:r>
                  <w:r>
                    <w:rPr>
                      <w:rFonts w:hint="default" w:ascii="Times New Roman" w:hAnsi="Times New Roman" w:cs="Times New Roman"/>
                      <w:color w:val="000000" w:themeColor="text1"/>
                      <w:szCs w:val="21"/>
                      <w14:textFill>
                        <w14:solidFill>
                          <w14:schemeClr w14:val="tx1"/>
                        </w14:solidFill>
                      </w14:textFill>
                    </w:rPr>
                    <w:t>经</w:t>
                  </w:r>
                  <w:r>
                    <w:rPr>
                      <w:rFonts w:hint="default" w:ascii="Times New Roman" w:hAnsi="Times New Roman" w:eastAsia="宋体" w:cs="Times New Roman"/>
                      <w:color w:val="000000" w:themeColor="text1"/>
                      <w:szCs w:val="21"/>
                      <w14:textFill>
                        <w14:solidFill>
                          <w14:schemeClr w14:val="tx1"/>
                        </w14:solidFill>
                      </w14:textFill>
                    </w:rPr>
                    <w:t>市政管网排</w:t>
                  </w:r>
                  <w:r>
                    <w:rPr>
                      <w:rFonts w:hint="default" w:ascii="Times New Roman" w:hAnsi="Times New Roman" w:cs="Times New Roman"/>
                      <w:color w:val="000000" w:themeColor="text1"/>
                      <w:szCs w:val="21"/>
                      <w:lang w:val="en-US" w:eastAsia="zh-CN"/>
                      <w14:textFill>
                        <w14:solidFill>
                          <w14:schemeClr w14:val="tx1"/>
                        </w14:solidFill>
                      </w14:textFill>
                    </w:rPr>
                    <w:t>入</w:t>
                  </w:r>
                  <w:r>
                    <w:rPr>
                      <w:rFonts w:hint="eastAsia" w:ascii="Times New Roman" w:hAnsi="Times New Roman" w:eastAsia="宋体" w:cs="Times New Roman"/>
                      <w:color w:val="000000" w:themeColor="text1"/>
                      <w:szCs w:val="21"/>
                      <w:lang w:val="en-US" w:eastAsia="zh-CN"/>
                      <w14:textFill>
                        <w14:solidFill>
                          <w14:schemeClr w14:val="tx1"/>
                        </w14:solidFill>
                      </w14:textFill>
                    </w:rPr>
                    <w:t>西安净水处理有限责任公司第六再生水厂</w:t>
                  </w:r>
                  <w:r>
                    <w:rPr>
                      <w:rFonts w:hint="default" w:ascii="Times New Roman" w:hAnsi="Times New Roman" w:eastAsia="宋体" w:cs="Times New Roman"/>
                      <w:color w:val="000000" w:themeColor="text1"/>
                      <w:szCs w:val="21"/>
                      <w14:textFill>
                        <w14:solidFill>
                          <w14:schemeClr w14:val="tx1"/>
                        </w14:solidFill>
                      </w14:textFill>
                    </w:rPr>
                    <w:t>处</w:t>
                  </w:r>
                  <w:r>
                    <w:rPr>
                      <w:rFonts w:hint="default" w:ascii="Times New Roman" w:hAnsi="Times New Roman" w:cs="Times New Roman"/>
                      <w:color w:val="000000" w:themeColor="text1"/>
                      <w:szCs w:val="21"/>
                      <w14:textFill>
                        <w14:solidFill>
                          <w14:schemeClr w14:val="tx1"/>
                        </w14:solidFill>
                      </w14:textFill>
                    </w:rPr>
                    <w:t>理</w:t>
                  </w:r>
                  <w:r>
                    <w:rPr>
                      <w:rFonts w:hint="default" w:ascii="Times New Roman" w:hAnsi="Times New Roman" w:cs="Times New Roman"/>
                      <w:color w:val="000000" w:themeColor="text1"/>
                      <w:szCs w:val="21"/>
                      <w:lang w:val="en-US" w:eastAsia="zh-CN"/>
                      <w14:textFill>
                        <w14:solidFill>
                          <w14:schemeClr w14:val="tx1"/>
                        </w14:solidFill>
                      </w14:textFill>
                    </w:rPr>
                    <w:t>后</w:t>
                  </w:r>
                  <w:r>
                    <w:rPr>
                      <w:rFonts w:hint="default" w:ascii="Times New Roman" w:hAnsi="Times New Roman" w:cs="Times New Roman"/>
                      <w:color w:val="000000" w:themeColor="text1"/>
                      <w:szCs w:val="21"/>
                      <w14:textFill>
                        <w14:solidFill>
                          <w14:schemeClr w14:val="tx1"/>
                        </w14:solidFill>
                      </w14:textFill>
                    </w:rPr>
                    <w:t>达标排放</w:t>
                  </w:r>
                </w:p>
              </w:tc>
              <w:tc>
                <w:tcPr>
                  <w:tcW w:w="425" w:type="pct"/>
                  <w:tcBorders>
                    <w:tl2br w:val="nil"/>
                    <w:tr2bl w:val="nil"/>
                  </w:tcBorders>
                  <w:noWrap w:val="0"/>
                  <w:vAlign w:val="center"/>
                </w:tcPr>
                <w:p w14:paraId="7F89415D">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间断排放</w:t>
                  </w:r>
                </w:p>
              </w:tc>
              <w:tc>
                <w:tcPr>
                  <w:tcW w:w="539" w:type="pct"/>
                  <w:tcBorders>
                    <w:tl2br w:val="nil"/>
                    <w:tr2bl w:val="nil"/>
                  </w:tcBorders>
                  <w:noWrap w:val="0"/>
                  <w:vAlign w:val="center"/>
                </w:tcPr>
                <w:p w14:paraId="0FD59E98">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TW001</w:t>
                  </w:r>
                </w:p>
              </w:tc>
              <w:tc>
                <w:tcPr>
                  <w:tcW w:w="522" w:type="pct"/>
                  <w:tcBorders>
                    <w:tl2br w:val="nil"/>
                    <w:tr2bl w:val="nil"/>
                  </w:tcBorders>
                  <w:noWrap w:val="0"/>
                  <w:vAlign w:val="center"/>
                </w:tcPr>
                <w:p w14:paraId="1A2B4681">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降温池</w:t>
                  </w:r>
                </w:p>
              </w:tc>
              <w:tc>
                <w:tcPr>
                  <w:tcW w:w="433" w:type="pct"/>
                  <w:tcBorders>
                    <w:tl2br w:val="nil"/>
                    <w:tr2bl w:val="nil"/>
                  </w:tcBorders>
                  <w:noWrap w:val="0"/>
                  <w:vAlign w:val="center"/>
                </w:tcPr>
                <w:p w14:paraId="7764458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536" w:type="pct"/>
                  <w:tcBorders>
                    <w:tl2br w:val="nil"/>
                    <w:tr2bl w:val="nil"/>
                  </w:tcBorders>
                  <w:noWrap w:val="0"/>
                  <w:vAlign w:val="center"/>
                </w:tcPr>
                <w:p w14:paraId="54649BDE">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397" w:type="pct"/>
                  <w:tcBorders>
                    <w:tl2br w:val="nil"/>
                    <w:tr2bl w:val="nil"/>
                  </w:tcBorders>
                  <w:noWrap w:val="0"/>
                  <w:vAlign w:val="center"/>
                </w:tcPr>
                <w:p w14:paraId="3B36B539">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小区废水</w:t>
                  </w:r>
                  <w:r>
                    <w:rPr>
                      <w:rFonts w:hint="eastAsia" w:ascii="Times New Roman" w:cs="Times New Roman"/>
                      <w:color w:val="000000" w:themeColor="text1"/>
                      <w:sz w:val="21"/>
                      <w:szCs w:val="21"/>
                      <w14:textFill>
                        <w14:solidFill>
                          <w14:schemeClr w14:val="tx1"/>
                        </w14:solidFill>
                      </w14:textFill>
                    </w:rPr>
                    <w:t>排放口</w:t>
                  </w:r>
                </w:p>
              </w:tc>
            </w:tr>
          </w:tbl>
          <w:p w14:paraId="0379D19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rightChars="0"/>
              <w:textAlignment w:val="auto"/>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2.2 废水源强核算</w:t>
            </w:r>
          </w:p>
          <w:p w14:paraId="7B50C60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本项目运营期</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软化系统废水、反冲洗废水</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排水量为11.66</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d（1030.66</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主要污染物为</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COD、</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NH</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TDS</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及SS等</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1CFE27B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由于</w:t>
            </w:r>
            <w:r>
              <w:rPr>
                <w:rFonts w:hint="default" w:ascii="Times New Roman" w:hAnsi="Times New Roman" w:eastAsia="宋体" w:cs="Times New Roman"/>
                <w:color w:val="000000" w:themeColor="text1"/>
                <w:sz w:val="24"/>
                <w:szCs w:val="32"/>
                <w14:textFill>
                  <w14:solidFill>
                    <w14:schemeClr w14:val="tx1"/>
                  </w14:solidFill>
                </w14:textFill>
              </w:rPr>
              <w:t>本项目已</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建成并</w:t>
            </w:r>
            <w:r>
              <w:rPr>
                <w:rFonts w:hint="default" w:ascii="Times New Roman" w:hAnsi="Times New Roman" w:eastAsia="宋体" w:cs="Times New Roman"/>
                <w:color w:val="000000" w:themeColor="text1"/>
                <w:sz w:val="24"/>
                <w:szCs w:val="32"/>
                <w14:textFill>
                  <w14:solidFill>
                    <w14:schemeClr w14:val="tx1"/>
                  </w14:solidFill>
                </w14:textFill>
              </w:rPr>
              <w:t>投入运营，</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本次环评</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废水源强</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分析引用</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秦华热力集团有限公司站点污染源监测--西旅逸都例行监测报告（附件5</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报告编号</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ZZJC-2024-H-01-090）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中</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实际</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监测数据进行</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废水</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环境影响分析评价，</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本项目废水</w:t>
            </w:r>
            <w:r>
              <w:rPr>
                <w:rFonts w:hint="default" w:ascii="Times New Roman" w:hAnsi="Times New Roman" w:cs="Times New Roman"/>
                <w:color w:val="000000" w:themeColor="text1"/>
                <w:sz w:val="24"/>
                <w:szCs w:val="32"/>
                <w:lang w:val="en-US" w:eastAsia="zh-CN"/>
                <w14:textFill>
                  <w14:solidFill>
                    <w14:schemeClr w14:val="tx1"/>
                  </w14:solidFill>
                </w14:textFill>
              </w:rPr>
              <w:t>产排情况见表4-</w:t>
            </w:r>
            <w:r>
              <w:rPr>
                <w:rFonts w:hint="eastAsia" w:ascii="Times New Roman" w:hAnsi="Times New Roman" w:cs="Times New Roman"/>
                <w:color w:val="000000" w:themeColor="text1"/>
                <w:sz w:val="24"/>
                <w:szCs w:val="32"/>
                <w:lang w:val="en-US" w:eastAsia="zh-CN"/>
                <w14:textFill>
                  <w14:solidFill>
                    <w14:schemeClr w14:val="tx1"/>
                  </w14:solidFill>
                </w14:textFill>
              </w:rPr>
              <w:t>7</w:t>
            </w:r>
            <w:r>
              <w:rPr>
                <w:rFonts w:hint="default" w:ascii="Times New Roman" w:hAnsi="Times New Roman" w:cs="Times New Roman"/>
                <w:color w:val="000000" w:themeColor="text1"/>
                <w:sz w:val="24"/>
                <w:szCs w:val="32"/>
                <w:lang w:val="en-US" w:eastAsia="zh-CN"/>
                <w14:textFill>
                  <w14:solidFill>
                    <w14:schemeClr w14:val="tx1"/>
                  </w14:solidFill>
                </w14:textFill>
              </w:rPr>
              <w:t>。</w:t>
            </w:r>
          </w:p>
          <w:p w14:paraId="36D32D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7</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本</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项目</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锅炉房废水</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产排情况一览表</w:t>
            </w:r>
          </w:p>
          <w:tbl>
            <w:tblPr>
              <w:tblStyle w:val="26"/>
              <w:tblW w:w="486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76"/>
              <w:gridCol w:w="1173"/>
              <w:gridCol w:w="1075"/>
              <w:gridCol w:w="1268"/>
              <w:gridCol w:w="1037"/>
              <w:gridCol w:w="1053"/>
            </w:tblGrid>
            <w:tr w14:paraId="0E95B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1B01DA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b/>
                      <w:bCs/>
                      <w:color w:val="000000" w:themeColor="text1"/>
                      <w:sz w:val="21"/>
                      <w:szCs w:val="2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-46355</wp:posOffset>
                            </wp:positionH>
                            <wp:positionV relativeFrom="paragraph">
                              <wp:posOffset>2540</wp:posOffset>
                            </wp:positionV>
                            <wp:extent cx="1612265" cy="349885"/>
                            <wp:effectExtent l="1270" t="4445" r="5715" b="7620"/>
                            <wp:wrapNone/>
                            <wp:docPr id="16" name="直接连接符 16"/>
                            <wp:cNvGraphicFramePr/>
                            <a:graphic xmlns:a="http://schemas.openxmlformats.org/drawingml/2006/main">
                              <a:graphicData uri="http://schemas.microsoft.com/office/word/2010/wordprocessingShape">
                                <wps:wsp>
                                  <wps:cNvCnPr/>
                                  <wps:spPr>
                                    <a:xfrm>
                                      <a:off x="1882140" y="8093710"/>
                                      <a:ext cx="1612265" cy="349885"/>
                                    </a:xfrm>
                                    <a:prstGeom prst="line">
                                      <a:avLst/>
                                    </a:prstGeom>
                                    <a:ln w="6350" cmpd="sng">
                                      <a:solidFill>
                                        <a:schemeClr val="tx1"/>
                                      </a:solidFill>
                                      <a:prstDash val="solid"/>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65pt;margin-top:0.2pt;height:27.55pt;width:126.95pt;z-index:251663360;mso-width-relative:page;mso-height-relative:page;" filled="f" stroked="t" coordsize="21600,21600" o:gfxdata="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X6fUnVAAAABgEAAA8AAAAAAAAAAQAgAAAAIgAAAGRycy9k&#10;b3ducmV2LnhtbFBLAQIUABQAAAAIAIdO4kBaRE++BQIAANwDAAAOAAAAAAAAAAEAIAAAACQBAABk&#10;cnMvZTJvRG9jLnhtbFBLBQYAAAAABgAGAFkBAACbBQAAAAA=&#10;">
                            <v:fill on="f" focussize="0,0"/>
                            <v:stroke weight="0.5pt" color="#000000 [3213]" miterlimit="8" joinstyle="miter"/>
                            <v:imagedata o:title=""/>
                            <o:lock v:ext="edit" aspectratio="f"/>
                          </v:line>
                        </w:pict>
                      </mc:Fallback>
                    </mc:AlternateConten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eastAsia"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703E9C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11" w:firstLineChars="100"/>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项目</w:t>
                  </w:r>
                </w:p>
              </w:tc>
              <w:tc>
                <w:tcPr>
                  <w:tcW w:w="716" w:type="pct"/>
                  <w:tcBorders>
                    <w:tl2br w:val="nil"/>
                    <w:tr2bl w:val="nil"/>
                  </w:tcBorders>
                  <w:noWrap w:val="0"/>
                  <w:vAlign w:val="center"/>
                </w:tcPr>
                <w:p w14:paraId="34C7E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pH</w:t>
                  </w:r>
                </w:p>
              </w:tc>
              <w:tc>
                <w:tcPr>
                  <w:tcW w:w="656" w:type="pct"/>
                  <w:tcBorders>
                    <w:tl2br w:val="nil"/>
                    <w:tr2bl w:val="nil"/>
                  </w:tcBorders>
                  <w:noWrap w:val="0"/>
                  <w:vAlign w:val="center"/>
                </w:tcPr>
                <w:p w14:paraId="2581B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COD</w:t>
                  </w:r>
                </w:p>
              </w:tc>
              <w:tc>
                <w:tcPr>
                  <w:tcW w:w="774" w:type="pct"/>
                  <w:tcBorders>
                    <w:tl2br w:val="nil"/>
                    <w:tr2bl w:val="nil"/>
                  </w:tcBorders>
                  <w:shd w:val="clear" w:color="auto" w:fill="auto"/>
                  <w:noWrap w:val="0"/>
                  <w:vAlign w:val="center"/>
                </w:tcPr>
                <w:p w14:paraId="06FC6C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NH</w:t>
                  </w:r>
                  <w:r>
                    <w:rPr>
                      <w:rFonts w:hint="eastAsia" w:ascii="Times New Roman" w:hAnsi="Times New Roman" w:cs="Times New Roman"/>
                      <w:b/>
                      <w:bCs/>
                      <w:color w:val="000000" w:themeColor="text1"/>
                      <w:sz w:val="21"/>
                      <w:szCs w:val="21"/>
                      <w:vertAlign w:val="subscript"/>
                      <w:lang w:val="en-US" w:eastAsia="zh-CN"/>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-N</w:t>
                  </w:r>
                </w:p>
              </w:tc>
              <w:tc>
                <w:tcPr>
                  <w:tcW w:w="633" w:type="pct"/>
                  <w:tcBorders>
                    <w:tl2br w:val="nil"/>
                    <w:tr2bl w:val="nil"/>
                  </w:tcBorders>
                  <w:noWrap w:val="0"/>
                  <w:vAlign w:val="center"/>
                </w:tcPr>
                <w:p w14:paraId="20A8A1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SS</w:t>
                  </w:r>
                </w:p>
              </w:tc>
              <w:tc>
                <w:tcPr>
                  <w:tcW w:w="643" w:type="pct"/>
                  <w:tcBorders>
                    <w:tl2br w:val="nil"/>
                    <w:tr2bl w:val="nil"/>
                  </w:tcBorders>
                  <w:noWrap w:val="0"/>
                  <w:vAlign w:val="center"/>
                </w:tcPr>
                <w:p w14:paraId="46D7DD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TDS</w:t>
                  </w:r>
                </w:p>
              </w:tc>
            </w:tr>
            <w:tr w14:paraId="22ECD7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5E1155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进水水质（mg/L）</w:t>
                  </w:r>
                </w:p>
              </w:tc>
              <w:tc>
                <w:tcPr>
                  <w:tcW w:w="716" w:type="pct"/>
                  <w:tcBorders>
                    <w:tl2br w:val="nil"/>
                    <w:tr2bl w:val="nil"/>
                  </w:tcBorders>
                  <w:noWrap w:val="0"/>
                  <w:vAlign w:val="center"/>
                </w:tcPr>
                <w:p w14:paraId="238FF2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6~9</w:t>
                  </w:r>
                </w:p>
              </w:tc>
              <w:tc>
                <w:tcPr>
                  <w:tcW w:w="656" w:type="pct"/>
                  <w:tcBorders>
                    <w:tl2br w:val="nil"/>
                    <w:tr2bl w:val="nil"/>
                  </w:tcBorders>
                  <w:noWrap w:val="0"/>
                  <w:vAlign w:val="center"/>
                </w:tcPr>
                <w:p w14:paraId="6E9F9F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11</w:t>
                  </w:r>
                </w:p>
              </w:tc>
              <w:tc>
                <w:tcPr>
                  <w:tcW w:w="774" w:type="pct"/>
                  <w:tcBorders>
                    <w:tl2br w:val="nil"/>
                    <w:tr2bl w:val="nil"/>
                  </w:tcBorders>
                  <w:shd w:val="clear" w:color="auto" w:fill="auto"/>
                  <w:noWrap w:val="0"/>
                  <w:vAlign w:val="center"/>
                </w:tcPr>
                <w:p w14:paraId="47B0B1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0.232</w:t>
                  </w:r>
                </w:p>
              </w:tc>
              <w:tc>
                <w:tcPr>
                  <w:tcW w:w="633" w:type="pct"/>
                  <w:tcBorders>
                    <w:tl2br w:val="nil"/>
                    <w:tr2bl w:val="nil"/>
                  </w:tcBorders>
                  <w:noWrap w:val="0"/>
                  <w:vAlign w:val="center"/>
                </w:tcPr>
                <w:p w14:paraId="1BC6DF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w:t>
                  </w:r>
                </w:p>
              </w:tc>
              <w:tc>
                <w:tcPr>
                  <w:tcW w:w="643" w:type="pct"/>
                  <w:tcBorders>
                    <w:tl2br w:val="nil"/>
                    <w:tr2bl w:val="nil"/>
                  </w:tcBorders>
                  <w:noWrap w:val="0"/>
                  <w:vAlign w:val="center"/>
                </w:tcPr>
                <w:p w14:paraId="4FDDF6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162</w:t>
                  </w:r>
                </w:p>
              </w:tc>
            </w:tr>
            <w:tr w14:paraId="6A243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2435B9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产生量（t/a）</w:t>
                  </w:r>
                </w:p>
              </w:tc>
              <w:tc>
                <w:tcPr>
                  <w:tcW w:w="716" w:type="pct"/>
                  <w:tcBorders>
                    <w:tl2br w:val="nil"/>
                    <w:tr2bl w:val="nil"/>
                  </w:tcBorders>
                  <w:noWrap w:val="0"/>
                  <w:vAlign w:val="center"/>
                </w:tcPr>
                <w:p w14:paraId="4CA92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56" w:type="pct"/>
                  <w:tcBorders>
                    <w:tl2br w:val="nil"/>
                    <w:tr2bl w:val="nil"/>
                  </w:tcBorders>
                  <w:noWrap w:val="0"/>
                  <w:vAlign w:val="center"/>
                </w:tcPr>
                <w:p w14:paraId="6A429F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0.0070</w:t>
                  </w:r>
                </w:p>
              </w:tc>
              <w:tc>
                <w:tcPr>
                  <w:tcW w:w="774" w:type="pct"/>
                  <w:tcBorders>
                    <w:tl2br w:val="nil"/>
                    <w:tr2bl w:val="nil"/>
                  </w:tcBorders>
                  <w:shd w:val="clear" w:color="auto" w:fill="auto"/>
                  <w:noWrap w:val="0"/>
                  <w:vAlign w:val="center"/>
                </w:tcPr>
                <w:p w14:paraId="57F0A6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0.0001</w:t>
                  </w:r>
                </w:p>
              </w:tc>
              <w:tc>
                <w:tcPr>
                  <w:tcW w:w="633" w:type="pct"/>
                  <w:tcBorders>
                    <w:tl2br w:val="nil"/>
                    <w:tr2bl w:val="nil"/>
                  </w:tcBorders>
                  <w:noWrap w:val="0"/>
                  <w:vAlign w:val="center"/>
                </w:tcPr>
                <w:p w14:paraId="32B83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0.0038</w:t>
                  </w:r>
                </w:p>
              </w:tc>
              <w:tc>
                <w:tcPr>
                  <w:tcW w:w="643" w:type="pct"/>
                  <w:tcBorders>
                    <w:tl2br w:val="nil"/>
                    <w:tr2bl w:val="nil"/>
                  </w:tcBorders>
                  <w:noWrap w:val="0"/>
                  <w:vAlign w:val="center"/>
                </w:tcPr>
                <w:p w14:paraId="1CA5B5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0.1034</w:t>
                  </w:r>
                </w:p>
              </w:tc>
            </w:tr>
            <w:tr w14:paraId="48CCB3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5E654C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降温</w:t>
                  </w:r>
                  <w:r>
                    <w:rPr>
                      <w:rFonts w:hint="default" w:ascii="Times New Roman" w:hAnsi="Times New Roman" w:cs="Times New Roman"/>
                      <w:color w:val="000000" w:themeColor="text1"/>
                      <w:sz w:val="21"/>
                      <w:szCs w:val="21"/>
                      <w:lang w:val="en-GB"/>
                      <w14:textFill>
                        <w14:solidFill>
                          <w14:schemeClr w14:val="tx1"/>
                        </w14:solidFill>
                      </w14:textFill>
                    </w:rPr>
                    <w:t>池处理效率</w:t>
                  </w:r>
                </w:p>
              </w:tc>
              <w:tc>
                <w:tcPr>
                  <w:tcW w:w="716" w:type="pct"/>
                  <w:tcBorders>
                    <w:tl2br w:val="nil"/>
                    <w:tr2bl w:val="nil"/>
                  </w:tcBorders>
                  <w:noWrap w:val="0"/>
                  <w:vAlign w:val="center"/>
                </w:tcPr>
                <w:p w14:paraId="612E73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56" w:type="pct"/>
                  <w:tcBorders>
                    <w:tl2br w:val="nil"/>
                    <w:tr2bl w:val="nil"/>
                  </w:tcBorders>
                  <w:noWrap w:val="0"/>
                  <w:vAlign w:val="center"/>
                </w:tcPr>
                <w:p w14:paraId="241396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w:t>
                  </w:r>
                </w:p>
              </w:tc>
              <w:tc>
                <w:tcPr>
                  <w:tcW w:w="774" w:type="pct"/>
                  <w:tcBorders>
                    <w:tl2br w:val="nil"/>
                    <w:tr2bl w:val="nil"/>
                  </w:tcBorders>
                  <w:shd w:val="clear" w:color="auto" w:fill="auto"/>
                  <w:noWrap w:val="0"/>
                  <w:vAlign w:val="center"/>
                </w:tcPr>
                <w:p w14:paraId="7BFAFF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w:t>
                  </w:r>
                </w:p>
              </w:tc>
              <w:tc>
                <w:tcPr>
                  <w:tcW w:w="633" w:type="pct"/>
                  <w:tcBorders>
                    <w:tl2br w:val="nil"/>
                    <w:tr2bl w:val="nil"/>
                  </w:tcBorders>
                  <w:noWrap w:val="0"/>
                  <w:vAlign w:val="center"/>
                </w:tcPr>
                <w:p w14:paraId="32430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w:t>
                  </w:r>
                </w:p>
              </w:tc>
              <w:tc>
                <w:tcPr>
                  <w:tcW w:w="643" w:type="pct"/>
                  <w:tcBorders>
                    <w:tl2br w:val="nil"/>
                    <w:tr2bl w:val="nil"/>
                  </w:tcBorders>
                  <w:noWrap w:val="0"/>
                  <w:vAlign w:val="center"/>
                </w:tcPr>
                <w:p w14:paraId="17CA8D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w:t>
                  </w:r>
                </w:p>
              </w:tc>
            </w:tr>
            <w:tr w14:paraId="612001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27851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出水水质（mg/L）</w:t>
                  </w:r>
                </w:p>
              </w:tc>
              <w:tc>
                <w:tcPr>
                  <w:tcW w:w="716" w:type="pct"/>
                  <w:tcBorders>
                    <w:tl2br w:val="nil"/>
                    <w:tr2bl w:val="nil"/>
                  </w:tcBorders>
                  <w:noWrap w:val="0"/>
                  <w:vAlign w:val="center"/>
                </w:tcPr>
                <w:p w14:paraId="3387A7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6~9</w:t>
                  </w:r>
                </w:p>
              </w:tc>
              <w:tc>
                <w:tcPr>
                  <w:tcW w:w="656" w:type="pct"/>
                  <w:tcBorders>
                    <w:tl2br w:val="nil"/>
                    <w:tr2bl w:val="nil"/>
                  </w:tcBorders>
                  <w:shd w:val="clear" w:color="auto" w:fill="auto"/>
                  <w:noWrap w:val="0"/>
                  <w:vAlign w:val="center"/>
                </w:tcPr>
                <w:p w14:paraId="228029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11</w:t>
                  </w:r>
                </w:p>
              </w:tc>
              <w:tc>
                <w:tcPr>
                  <w:tcW w:w="774" w:type="pct"/>
                  <w:tcBorders>
                    <w:tl2br w:val="nil"/>
                    <w:tr2bl w:val="nil"/>
                  </w:tcBorders>
                  <w:shd w:val="clear" w:color="auto" w:fill="auto"/>
                  <w:noWrap w:val="0"/>
                  <w:vAlign w:val="center"/>
                </w:tcPr>
                <w:p w14:paraId="3534EB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0.232</w:t>
                  </w:r>
                </w:p>
              </w:tc>
              <w:tc>
                <w:tcPr>
                  <w:tcW w:w="633" w:type="pct"/>
                  <w:tcBorders>
                    <w:tl2br w:val="nil"/>
                    <w:tr2bl w:val="nil"/>
                  </w:tcBorders>
                  <w:shd w:val="clear" w:color="auto" w:fill="auto"/>
                  <w:noWrap w:val="0"/>
                  <w:vAlign w:val="center"/>
                </w:tcPr>
                <w:p w14:paraId="44840C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w:t>
                  </w:r>
                </w:p>
              </w:tc>
              <w:tc>
                <w:tcPr>
                  <w:tcW w:w="643" w:type="pct"/>
                  <w:tcBorders>
                    <w:tl2br w:val="nil"/>
                    <w:tr2bl w:val="nil"/>
                  </w:tcBorders>
                  <w:shd w:val="clear" w:color="auto" w:fill="auto"/>
                  <w:noWrap w:val="0"/>
                  <w:vAlign w:val="center"/>
                </w:tcPr>
                <w:p w14:paraId="051288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162</w:t>
                  </w:r>
                </w:p>
              </w:tc>
            </w:tr>
            <w:tr w14:paraId="1B377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407EF3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排放量（t/a）</w:t>
                  </w:r>
                </w:p>
              </w:tc>
              <w:tc>
                <w:tcPr>
                  <w:tcW w:w="716" w:type="pct"/>
                  <w:tcBorders>
                    <w:tl2br w:val="nil"/>
                    <w:tr2bl w:val="nil"/>
                  </w:tcBorders>
                  <w:noWrap w:val="0"/>
                  <w:vAlign w:val="center"/>
                </w:tcPr>
                <w:p w14:paraId="3B9E52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56" w:type="pct"/>
                  <w:tcBorders>
                    <w:tl2br w:val="nil"/>
                    <w:tr2bl w:val="nil"/>
                  </w:tcBorders>
                  <w:shd w:val="clear" w:color="auto" w:fill="auto"/>
                  <w:noWrap w:val="0"/>
                  <w:vAlign w:val="center"/>
                </w:tcPr>
                <w:p w14:paraId="34B6F6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0.011</w:t>
                  </w:r>
                </w:p>
              </w:tc>
              <w:tc>
                <w:tcPr>
                  <w:tcW w:w="774" w:type="pct"/>
                  <w:tcBorders>
                    <w:tl2br w:val="nil"/>
                    <w:tr2bl w:val="nil"/>
                  </w:tcBorders>
                  <w:shd w:val="clear" w:color="auto" w:fill="auto"/>
                  <w:noWrap w:val="0"/>
                  <w:vAlign w:val="center"/>
                </w:tcPr>
                <w:p w14:paraId="1983D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0.000148</w:t>
                  </w:r>
                </w:p>
              </w:tc>
              <w:tc>
                <w:tcPr>
                  <w:tcW w:w="633" w:type="pct"/>
                  <w:tcBorders>
                    <w:tl2br w:val="nil"/>
                    <w:tr2bl w:val="nil"/>
                  </w:tcBorders>
                  <w:shd w:val="clear" w:color="auto" w:fill="auto"/>
                  <w:noWrap w:val="0"/>
                  <w:vAlign w:val="center"/>
                </w:tcPr>
                <w:p w14:paraId="1E2464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0.0038</w:t>
                  </w:r>
                </w:p>
              </w:tc>
              <w:tc>
                <w:tcPr>
                  <w:tcW w:w="643" w:type="pct"/>
                  <w:tcBorders>
                    <w:tl2br w:val="nil"/>
                    <w:tr2bl w:val="nil"/>
                  </w:tcBorders>
                  <w:shd w:val="clear" w:color="auto" w:fill="auto"/>
                  <w:noWrap w:val="0"/>
                  <w:vAlign w:val="center"/>
                </w:tcPr>
                <w:p w14:paraId="5CBAEE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bidi="ar-SA"/>
                      <w14:textFill>
                        <w14:solidFill>
                          <w14:schemeClr w14:val="tx1"/>
                        </w14:solidFill>
                      </w14:textFill>
                    </w:rPr>
                    <w:t>0.1034</w:t>
                  </w:r>
                </w:p>
              </w:tc>
            </w:tr>
            <w:tr w14:paraId="04282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46A896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标准</w:t>
                  </w:r>
                </w:p>
              </w:tc>
              <w:tc>
                <w:tcPr>
                  <w:tcW w:w="716" w:type="pct"/>
                  <w:tcBorders>
                    <w:tl2br w:val="nil"/>
                    <w:tr2bl w:val="nil"/>
                  </w:tcBorders>
                  <w:noWrap w:val="0"/>
                  <w:vAlign w:val="center"/>
                </w:tcPr>
                <w:p w14:paraId="0CC3E2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6~9</w:t>
                  </w:r>
                </w:p>
              </w:tc>
              <w:tc>
                <w:tcPr>
                  <w:tcW w:w="656" w:type="pct"/>
                  <w:tcBorders>
                    <w:tl2br w:val="nil"/>
                    <w:tr2bl w:val="nil"/>
                  </w:tcBorders>
                  <w:noWrap w:val="0"/>
                  <w:vAlign w:val="center"/>
                </w:tcPr>
                <w:p w14:paraId="3E6BCA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500</w:t>
                  </w:r>
                </w:p>
              </w:tc>
              <w:tc>
                <w:tcPr>
                  <w:tcW w:w="774" w:type="pct"/>
                  <w:tcBorders>
                    <w:tl2br w:val="nil"/>
                    <w:tr2bl w:val="nil"/>
                  </w:tcBorders>
                  <w:shd w:val="clear" w:color="auto" w:fill="auto"/>
                  <w:noWrap w:val="0"/>
                  <w:vAlign w:val="center"/>
                </w:tcPr>
                <w:p w14:paraId="370A33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45</w:t>
                  </w:r>
                </w:p>
              </w:tc>
              <w:tc>
                <w:tcPr>
                  <w:tcW w:w="633" w:type="pct"/>
                  <w:tcBorders>
                    <w:tl2br w:val="nil"/>
                    <w:tr2bl w:val="nil"/>
                  </w:tcBorders>
                  <w:noWrap w:val="0"/>
                  <w:vAlign w:val="center"/>
                </w:tcPr>
                <w:p w14:paraId="34A31A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400</w:t>
                  </w:r>
                </w:p>
              </w:tc>
              <w:tc>
                <w:tcPr>
                  <w:tcW w:w="643" w:type="pct"/>
                  <w:tcBorders>
                    <w:tl2br w:val="nil"/>
                    <w:tr2bl w:val="nil"/>
                  </w:tcBorders>
                  <w:noWrap w:val="0"/>
                  <w:vAlign w:val="center"/>
                </w:tcPr>
                <w:p w14:paraId="1F06F8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1500</w:t>
                  </w:r>
                </w:p>
              </w:tc>
            </w:tr>
            <w:tr w14:paraId="75548E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74" w:type="pct"/>
                  <w:tcBorders>
                    <w:tl2br w:val="nil"/>
                    <w:tr2bl w:val="nil"/>
                  </w:tcBorders>
                  <w:noWrap w:val="0"/>
                  <w:vAlign w:val="center"/>
                </w:tcPr>
                <w:p w14:paraId="0FDE07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达标性分析</w:t>
                  </w:r>
                </w:p>
              </w:tc>
              <w:tc>
                <w:tcPr>
                  <w:tcW w:w="716" w:type="pct"/>
                  <w:tcBorders>
                    <w:tl2br w:val="nil"/>
                    <w:tr2bl w:val="nil"/>
                  </w:tcBorders>
                  <w:noWrap w:val="0"/>
                  <w:vAlign w:val="center"/>
                </w:tcPr>
                <w:p w14:paraId="599024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656" w:type="pct"/>
                  <w:tcBorders>
                    <w:tl2br w:val="nil"/>
                    <w:tr2bl w:val="nil"/>
                  </w:tcBorders>
                  <w:noWrap w:val="0"/>
                  <w:vAlign w:val="center"/>
                </w:tcPr>
                <w:p w14:paraId="40FDC1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774" w:type="pct"/>
                  <w:tcBorders>
                    <w:tl2br w:val="nil"/>
                    <w:tr2bl w:val="nil"/>
                  </w:tcBorders>
                  <w:shd w:val="clear" w:color="auto" w:fill="auto"/>
                  <w:noWrap w:val="0"/>
                  <w:vAlign w:val="center"/>
                </w:tcPr>
                <w:p w14:paraId="5EEAC8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633" w:type="pct"/>
                  <w:tcBorders>
                    <w:tl2br w:val="nil"/>
                    <w:tr2bl w:val="nil"/>
                  </w:tcBorders>
                  <w:noWrap w:val="0"/>
                  <w:vAlign w:val="center"/>
                </w:tcPr>
                <w:p w14:paraId="4B7C3A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643" w:type="pct"/>
                  <w:tcBorders>
                    <w:tl2br w:val="nil"/>
                    <w:tr2bl w:val="nil"/>
                  </w:tcBorders>
                  <w:noWrap w:val="0"/>
                  <w:vAlign w:val="center"/>
                </w:tcPr>
                <w:p w14:paraId="48B1CD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r>
          </w:tbl>
          <w:p w14:paraId="7F3D257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由上表可知，本项目运营期锅炉废水经化粪池预处理后排放浓度可以满足《污水综合排放标准》（GB8978-1996）表4中三级标准和《污水排入城镇下水道水质标准》（GB/T31962-2015）中A级标准，废水排入市政污水管网，最终进入西安净水处理有限责任公司第六再生水厂。</w:t>
            </w:r>
          </w:p>
          <w:p w14:paraId="3284ED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2.3 项目废水排放信息</w:t>
            </w:r>
          </w:p>
          <w:p w14:paraId="5E825A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锅炉房</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经化粪池预处理后进入市政污水管网</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，废水排放口基本情况见表</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4-8</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536F7D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8</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废水间接排放口基本情况</w:t>
            </w:r>
          </w:p>
          <w:tbl>
            <w:tblPr>
              <w:tblStyle w:val="26"/>
              <w:tblW w:w="486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901"/>
              <w:gridCol w:w="2414"/>
              <w:gridCol w:w="1813"/>
              <w:gridCol w:w="1120"/>
            </w:tblGrid>
            <w:tr w14:paraId="22141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9" w:type="pct"/>
                  <w:tcBorders>
                    <w:tl2br w:val="nil"/>
                    <w:tr2bl w:val="nil"/>
                  </w:tcBorders>
                  <w:noWrap w:val="0"/>
                  <w:vAlign w:val="center"/>
                </w:tcPr>
                <w:p w14:paraId="45EE4D17">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w:t>
                  </w:r>
                </w:p>
                <w:p w14:paraId="1392436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编号</w:t>
                  </w:r>
                </w:p>
              </w:tc>
              <w:tc>
                <w:tcPr>
                  <w:tcW w:w="1161" w:type="pct"/>
                  <w:tcBorders>
                    <w:tl2br w:val="nil"/>
                    <w:tr2bl w:val="nil"/>
                  </w:tcBorders>
                  <w:noWrap w:val="0"/>
                  <w:vAlign w:val="center"/>
                </w:tcPr>
                <w:p w14:paraId="0379330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w:t>
                  </w:r>
                </w:p>
                <w:p w14:paraId="624688C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475" w:type="pct"/>
                  <w:tcBorders>
                    <w:tl2br w:val="nil"/>
                    <w:tr2bl w:val="nil"/>
                  </w:tcBorders>
                  <w:noWrap w:val="0"/>
                  <w:vAlign w:val="center"/>
                </w:tcPr>
                <w:p w14:paraId="582225A1">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地理坐标</w:t>
                  </w:r>
                </w:p>
              </w:tc>
              <w:tc>
                <w:tcPr>
                  <w:tcW w:w="1108" w:type="pct"/>
                  <w:tcBorders>
                    <w:tl2br w:val="nil"/>
                    <w:tr2bl w:val="nil"/>
                  </w:tcBorders>
                  <w:noWrap w:val="0"/>
                  <w:vAlign w:val="center"/>
                </w:tcPr>
                <w:p w14:paraId="67F88679">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排放去向</w:t>
                  </w:r>
                </w:p>
              </w:tc>
              <w:tc>
                <w:tcPr>
                  <w:tcW w:w="684" w:type="pct"/>
                  <w:tcBorders>
                    <w:tl2br w:val="nil"/>
                    <w:tr2bl w:val="nil"/>
                  </w:tcBorders>
                  <w:noWrap w:val="0"/>
                  <w:vAlign w:val="center"/>
                </w:tcPr>
                <w:p w14:paraId="468D1C00">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排放口类型</w:t>
                  </w:r>
                </w:p>
              </w:tc>
            </w:tr>
            <w:tr w14:paraId="56F508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9" w:type="pct"/>
                  <w:tcBorders>
                    <w:tl2br w:val="nil"/>
                    <w:tr2bl w:val="nil"/>
                  </w:tcBorders>
                  <w:noWrap w:val="0"/>
                  <w:vAlign w:val="center"/>
                </w:tcPr>
                <w:p w14:paraId="173D63C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DW001</w:t>
                  </w:r>
                </w:p>
              </w:tc>
              <w:tc>
                <w:tcPr>
                  <w:tcW w:w="1161" w:type="pct"/>
                  <w:tcBorders>
                    <w:tl2br w:val="nil"/>
                    <w:tr2bl w:val="nil"/>
                  </w:tcBorders>
                  <w:noWrap w:val="0"/>
                  <w:vAlign w:val="center"/>
                </w:tcPr>
                <w:p w14:paraId="5AC345B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小区废水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排放口</w:t>
                  </w:r>
                </w:p>
              </w:tc>
              <w:tc>
                <w:tcPr>
                  <w:tcW w:w="1475" w:type="pct"/>
                  <w:tcBorders>
                    <w:tl2br w:val="nil"/>
                    <w:tr2bl w:val="nil"/>
                  </w:tcBorders>
                  <w:noWrap w:val="0"/>
                  <w:vAlign w:val="center"/>
                </w:tcPr>
                <w:p w14:paraId="5D4FD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E:108°50′37.900″</w:t>
                  </w:r>
                </w:p>
                <w:p w14:paraId="005356E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N:34°17′28.074″</w:t>
                  </w:r>
                </w:p>
              </w:tc>
              <w:tc>
                <w:tcPr>
                  <w:tcW w:w="1108" w:type="pct"/>
                  <w:tcBorders>
                    <w:tl2br w:val="nil"/>
                    <w:tr2bl w:val="nil"/>
                  </w:tcBorders>
                  <w:noWrap w:val="0"/>
                  <w:vAlign w:val="center"/>
                </w:tcPr>
                <w:p w14:paraId="7F07E45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排入</w:t>
                  </w:r>
                  <w:r>
                    <w:rPr>
                      <w:rFonts w:hint="eastAsia" w:ascii="Times New Roman" w:hAnsi="Times New Roman" w:cs="Times New Roman"/>
                      <w:color w:val="000000" w:themeColor="text1"/>
                      <w:sz w:val="21"/>
                      <w:szCs w:val="21"/>
                      <w:lang w:val="en-US" w:eastAsia="zh-CN"/>
                      <w14:textFill>
                        <w14:solidFill>
                          <w14:schemeClr w14:val="tx1"/>
                        </w14:solidFill>
                      </w14:textFill>
                    </w:rPr>
                    <w:t>西安净水处理有限责任公司第六再生水厂</w:t>
                  </w:r>
                </w:p>
              </w:tc>
              <w:tc>
                <w:tcPr>
                  <w:tcW w:w="684" w:type="pct"/>
                  <w:tcBorders>
                    <w:tl2br w:val="nil"/>
                    <w:tr2bl w:val="nil"/>
                  </w:tcBorders>
                  <w:noWrap w:val="0"/>
                  <w:vAlign w:val="center"/>
                </w:tcPr>
                <w:p w14:paraId="6EDBE7B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一般排放口</w:t>
                  </w:r>
                </w:p>
              </w:tc>
            </w:tr>
          </w:tbl>
          <w:p w14:paraId="37329A0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 xml:space="preserve">2.4 </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达标排放分析</w:t>
            </w:r>
          </w:p>
          <w:p w14:paraId="4C46F2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本</w:t>
            </w:r>
            <w:r>
              <w:rPr>
                <w:rFonts w:hint="default" w:ascii="Times New Roman" w:hAnsi="Times New Roman" w:eastAsia="宋体" w:cs="Times New Roman"/>
                <w:color w:val="000000" w:themeColor="text1"/>
                <w:sz w:val="24"/>
                <w14:textFill>
                  <w14:solidFill>
                    <w14:schemeClr w14:val="tx1"/>
                  </w14:solidFill>
                </w14:textFill>
              </w:rPr>
              <w:t>项目</w:t>
            </w:r>
            <w:r>
              <w:rPr>
                <w:rFonts w:hint="eastAsia" w:ascii="宋体" w:hAnsi="宋体" w:cs="宋体"/>
                <w:color w:val="000000" w:themeColor="text1"/>
                <w:kern w:val="0"/>
                <w:sz w:val="24"/>
                <w:lang w:bidi="ar"/>
                <w14:textFill>
                  <w14:solidFill>
                    <w14:schemeClr w14:val="tx1"/>
                  </w14:solidFill>
                </w14:textFill>
              </w:rPr>
              <w:t>运营期混合废水经化粪池预处理后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中三级标准和《污水排入城镇下水道水质标准》（GB/T31962-2015）A等级标准，可排入市政管网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最终进入西安净水处理有限责任公司第六再生水厂处理。</w:t>
            </w:r>
          </w:p>
          <w:p w14:paraId="3C26DD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color w:val="000000" w:themeColor="text1"/>
                <w:sz w:val="24"/>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 xml:space="preserve">2.6 </w:t>
            </w:r>
            <w:r>
              <w:rPr>
                <w:rFonts w:hint="default" w:ascii="Times New Roman" w:hAnsi="Times New Roman" w:cs="Times New Roman"/>
                <w:b/>
                <w:bCs/>
                <w:color w:val="000000" w:themeColor="text1"/>
                <w:sz w:val="24"/>
                <w14:textFill>
                  <w14:solidFill>
                    <w14:schemeClr w14:val="tx1"/>
                  </w14:solidFill>
                </w14:textFill>
              </w:rPr>
              <w:t>西安净水处理有限责任公司第六再生水厂依托可行性分析</w:t>
            </w:r>
          </w:p>
          <w:p w14:paraId="08A6FD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sz w:val="24"/>
                <w:lang w:val="zh-CN"/>
                <w14:textFill>
                  <w14:solidFill>
                    <w14:schemeClr w14:val="tx1"/>
                  </w14:solidFill>
                </w14:textFill>
              </w:rPr>
              <w:t>西安净水处理有限责任公司第六再生水厂位于西安市北三环六村堡立交西北角，总占地面积16.95公顷，该污水处理厂分两期建设，采用以A</w:t>
            </w:r>
            <w:r>
              <w:rPr>
                <w:rFonts w:hint="default" w:ascii="Times New Roman" w:hAnsi="Times New Roman" w:cs="Times New Roman"/>
                <w:color w:val="000000" w:themeColor="text1"/>
                <w:sz w:val="24"/>
                <w:vertAlign w:val="superscript"/>
                <w:lang w:val="zh-CN"/>
                <w14:textFill>
                  <w14:solidFill>
                    <w14:schemeClr w14:val="tx1"/>
                  </w14:solidFill>
                </w14:textFill>
              </w:rPr>
              <w:t>2</w:t>
            </w:r>
            <w:r>
              <w:rPr>
                <w:rFonts w:hint="default" w:ascii="Times New Roman" w:hAnsi="Times New Roman" w:cs="Times New Roman"/>
                <w:color w:val="000000" w:themeColor="text1"/>
                <w:sz w:val="24"/>
                <w:lang w:val="zh-CN"/>
                <w14:textFill>
                  <w14:solidFill>
                    <w14:schemeClr w14:val="tx1"/>
                  </w14:solidFill>
                </w14:textFill>
              </w:rPr>
              <w:t>/O为主的生物处理工艺。一期工程10×10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/d及二期的5×10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工程于2016年8月进行验收，并于2016年10月28日取得西安市环境保护局沣渭新区分局关于西安市污水处理有限责任公司西安市第六污水处理厂工程（15万吨/天处理规模）竣工环保验收的批复（市环沣渭验[2016]10号）。二期工程剩余5×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/d已建成并完成调试，于2018年4月完成竣工环保验收并全部正式投入使用。</w:t>
            </w:r>
          </w:p>
          <w:p w14:paraId="5F379C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default" w:ascii="Times New Roman" w:hAnsi="Times New Roman" w:cs="Times New Roman"/>
                <w:color w:val="000000" w:themeColor="text1"/>
                <w:sz w:val="24"/>
                <w:szCs w:val="24"/>
                <w14:textFill>
                  <w14:solidFill>
                    <w14:schemeClr w14:val="tx1"/>
                  </w14:solidFill>
                </w14:textFill>
              </w:rPr>
              <w:t>项目位于</w:t>
            </w:r>
            <w:r>
              <w:rPr>
                <w:rFonts w:hint="default" w:ascii="Times New Roman" w:hAnsi="Times New Roman" w:cs="Times New Roman"/>
                <w:color w:val="000000" w:themeColor="text1"/>
                <w:sz w:val="24"/>
                <w14:textFill>
                  <w14:solidFill>
                    <w14:schemeClr w14:val="tx1"/>
                  </w14:solidFill>
                </w14:textFill>
              </w:rPr>
              <w:t>西安净水处理有限责任公司第六再生水厂</w:t>
            </w:r>
            <w:r>
              <w:rPr>
                <w:rFonts w:hint="default" w:ascii="Times New Roman" w:hAnsi="Times New Roman" w:cs="Times New Roman"/>
                <w:bCs/>
                <w:color w:val="000000" w:themeColor="text1"/>
                <w:sz w:val="24"/>
                <w14:textFill>
                  <w14:solidFill>
                    <w14:schemeClr w14:val="tx1"/>
                  </w14:solidFill>
                </w14:textFill>
              </w:rPr>
              <w:t>的收纳范围内，</w:t>
            </w:r>
            <w:r>
              <w:rPr>
                <w:rFonts w:hint="default" w:ascii="Times New Roman" w:hAnsi="Times New Roman" w:cs="Times New Roman"/>
                <w:color w:val="000000" w:themeColor="text1"/>
                <w:sz w:val="24"/>
                <w14:textFill>
                  <w14:solidFill>
                    <w14:schemeClr w14:val="tx1"/>
                  </w14:solidFill>
                </w14:textFill>
              </w:rPr>
              <w:t>本项目外排废水量约为</w:t>
            </w:r>
            <w:r>
              <w:rPr>
                <w:rFonts w:hint="eastAsia" w:ascii="Times New Roman" w:hAnsi="Times New Roman" w:cs="Times New Roman"/>
                <w:color w:val="000000" w:themeColor="text1"/>
                <w:sz w:val="24"/>
                <w:lang w:val="en-US" w:eastAsia="zh-CN"/>
                <w14:textFill>
                  <w14:solidFill>
                    <w14:schemeClr w14:val="tx1"/>
                  </w14:solidFill>
                </w14:textFill>
              </w:rPr>
              <w:t>11.66</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1030.66</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a</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仅占污水处理厂现有日处理量的0.</w:t>
            </w:r>
            <w:r>
              <w:rPr>
                <w:rFonts w:hint="eastAsia" w:ascii="Times New Roman" w:hAnsi="Times New Roman" w:cs="Times New Roman"/>
                <w:color w:val="000000" w:themeColor="text1"/>
                <w:sz w:val="24"/>
                <w:lang w:val="en-US" w:eastAsia="zh-CN"/>
                <w14:textFill>
                  <w14:solidFill>
                    <w14:schemeClr w14:val="tx1"/>
                  </w14:solidFill>
                </w14:textFill>
              </w:rPr>
              <w:t>005.83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运营期</w:t>
            </w:r>
            <w:r>
              <w:rPr>
                <w:rFonts w:hint="eastAsia" w:ascii="宋体" w:hAnsi="宋体" w:cs="宋体"/>
                <w:color w:val="000000" w:themeColor="text1"/>
                <w:kern w:val="0"/>
                <w:sz w:val="24"/>
                <w:lang w:val="en-US" w:eastAsia="zh-CN" w:bidi="ar"/>
                <w14:textFill>
                  <w14:solidFill>
                    <w14:schemeClr w14:val="tx1"/>
                  </w14:solidFill>
                </w14:textFill>
              </w:rPr>
              <w:t>锅炉</w:t>
            </w:r>
            <w:r>
              <w:rPr>
                <w:rFonts w:hint="eastAsia" w:ascii="宋体" w:hAnsi="宋体" w:cs="宋体"/>
                <w:color w:val="000000" w:themeColor="text1"/>
                <w:kern w:val="0"/>
                <w:sz w:val="24"/>
                <w:lang w:bidi="ar"/>
                <w14:textFill>
                  <w14:solidFill>
                    <w14:schemeClr w14:val="tx1"/>
                  </w14:solidFill>
                </w14:textFill>
              </w:rPr>
              <w:t>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《污水排入城镇下水道水质标准》（GB/T31962-2015）污水排入城镇下水道水质控制项目A级标准限值</w:t>
            </w:r>
            <w:r>
              <w:rPr>
                <w:rFonts w:hint="default" w:ascii="Times New Roman" w:hAnsi="Times New Roman" w:eastAsia="宋体" w:cs="Times New Roman"/>
                <w:color w:val="000000" w:themeColor="text1"/>
                <w:sz w:val="24"/>
                <w14:textFill>
                  <w14:solidFill>
                    <w14:schemeClr w14:val="tx1"/>
                  </w14:solidFill>
                </w14:textFill>
              </w:rPr>
              <w:t>，可排入市政管网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最终进入西安净水处理有限责任公司第六再生水厂</w:t>
            </w:r>
            <w:r>
              <w:rPr>
                <w:rFonts w:hint="eastAsia" w:cs="Times New Roman"/>
                <w:color w:val="000000" w:themeColor="text1"/>
                <w:sz w:val="24"/>
                <w:lang w:val="en-US" w:eastAsia="zh-CN"/>
                <w14:textFill>
                  <w14:solidFill>
                    <w14:schemeClr w14:val="tx1"/>
                  </w14:solidFill>
                </w14:textFill>
              </w:rPr>
              <w:t>处理。</w:t>
            </w:r>
          </w:p>
          <w:p w14:paraId="76A396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000000" w:themeColor="text1"/>
                <w:lang w:val="en-US" w:eastAsia="zh-CN"/>
                <w14:textFill>
                  <w14:solidFill>
                    <w14:schemeClr w14:val="tx1"/>
                  </w14:solidFill>
                </w14:textFill>
              </w:rPr>
            </w:pP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从处理能力上分析，</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西安净水处理有限责任公司第六再生水厂</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可接受本项目全部外排废水。故本项目外排废水不会对</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西安净水处理有限责任公司第六再生水厂</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的水质、水量及处理能力造成较大影响，因此，本项目排放废水进入该污水处理厂是可行的。</w:t>
            </w:r>
          </w:p>
          <w:p w14:paraId="46B674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eastAsiaTheme="minorEastAsia"/>
                <w:b/>
                <w:bCs/>
                <w:snapToGrid/>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b/>
                <w:bCs/>
                <w:snapToGrid/>
                <w:color w:val="000000" w:themeColor="text1"/>
                <w:kern w:val="2"/>
                <w:sz w:val="24"/>
                <w:szCs w:val="24"/>
                <w:lang w:val="en-US" w:eastAsia="zh-CN" w:bidi="ar-SA"/>
                <w14:textFill>
                  <w14:solidFill>
                    <w14:schemeClr w14:val="tx1"/>
                  </w14:solidFill>
                </w14:textFill>
              </w:rPr>
              <w:t xml:space="preserve">2.6 </w:t>
            </w:r>
            <w:r>
              <w:rPr>
                <w:rFonts w:hint="eastAsia" w:ascii="Times New Roman" w:hAnsi="Times New Roman" w:cs="Times New Roman" w:eastAsiaTheme="minorEastAsia"/>
                <w:b/>
                <w:bCs/>
                <w:snapToGrid/>
                <w:color w:val="000000" w:themeColor="text1"/>
                <w:kern w:val="2"/>
                <w:sz w:val="24"/>
                <w:szCs w:val="24"/>
                <w:lang w:val="en-US" w:eastAsia="zh-CN" w:bidi="ar-SA"/>
                <w14:textFill>
                  <w14:solidFill>
                    <w14:schemeClr w14:val="tx1"/>
                  </w14:solidFill>
                </w14:textFill>
              </w:rPr>
              <w:t>环境监测计划</w:t>
            </w:r>
          </w:p>
          <w:p w14:paraId="52292DE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项目营运期</w:t>
            </w:r>
            <w:r>
              <w:rPr>
                <w:rFonts w:hint="eastAsia" w:ascii="Times New Roman" w:hAnsi="Times New Roman" w:cs="Times New Roman"/>
                <w:color w:val="000000" w:themeColor="text1"/>
                <w:sz w:val="24"/>
                <w:lang w:val="en-US" w:eastAsia="zh-CN"/>
                <w14:textFill>
                  <w14:solidFill>
                    <w14:schemeClr w14:val="tx1"/>
                  </w14:solidFill>
                </w14:textFill>
              </w:rPr>
              <w:t>废水</w:t>
            </w:r>
            <w:r>
              <w:rPr>
                <w:rFonts w:hint="default" w:ascii="Times New Roman" w:hAnsi="Times New Roman" w:cs="Times New Roman"/>
                <w:color w:val="000000" w:themeColor="text1"/>
                <w:sz w:val="24"/>
                <w:lang w:val="en-US" w:eastAsia="zh-CN"/>
                <w14:textFill>
                  <w14:solidFill>
                    <w14:schemeClr w14:val="tx1"/>
                  </w14:solidFill>
                </w14:textFill>
              </w:rPr>
              <w:t>监测计划见表4-</w:t>
            </w:r>
            <w:r>
              <w:rPr>
                <w:rFonts w:hint="eastAsia"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lang w:val="en-US" w:eastAsia="zh-CN"/>
                <w14:textFill>
                  <w14:solidFill>
                    <w14:schemeClr w14:val="tx1"/>
                  </w14:solidFill>
                </w14:textFill>
              </w:rPr>
              <w:t>。</w:t>
            </w:r>
          </w:p>
          <w:p w14:paraId="6FEBF82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表4-9  运营期环境监测计划</w:t>
            </w:r>
          </w:p>
          <w:tbl>
            <w:tblPr>
              <w:tblStyle w:val="26"/>
              <w:tblW w:w="843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284"/>
              <w:gridCol w:w="1591"/>
              <w:gridCol w:w="1075"/>
              <w:gridCol w:w="740"/>
              <w:gridCol w:w="849"/>
              <w:gridCol w:w="2897"/>
            </w:tblGrid>
            <w:tr w14:paraId="6E3A01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atLeast"/>
                <w:jc w:val="center"/>
              </w:trPr>
              <w:tc>
                <w:tcPr>
                  <w:tcW w:w="1284" w:type="dxa"/>
                  <w:tcBorders>
                    <w:tl2br w:val="nil"/>
                    <w:tr2bl w:val="nil"/>
                  </w:tcBorders>
                  <w:noWrap w:val="0"/>
                  <w:vAlign w:val="center"/>
                </w:tcPr>
                <w:p w14:paraId="7A60D9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污染源名称</w:t>
                  </w:r>
                </w:p>
              </w:tc>
              <w:tc>
                <w:tcPr>
                  <w:tcW w:w="1591" w:type="dxa"/>
                  <w:tcBorders>
                    <w:tl2br w:val="nil"/>
                    <w:tr2bl w:val="nil"/>
                  </w:tcBorders>
                  <w:noWrap w:val="0"/>
                  <w:vAlign w:val="center"/>
                </w:tcPr>
                <w:p w14:paraId="4EFDA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监测项目</w:t>
                  </w:r>
                </w:p>
              </w:tc>
              <w:tc>
                <w:tcPr>
                  <w:tcW w:w="1075" w:type="dxa"/>
                  <w:tcBorders>
                    <w:tl2br w:val="nil"/>
                    <w:tr2bl w:val="nil"/>
                  </w:tcBorders>
                  <w:noWrap w:val="0"/>
                  <w:vAlign w:val="center"/>
                </w:tcPr>
                <w:p w14:paraId="6CEC6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监测位置</w:t>
                  </w:r>
                </w:p>
              </w:tc>
              <w:tc>
                <w:tcPr>
                  <w:tcW w:w="740" w:type="dxa"/>
                  <w:tcBorders>
                    <w:tl2br w:val="nil"/>
                    <w:tr2bl w:val="nil"/>
                  </w:tcBorders>
                  <w:noWrap w:val="0"/>
                  <w:vAlign w:val="center"/>
                </w:tcPr>
                <w:p w14:paraId="4ABA69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监测点数</w:t>
                  </w:r>
                </w:p>
              </w:tc>
              <w:tc>
                <w:tcPr>
                  <w:tcW w:w="849" w:type="dxa"/>
                  <w:tcBorders>
                    <w:tl2br w:val="nil"/>
                    <w:tr2bl w:val="nil"/>
                  </w:tcBorders>
                  <w:noWrap w:val="0"/>
                  <w:vAlign w:val="center"/>
                </w:tcPr>
                <w:p w14:paraId="775378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w:t>
                  </w:r>
                </w:p>
                <w:p w14:paraId="57B34E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频率</w:t>
                  </w:r>
                </w:p>
              </w:tc>
              <w:tc>
                <w:tcPr>
                  <w:tcW w:w="2897" w:type="dxa"/>
                  <w:tcBorders>
                    <w:tl2br w:val="nil"/>
                    <w:tr2bl w:val="nil"/>
                  </w:tcBorders>
                  <w:noWrap w:val="0"/>
                  <w:vAlign w:val="center"/>
                </w:tcPr>
                <w:p w14:paraId="327B11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执行标准</w:t>
                  </w:r>
                </w:p>
              </w:tc>
            </w:tr>
            <w:tr w14:paraId="5972860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atLeast"/>
                <w:jc w:val="center"/>
              </w:trPr>
              <w:tc>
                <w:tcPr>
                  <w:tcW w:w="1284" w:type="dxa"/>
                  <w:tcBorders>
                    <w:tl2br w:val="nil"/>
                    <w:tr2bl w:val="nil"/>
                  </w:tcBorders>
                  <w:noWrap w:val="0"/>
                  <w:vAlign w:val="center"/>
                </w:tcPr>
                <w:p w14:paraId="6E2BD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lang w:eastAsia="zh-CN"/>
                      <w14:textFill>
                        <w14:solidFill>
                          <w14:schemeClr w14:val="tx1"/>
                        </w14:solidFill>
                      </w14:textFill>
                    </w:rPr>
                    <w:t>锅炉排污水</w:t>
                  </w:r>
                </w:p>
              </w:tc>
              <w:tc>
                <w:tcPr>
                  <w:tcW w:w="1591" w:type="dxa"/>
                  <w:tcBorders>
                    <w:tl2br w:val="nil"/>
                    <w:tr2bl w:val="nil"/>
                  </w:tcBorders>
                  <w:noWrap w:val="0"/>
                  <w:vAlign w:val="center"/>
                </w:tcPr>
                <w:p w14:paraId="4CACD2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流量、pH、</w:t>
                  </w:r>
                  <w:r>
                    <w:rPr>
                      <w:rFonts w:hint="default" w:ascii="Times New Roman" w:hAnsi="Times New Roman" w:cs="Times New Roman"/>
                      <w:color w:val="000000" w:themeColor="text1"/>
                      <w:kern w:val="0"/>
                      <w:sz w:val="21"/>
                      <w:szCs w:val="21"/>
                      <w:lang w:val="en-US" w:eastAsia="zh-CN"/>
                      <w14:textFill>
                        <w14:solidFill>
                          <w14:schemeClr w14:val="tx1"/>
                        </w14:solidFill>
                      </w14:textFill>
                    </w:rPr>
                    <w:t>COD</w:t>
                  </w:r>
                  <w:r>
                    <w:rPr>
                      <w:rFonts w:hint="default" w:ascii="Times New Roman" w:hAnsi="Times New Roman" w:cs="Times New Roman"/>
                      <w:color w:val="000000" w:themeColor="text1"/>
                      <w:kern w:val="0"/>
                      <w:sz w:val="21"/>
                      <w:szCs w:val="21"/>
                      <w14:textFill>
                        <w14:solidFill>
                          <w14:schemeClr w14:val="tx1"/>
                        </w14:solidFill>
                      </w14:textFill>
                    </w:rPr>
                    <w:t>、SS、NH</w:t>
                  </w:r>
                  <w:r>
                    <w:rPr>
                      <w:rFonts w:hint="default" w:ascii="Times New Roman" w:hAnsi="Times New Roman" w:cs="Times New Roman"/>
                      <w:color w:val="000000" w:themeColor="text1"/>
                      <w:kern w:val="0"/>
                      <w:sz w:val="21"/>
                      <w:szCs w:val="21"/>
                      <w:vertAlign w:val="subscript"/>
                      <w14:textFill>
                        <w14:solidFill>
                          <w14:schemeClr w14:val="tx1"/>
                        </w14:solidFill>
                      </w14:textFill>
                    </w:rPr>
                    <w:t>3</w:t>
                  </w:r>
                  <w:r>
                    <w:rPr>
                      <w:rFonts w:hint="default" w:ascii="Times New Roman" w:hAnsi="Times New Roman" w:cs="Times New Roman"/>
                      <w:color w:val="000000" w:themeColor="text1"/>
                      <w:kern w:val="0"/>
                      <w:sz w:val="21"/>
                      <w:szCs w:val="21"/>
                      <w14:textFill>
                        <w14:solidFill>
                          <w14:schemeClr w14:val="tx1"/>
                        </w14:solidFill>
                      </w14:textFill>
                    </w:rPr>
                    <w:t>-N</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eastAsia" w:ascii="Times New Roman" w:hAnsi="Times New Roman" w:cs="Times New Roman"/>
                      <w:color w:val="000000" w:themeColor="text1"/>
                      <w:kern w:val="0"/>
                      <w:sz w:val="21"/>
                      <w:szCs w:val="21"/>
                      <w:lang w:val="en-US" w:eastAsia="zh-CN"/>
                      <w14:textFill>
                        <w14:solidFill>
                          <w14:schemeClr w14:val="tx1"/>
                        </w14:solidFill>
                      </w14:textFill>
                    </w:rPr>
                    <w:t>TDS</w:t>
                  </w:r>
                </w:p>
              </w:tc>
              <w:tc>
                <w:tcPr>
                  <w:tcW w:w="1075" w:type="dxa"/>
                  <w:tcBorders>
                    <w:tl2br w:val="nil"/>
                    <w:tr2bl w:val="nil"/>
                  </w:tcBorders>
                  <w:noWrap w:val="0"/>
                  <w:vAlign w:val="center"/>
                </w:tcPr>
                <w:p w14:paraId="19EDB2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小区废水</w:t>
                  </w:r>
                  <w:r>
                    <w:rPr>
                      <w:rFonts w:hint="default" w:ascii="Times New Roman" w:hAnsi="Times New Roman" w:cs="Times New Roman"/>
                      <w:color w:val="000000" w:themeColor="text1"/>
                      <w:sz w:val="21"/>
                      <w:szCs w:val="21"/>
                      <w14:textFill>
                        <w14:solidFill>
                          <w14:schemeClr w14:val="tx1"/>
                        </w14:solidFill>
                      </w14:textFill>
                    </w:rPr>
                    <w:t>排口</w:t>
                  </w:r>
                </w:p>
              </w:tc>
              <w:tc>
                <w:tcPr>
                  <w:tcW w:w="740" w:type="dxa"/>
                  <w:tcBorders>
                    <w:tl2br w:val="nil"/>
                    <w:tr2bl w:val="nil"/>
                  </w:tcBorders>
                  <w:noWrap w:val="0"/>
                  <w:vAlign w:val="center"/>
                </w:tcPr>
                <w:p w14:paraId="608650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个点</w:t>
                  </w:r>
                </w:p>
              </w:tc>
              <w:tc>
                <w:tcPr>
                  <w:tcW w:w="849" w:type="dxa"/>
                  <w:tcBorders>
                    <w:tl2br w:val="nil"/>
                    <w:tr2bl w:val="nil"/>
                  </w:tcBorders>
                  <w:noWrap w:val="0"/>
                  <w:vAlign w:val="center"/>
                </w:tcPr>
                <w:p w14:paraId="187152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14:textFill>
                        <w14:solidFill>
                          <w14:schemeClr w14:val="tx1"/>
                        </w14:solidFill>
                      </w14:textFill>
                    </w:rPr>
                    <w:t>次</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/年</w:t>
                  </w:r>
                </w:p>
              </w:tc>
              <w:tc>
                <w:tcPr>
                  <w:tcW w:w="2897" w:type="dxa"/>
                  <w:tcBorders>
                    <w:tl2br w:val="nil"/>
                    <w:tr2bl w:val="nil"/>
                  </w:tcBorders>
                  <w:noWrap w:val="0"/>
                  <w:vAlign w:val="center"/>
                </w:tcPr>
                <w:p w14:paraId="3BE195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Style w:val="32"/>
                      <w:rFonts w:hint="eastAsia" w:ascii="Times New Roman" w:hAnsi="Times New Roman" w:eastAsia="宋体" w:cs="Times New Roman"/>
                      <w:color w:val="000000" w:themeColor="text1"/>
                      <w:sz w:val="21"/>
                      <w:szCs w:val="21"/>
                      <w:lang w:val="en-US" w:eastAsia="zh-CN"/>
                      <w14:textFill>
                        <w14:solidFill>
                          <w14:schemeClr w14:val="tx1"/>
                        </w14:solidFill>
                      </w14:textFill>
                    </w:rPr>
                    <w:t>《污水综合排放标准》（GB8978-1996）表4中三级标准及</w:t>
                  </w:r>
                  <w:r>
                    <w:rPr>
                      <w:rStyle w:val="32"/>
                      <w:rFonts w:hint="default" w:ascii="Times New Roman" w:hAnsi="Times New Roman" w:eastAsia="宋体" w:cs="Times New Roman"/>
                      <w:color w:val="000000" w:themeColor="text1"/>
                      <w:sz w:val="21"/>
                      <w:szCs w:val="21"/>
                      <w14:textFill>
                        <w14:solidFill>
                          <w14:schemeClr w14:val="tx1"/>
                        </w14:solidFill>
                      </w14:textFill>
                    </w:rPr>
                    <w:t>《污水排入城镇下水道水质标准》</w:t>
                  </w:r>
                  <w:r>
                    <w:rPr>
                      <w:rStyle w:val="32"/>
                      <w:rFonts w:hint="default" w:ascii="Times New Roman" w:hAnsi="Times New Roman" w:cs="Times New Roman"/>
                      <w:color w:val="000000" w:themeColor="text1"/>
                      <w:sz w:val="21"/>
                      <w:szCs w:val="21"/>
                      <w14:textFill>
                        <w14:solidFill>
                          <w14:schemeClr w14:val="tx1"/>
                        </w14:solidFill>
                      </w14:textFill>
                    </w:rPr>
                    <w:t>（GB/T31962-2015）</w:t>
                  </w:r>
                  <w:r>
                    <w:rPr>
                      <w:rStyle w:val="32"/>
                      <w:rFonts w:hint="eastAsia" w:ascii="Times New Roman" w:hAnsi="Times New Roman" w:cs="Times New Roman"/>
                      <w:color w:val="000000" w:themeColor="text1"/>
                      <w:sz w:val="21"/>
                      <w:szCs w:val="21"/>
                      <w:lang w:val="en-US" w:eastAsia="zh-CN"/>
                      <w14:textFill>
                        <w14:solidFill>
                          <w14:schemeClr w14:val="tx1"/>
                        </w14:solidFill>
                      </w14:textFill>
                    </w:rPr>
                    <w:t>A</w:t>
                  </w:r>
                  <w:r>
                    <w:rPr>
                      <w:rStyle w:val="32"/>
                      <w:rFonts w:hint="default" w:ascii="Times New Roman" w:hAnsi="Times New Roman" w:cs="Times New Roman"/>
                      <w:color w:val="000000" w:themeColor="text1"/>
                      <w:sz w:val="21"/>
                      <w:szCs w:val="21"/>
                      <w14:textFill>
                        <w14:solidFill>
                          <w14:schemeClr w14:val="tx1"/>
                        </w14:solidFill>
                      </w14:textFill>
                    </w:rPr>
                    <w:t>级标准</w:t>
                  </w:r>
                  <w:r>
                    <w:rPr>
                      <w:rStyle w:val="32"/>
                      <w:rFonts w:hint="eastAsia" w:ascii="Times New Roman" w:hAnsi="Times New Roman" w:cs="Times New Roman"/>
                      <w:color w:val="000000" w:themeColor="text1"/>
                      <w:sz w:val="21"/>
                      <w:szCs w:val="21"/>
                      <w:lang w:eastAsia="zh-CN"/>
                      <w14:textFill>
                        <w14:solidFill>
                          <w14:schemeClr w14:val="tx1"/>
                        </w14:solidFill>
                      </w14:textFill>
                    </w:rPr>
                    <w:t>；</w:t>
                  </w:r>
                </w:p>
              </w:tc>
            </w:tr>
          </w:tbl>
          <w:p w14:paraId="4254802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both"/>
              <w:textAlignment w:val="auto"/>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声环境影响分析</w:t>
            </w:r>
          </w:p>
          <w:p w14:paraId="310533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eastAsia" w:ascii="Times New Roman" w:hAnsi="Times New Roman" w:eastAsia="宋体" w:cs="Times New Roman"/>
                <w:b/>
                <w:bCs w:val="0"/>
                <w:snapToGrid/>
                <w:color w:val="000000" w:themeColor="text1"/>
                <w:kern w:val="2"/>
                <w:sz w:val="24"/>
                <w:szCs w:val="24"/>
                <w:lang w:val="en-US" w:eastAsia="zh-CN" w:bidi="ar-SA"/>
                <w14:textFill>
                  <w14:solidFill>
                    <w14:schemeClr w14:val="tx1"/>
                  </w14:solidFill>
                </w14:textFill>
              </w:rPr>
              <w:t>3.1 噪声源强分析</w:t>
            </w:r>
          </w:p>
          <w:p w14:paraId="6A404AA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本项目运营期产生的噪声污染源</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主要包括锅炉燃烧器、配套水泵等设备。本项目主要噪声源统计见下表4-10。</w:t>
            </w:r>
          </w:p>
          <w:p w14:paraId="2090005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10 </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运营期间噪声设备及源强情况一览表    单位dB（A）</w:t>
            </w:r>
          </w:p>
          <w:tbl>
            <w:tblPr>
              <w:tblStyle w:val="27"/>
              <w:tblW w:w="83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282"/>
              <w:gridCol w:w="2096"/>
              <w:gridCol w:w="788"/>
              <w:gridCol w:w="1787"/>
              <w:gridCol w:w="1732"/>
            </w:tblGrid>
            <w:tr w14:paraId="1A171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083CE6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282" w:type="dxa"/>
                  <w:tcBorders>
                    <w:tl2br w:val="nil"/>
                    <w:tr2bl w:val="nil"/>
                  </w:tcBorders>
                  <w:vAlign w:val="center"/>
                </w:tcPr>
                <w:p w14:paraId="374BFC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噪声源</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位置</w:t>
                  </w:r>
                </w:p>
              </w:tc>
              <w:tc>
                <w:tcPr>
                  <w:tcW w:w="2096" w:type="dxa"/>
                  <w:tcBorders>
                    <w:tl2br w:val="nil"/>
                    <w:tr2bl w:val="nil"/>
                  </w:tcBorders>
                  <w:vAlign w:val="center"/>
                </w:tcPr>
                <w:p w14:paraId="67445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噪声源</w:t>
                  </w:r>
                </w:p>
              </w:tc>
              <w:tc>
                <w:tcPr>
                  <w:tcW w:w="788" w:type="dxa"/>
                  <w:tcBorders>
                    <w:tl2br w:val="nil"/>
                    <w:tr2bl w:val="nil"/>
                  </w:tcBorders>
                  <w:vAlign w:val="center"/>
                </w:tcPr>
                <w:p w14:paraId="7AADE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声源源强</w:t>
                  </w:r>
                </w:p>
              </w:tc>
              <w:tc>
                <w:tcPr>
                  <w:tcW w:w="1787" w:type="dxa"/>
                  <w:tcBorders>
                    <w:tl2br w:val="nil"/>
                    <w:tr2bl w:val="nil"/>
                  </w:tcBorders>
                  <w:vAlign w:val="center"/>
                </w:tcPr>
                <w:p w14:paraId="21C16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降噪措施</w:t>
                  </w:r>
                </w:p>
              </w:tc>
              <w:tc>
                <w:tcPr>
                  <w:tcW w:w="1732" w:type="dxa"/>
                  <w:tcBorders>
                    <w:tl2br w:val="nil"/>
                    <w:tr2bl w:val="nil"/>
                  </w:tcBorders>
                  <w:vAlign w:val="center"/>
                </w:tcPr>
                <w:p w14:paraId="595FA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治理后设备间外</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1m</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处噪声值</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dB</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A</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w:t>
                  </w:r>
                </w:p>
              </w:tc>
            </w:tr>
            <w:tr w14:paraId="7B29E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2167AA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282" w:type="dxa"/>
                  <w:vMerge w:val="restart"/>
                  <w:tcBorders>
                    <w:tl2br w:val="nil"/>
                    <w:tr2bl w:val="nil"/>
                  </w:tcBorders>
                  <w:vAlign w:val="center"/>
                </w:tcPr>
                <w:p w14:paraId="3AF7E1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2096" w:type="dxa"/>
                  <w:tcBorders>
                    <w:tl2br w:val="nil"/>
                    <w:tr2bl w:val="nil"/>
                  </w:tcBorders>
                  <w:vAlign w:val="center"/>
                </w:tcPr>
                <w:p w14:paraId="1B4DD2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燃气锅炉</w:t>
                  </w:r>
                </w:p>
              </w:tc>
              <w:tc>
                <w:tcPr>
                  <w:tcW w:w="788" w:type="dxa"/>
                  <w:tcBorders>
                    <w:tl2br w:val="nil"/>
                    <w:tr2bl w:val="nil"/>
                  </w:tcBorders>
                  <w:vAlign w:val="center"/>
                </w:tcPr>
                <w:p w14:paraId="0D7D3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90</w:t>
                  </w:r>
                </w:p>
              </w:tc>
              <w:tc>
                <w:tcPr>
                  <w:tcW w:w="1787" w:type="dxa"/>
                  <w:vMerge w:val="restart"/>
                  <w:tcBorders>
                    <w:tl2br w:val="nil"/>
                    <w:tr2bl w:val="nil"/>
                  </w:tcBorders>
                  <w:vAlign w:val="center"/>
                </w:tcPr>
                <w:p w14:paraId="64375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基础</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+地下隔声</w:t>
                  </w:r>
                </w:p>
              </w:tc>
              <w:tc>
                <w:tcPr>
                  <w:tcW w:w="1732" w:type="dxa"/>
                  <w:tcBorders>
                    <w:tl2br w:val="nil"/>
                    <w:tr2bl w:val="nil"/>
                  </w:tcBorders>
                  <w:vAlign w:val="center"/>
                </w:tcPr>
                <w:p w14:paraId="72736F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70</w:t>
                  </w:r>
                </w:p>
              </w:tc>
            </w:tr>
            <w:tr w14:paraId="30280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82" w:type="dxa"/>
                  <w:tcBorders>
                    <w:tl2br w:val="nil"/>
                    <w:tr2bl w:val="nil"/>
                  </w:tcBorders>
                  <w:vAlign w:val="center"/>
                </w:tcPr>
                <w:p w14:paraId="6C859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282" w:type="dxa"/>
                  <w:vMerge w:val="continue"/>
                  <w:tcBorders>
                    <w:tl2br w:val="nil"/>
                    <w:tr2bl w:val="nil"/>
                  </w:tcBorders>
                  <w:vAlign w:val="center"/>
                </w:tcPr>
                <w:p w14:paraId="63FE1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096" w:type="dxa"/>
                  <w:tcBorders>
                    <w:tl2br w:val="nil"/>
                    <w:tr2bl w:val="nil"/>
                  </w:tcBorders>
                  <w:vAlign w:val="center"/>
                </w:tcPr>
                <w:p w14:paraId="2EBC65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低区系统补水泵</w:t>
                  </w:r>
                </w:p>
              </w:tc>
              <w:tc>
                <w:tcPr>
                  <w:tcW w:w="788" w:type="dxa"/>
                  <w:tcBorders>
                    <w:tl2br w:val="nil"/>
                    <w:tr2bl w:val="nil"/>
                  </w:tcBorders>
                  <w:vAlign w:val="center"/>
                </w:tcPr>
                <w:p w14:paraId="0C5549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85</w:t>
                  </w:r>
                </w:p>
              </w:tc>
              <w:tc>
                <w:tcPr>
                  <w:tcW w:w="1787" w:type="dxa"/>
                  <w:vMerge w:val="continue"/>
                  <w:tcBorders>
                    <w:tl2br w:val="nil"/>
                    <w:tr2bl w:val="nil"/>
                  </w:tcBorders>
                  <w:vAlign w:val="center"/>
                </w:tcPr>
                <w:p w14:paraId="3DB30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732" w:type="dxa"/>
                  <w:tcBorders>
                    <w:tl2br w:val="nil"/>
                    <w:tr2bl w:val="nil"/>
                  </w:tcBorders>
                  <w:vAlign w:val="center"/>
                </w:tcPr>
                <w:p w14:paraId="37C70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r>
            <w:tr w14:paraId="1DF4D1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2D9A0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282" w:type="dxa"/>
                  <w:vMerge w:val="continue"/>
                  <w:tcBorders>
                    <w:tl2br w:val="nil"/>
                    <w:tr2bl w:val="nil"/>
                  </w:tcBorders>
                  <w:vAlign w:val="center"/>
                </w:tcPr>
                <w:p w14:paraId="27EE76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2096" w:type="dxa"/>
                  <w:tcBorders>
                    <w:tl2br w:val="nil"/>
                    <w:tr2bl w:val="nil"/>
                  </w:tcBorders>
                  <w:vAlign w:val="center"/>
                </w:tcPr>
                <w:p w14:paraId="7C6280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高区系统补水泵</w:t>
                  </w:r>
                </w:p>
              </w:tc>
              <w:tc>
                <w:tcPr>
                  <w:tcW w:w="788" w:type="dxa"/>
                  <w:tcBorders>
                    <w:tl2br w:val="nil"/>
                    <w:tr2bl w:val="nil"/>
                  </w:tcBorders>
                  <w:vAlign w:val="center"/>
                </w:tcPr>
                <w:p w14:paraId="612A5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85</w:t>
                  </w:r>
                </w:p>
              </w:tc>
              <w:tc>
                <w:tcPr>
                  <w:tcW w:w="1787" w:type="dxa"/>
                  <w:vMerge w:val="continue"/>
                  <w:tcBorders>
                    <w:tl2br w:val="nil"/>
                    <w:tr2bl w:val="nil"/>
                  </w:tcBorders>
                  <w:vAlign w:val="center"/>
                </w:tcPr>
                <w:p w14:paraId="279577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732" w:type="dxa"/>
                  <w:tcBorders>
                    <w:tl2br w:val="nil"/>
                    <w:tr2bl w:val="nil"/>
                  </w:tcBorders>
                  <w:vAlign w:val="center"/>
                </w:tcPr>
                <w:p w14:paraId="4BD18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65</w:t>
                  </w:r>
                </w:p>
              </w:tc>
            </w:tr>
            <w:tr w14:paraId="2CCD8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0AD00B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p>
              </w:tc>
              <w:tc>
                <w:tcPr>
                  <w:tcW w:w="1282" w:type="dxa"/>
                  <w:vMerge w:val="continue"/>
                  <w:tcBorders>
                    <w:tl2br w:val="nil"/>
                    <w:tr2bl w:val="nil"/>
                  </w:tcBorders>
                  <w:vAlign w:val="center"/>
                </w:tcPr>
                <w:p w14:paraId="33C0D9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2096" w:type="dxa"/>
                  <w:tcBorders>
                    <w:tl2br w:val="nil"/>
                    <w:tr2bl w:val="nil"/>
                  </w:tcBorders>
                  <w:vAlign w:val="center"/>
                </w:tcPr>
                <w:p w14:paraId="636E6F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冷却水循环泵</w:t>
                  </w:r>
                </w:p>
              </w:tc>
              <w:tc>
                <w:tcPr>
                  <w:tcW w:w="788" w:type="dxa"/>
                  <w:tcBorders>
                    <w:tl2br w:val="nil"/>
                    <w:tr2bl w:val="nil"/>
                  </w:tcBorders>
                  <w:vAlign w:val="center"/>
                </w:tcPr>
                <w:p w14:paraId="4F01E1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85</w:t>
                  </w:r>
                </w:p>
              </w:tc>
              <w:tc>
                <w:tcPr>
                  <w:tcW w:w="1787" w:type="dxa"/>
                  <w:vMerge w:val="continue"/>
                  <w:tcBorders>
                    <w:tl2br w:val="nil"/>
                    <w:tr2bl w:val="nil"/>
                  </w:tcBorders>
                  <w:vAlign w:val="center"/>
                </w:tcPr>
                <w:p w14:paraId="621E29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732" w:type="dxa"/>
                  <w:tcBorders>
                    <w:tl2br w:val="nil"/>
                    <w:tr2bl w:val="nil"/>
                  </w:tcBorders>
                  <w:vAlign w:val="center"/>
                </w:tcPr>
                <w:p w14:paraId="003515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r>
            <w:tr w14:paraId="5C940B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6EF0E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1282" w:type="dxa"/>
                  <w:vMerge w:val="continue"/>
                  <w:tcBorders>
                    <w:tl2br w:val="nil"/>
                    <w:tr2bl w:val="nil"/>
                  </w:tcBorders>
                  <w:vAlign w:val="center"/>
                </w:tcPr>
                <w:p w14:paraId="0FC0AD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2096" w:type="dxa"/>
                  <w:tcBorders>
                    <w:tl2br w:val="nil"/>
                    <w:tr2bl w:val="nil"/>
                  </w:tcBorders>
                  <w:vAlign w:val="center"/>
                </w:tcPr>
                <w:p w14:paraId="5E740C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风机</w:t>
                  </w:r>
                </w:p>
              </w:tc>
              <w:tc>
                <w:tcPr>
                  <w:tcW w:w="788" w:type="dxa"/>
                  <w:tcBorders>
                    <w:tl2br w:val="nil"/>
                    <w:tr2bl w:val="nil"/>
                  </w:tcBorders>
                  <w:vAlign w:val="center"/>
                </w:tcPr>
                <w:p w14:paraId="386A2E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90~95</w:t>
                  </w:r>
                </w:p>
              </w:tc>
              <w:tc>
                <w:tcPr>
                  <w:tcW w:w="1787" w:type="dxa"/>
                  <w:vMerge w:val="continue"/>
                  <w:tcBorders>
                    <w:tl2br w:val="nil"/>
                    <w:tr2bl w:val="nil"/>
                  </w:tcBorders>
                  <w:vAlign w:val="center"/>
                </w:tcPr>
                <w:p w14:paraId="14FFAB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732" w:type="dxa"/>
                  <w:tcBorders>
                    <w:tl2br w:val="nil"/>
                    <w:tr2bl w:val="nil"/>
                  </w:tcBorders>
                  <w:vAlign w:val="center"/>
                </w:tcPr>
                <w:p w14:paraId="162EEB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70~75</w:t>
                  </w:r>
                </w:p>
              </w:tc>
            </w:tr>
            <w:tr w14:paraId="6826DC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50DB2F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1282" w:type="dxa"/>
                  <w:vMerge w:val="restart"/>
                  <w:tcBorders>
                    <w:tl2br w:val="nil"/>
                    <w:tr2bl w:val="nil"/>
                  </w:tcBorders>
                  <w:vAlign w:val="center"/>
                </w:tcPr>
                <w:p w14:paraId="708F4B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换热站</w:t>
                  </w:r>
                </w:p>
              </w:tc>
              <w:tc>
                <w:tcPr>
                  <w:tcW w:w="2096" w:type="dxa"/>
                  <w:tcBorders>
                    <w:tl2br w:val="nil"/>
                    <w:tr2bl w:val="nil"/>
                  </w:tcBorders>
                  <w:vAlign w:val="center"/>
                </w:tcPr>
                <w:p w14:paraId="648A45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一次热网循环泵</w:t>
                  </w:r>
                </w:p>
              </w:tc>
              <w:tc>
                <w:tcPr>
                  <w:tcW w:w="788" w:type="dxa"/>
                  <w:tcBorders>
                    <w:tl2br w:val="nil"/>
                    <w:tr2bl w:val="nil"/>
                  </w:tcBorders>
                  <w:vAlign w:val="center"/>
                </w:tcPr>
                <w:p w14:paraId="190A1A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85</w:t>
                  </w:r>
                </w:p>
              </w:tc>
              <w:tc>
                <w:tcPr>
                  <w:tcW w:w="1787" w:type="dxa"/>
                  <w:vMerge w:val="continue"/>
                  <w:tcBorders>
                    <w:tl2br w:val="nil"/>
                    <w:tr2bl w:val="nil"/>
                  </w:tcBorders>
                  <w:vAlign w:val="center"/>
                </w:tcPr>
                <w:p w14:paraId="2DBB1D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732" w:type="dxa"/>
                  <w:tcBorders>
                    <w:tl2br w:val="nil"/>
                    <w:tr2bl w:val="nil"/>
                  </w:tcBorders>
                  <w:vAlign w:val="center"/>
                </w:tcPr>
                <w:p w14:paraId="2C328C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r>
            <w:tr w14:paraId="16750A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134AA8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1282" w:type="dxa"/>
                  <w:vMerge w:val="continue"/>
                  <w:tcBorders>
                    <w:tl2br w:val="nil"/>
                    <w:tr2bl w:val="nil"/>
                  </w:tcBorders>
                  <w:vAlign w:val="center"/>
                </w:tcPr>
                <w:p w14:paraId="692859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2096" w:type="dxa"/>
                  <w:tcBorders>
                    <w:tl2br w:val="nil"/>
                    <w:tr2bl w:val="nil"/>
                  </w:tcBorders>
                  <w:vAlign w:val="center"/>
                </w:tcPr>
                <w:p w14:paraId="0C7E3E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低区循环水泵</w:t>
                  </w:r>
                </w:p>
              </w:tc>
              <w:tc>
                <w:tcPr>
                  <w:tcW w:w="788" w:type="dxa"/>
                  <w:tcBorders>
                    <w:tl2br w:val="nil"/>
                    <w:tr2bl w:val="nil"/>
                  </w:tcBorders>
                  <w:vAlign w:val="center"/>
                </w:tcPr>
                <w:p w14:paraId="77E0C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85</w:t>
                  </w:r>
                </w:p>
              </w:tc>
              <w:tc>
                <w:tcPr>
                  <w:tcW w:w="1787" w:type="dxa"/>
                  <w:vMerge w:val="continue"/>
                  <w:tcBorders>
                    <w:tl2br w:val="nil"/>
                    <w:tr2bl w:val="nil"/>
                  </w:tcBorders>
                  <w:vAlign w:val="center"/>
                </w:tcPr>
                <w:p w14:paraId="30EB8D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732" w:type="dxa"/>
                  <w:tcBorders>
                    <w:tl2br w:val="nil"/>
                    <w:tr2bl w:val="nil"/>
                  </w:tcBorders>
                  <w:vAlign w:val="center"/>
                </w:tcPr>
                <w:p w14:paraId="75DD2B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r>
            <w:tr w14:paraId="0B6A3C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dxa"/>
                  <w:tcBorders>
                    <w:tl2br w:val="nil"/>
                    <w:tr2bl w:val="nil"/>
                  </w:tcBorders>
                  <w:vAlign w:val="center"/>
                </w:tcPr>
                <w:p w14:paraId="4A6177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c>
                <w:tcPr>
                  <w:tcW w:w="1282" w:type="dxa"/>
                  <w:vMerge w:val="continue"/>
                  <w:tcBorders>
                    <w:tl2br w:val="nil"/>
                    <w:tr2bl w:val="nil"/>
                  </w:tcBorders>
                  <w:vAlign w:val="center"/>
                </w:tcPr>
                <w:p w14:paraId="00CB7C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2096" w:type="dxa"/>
                  <w:tcBorders>
                    <w:tl2br w:val="nil"/>
                    <w:tr2bl w:val="nil"/>
                  </w:tcBorders>
                  <w:vAlign w:val="center"/>
                </w:tcPr>
                <w:p w14:paraId="09B472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高区循环水泵</w:t>
                  </w:r>
                </w:p>
              </w:tc>
              <w:tc>
                <w:tcPr>
                  <w:tcW w:w="788" w:type="dxa"/>
                  <w:tcBorders>
                    <w:tl2br w:val="nil"/>
                    <w:tr2bl w:val="nil"/>
                  </w:tcBorders>
                  <w:vAlign w:val="center"/>
                </w:tcPr>
                <w:p w14:paraId="641922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85</w:t>
                  </w:r>
                </w:p>
              </w:tc>
              <w:tc>
                <w:tcPr>
                  <w:tcW w:w="1787" w:type="dxa"/>
                  <w:vMerge w:val="continue"/>
                  <w:tcBorders>
                    <w:tl2br w:val="nil"/>
                    <w:tr2bl w:val="nil"/>
                  </w:tcBorders>
                  <w:vAlign w:val="center"/>
                </w:tcPr>
                <w:p w14:paraId="273EBD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732" w:type="dxa"/>
                  <w:tcBorders>
                    <w:tl2br w:val="nil"/>
                    <w:tr2bl w:val="nil"/>
                  </w:tcBorders>
                  <w:vAlign w:val="center"/>
                </w:tcPr>
                <w:p w14:paraId="0D74BF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r>
          </w:tbl>
          <w:p w14:paraId="795BAAC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cs="Times New Roman" w:eastAsiaTheme="minorEastAsia"/>
                <w:b w:val="0"/>
                <w:bCs w:val="0"/>
                <w:color w:val="000000" w:themeColor="text1"/>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14:textFill>
                  <w14:solidFill>
                    <w14:schemeClr w14:val="tx1"/>
                  </w14:solidFill>
                </w14:textFill>
              </w:rPr>
              <w:t>本项目已</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建成并</w:t>
            </w:r>
            <w:r>
              <w:rPr>
                <w:rFonts w:hint="default" w:ascii="Times New Roman" w:hAnsi="Times New Roman" w:eastAsia="宋体" w:cs="Times New Roman"/>
                <w:color w:val="000000" w:themeColor="text1"/>
                <w:sz w:val="24"/>
                <w:szCs w:val="32"/>
                <w14:textFill>
                  <w14:solidFill>
                    <w14:schemeClr w14:val="tx1"/>
                  </w14:solidFill>
                </w14:textFill>
              </w:rPr>
              <w:t>投入运营，</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本次环评声环境影响分析引用</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秦华热力集团有限公司站点污染源监测--西旅逸都例行监测报告（报告编号：ZZJC-2024-H-01-090，附件5）</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中厂界噪声监测数据进行声环境影响分析评价，</w:t>
            </w:r>
            <w:r>
              <w:rPr>
                <w:rFonts w:hint="default" w:ascii="Times New Roman" w:hAnsi="Times New Roman" w:eastAsia="宋体" w:cs="Times New Roman"/>
                <w:color w:val="000000" w:themeColor="text1"/>
                <w:sz w:val="24"/>
                <w:szCs w:val="32"/>
                <w14:textFill>
                  <w14:solidFill>
                    <w14:schemeClr w14:val="tx1"/>
                  </w14:solidFill>
                </w14:textFill>
              </w:rPr>
              <w:t>声环境监测结果如下表</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32"/>
                <w14:textFill>
                  <w14:solidFill>
                    <w14:schemeClr w14:val="tx1"/>
                  </w14:solidFill>
                </w14:textFill>
              </w:rPr>
              <w:t>所示</w:t>
            </w:r>
            <w:r>
              <w:rPr>
                <w:rFonts w:hint="default" w:ascii="Times New Roman" w:hAnsi="Times New Roman" w:eastAsia="宋体" w:cs="Times New Roman"/>
                <w:color w:val="000000" w:themeColor="text1"/>
                <w:sz w:val="24"/>
                <w:szCs w:val="32"/>
                <w:lang w:eastAsia="zh-CN"/>
                <w14:textFill>
                  <w14:solidFill>
                    <w14:schemeClr w14:val="tx1"/>
                  </w14:solidFill>
                </w14:textFill>
              </w:rPr>
              <w:t>。</w:t>
            </w:r>
          </w:p>
          <w:p w14:paraId="5472EC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4-11</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项目</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厂界噪声实际</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值</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（供暖期）</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单位：dB</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p>
          <w:tbl>
            <w:tblPr>
              <w:tblStyle w:val="26"/>
              <w:tblW w:w="4921" w:type="pct"/>
              <w:jc w:val="center"/>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Layout w:type="fixed"/>
              <w:tblCellMar>
                <w:top w:w="0" w:type="dxa"/>
                <w:left w:w="0" w:type="dxa"/>
                <w:bottom w:w="0" w:type="dxa"/>
                <w:right w:w="0" w:type="dxa"/>
              </w:tblCellMar>
            </w:tblPr>
            <w:tblGrid>
              <w:gridCol w:w="628"/>
              <w:gridCol w:w="1810"/>
              <w:gridCol w:w="1870"/>
              <w:gridCol w:w="1857"/>
              <w:gridCol w:w="1068"/>
              <w:gridCol w:w="1040"/>
            </w:tblGrid>
            <w:tr w14:paraId="2A84BFAD">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69" w:hRule="atLeast"/>
                <w:jc w:val="center"/>
              </w:trPr>
              <w:tc>
                <w:tcPr>
                  <w:tcW w:w="628" w:type="dxa"/>
                  <w:vMerge w:val="restart"/>
                  <w:tcBorders>
                    <w:tl2br w:val="nil"/>
                    <w:tr2bl w:val="nil"/>
                  </w:tcBorders>
                  <w:noWrap w:val="0"/>
                  <w:vAlign w:val="center"/>
                </w:tcPr>
                <w:p w14:paraId="333BF4D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序号</w:t>
                  </w:r>
                </w:p>
              </w:tc>
              <w:tc>
                <w:tcPr>
                  <w:tcW w:w="1810" w:type="dxa"/>
                  <w:vMerge w:val="restart"/>
                  <w:tcBorders>
                    <w:tl2br w:val="nil"/>
                    <w:tr2bl w:val="nil"/>
                  </w:tcBorders>
                  <w:noWrap w:val="0"/>
                  <w:vAlign w:val="center"/>
                </w:tcPr>
                <w:p w14:paraId="5156EB5B">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监测点</w:t>
                  </w:r>
                </w:p>
              </w:tc>
              <w:tc>
                <w:tcPr>
                  <w:tcW w:w="1870" w:type="dxa"/>
                  <w:tcBorders>
                    <w:tl2br w:val="nil"/>
                    <w:tr2bl w:val="nil"/>
                  </w:tcBorders>
                  <w:noWrap w:val="0"/>
                  <w:vAlign w:val="center"/>
                </w:tcPr>
                <w:p w14:paraId="77D8CC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kern w:val="0"/>
                      <w:sz w:val="21"/>
                      <w:szCs w:val="21"/>
                      <w:lang w:val="en-US" w:eastAsia="zh-CN" w:bidi="ar-SA"/>
                      <w14:textFill>
                        <w14:solidFill>
                          <w14:schemeClr w14:val="tx1"/>
                        </w14:solidFill>
                      </w14:textFill>
                    </w:rPr>
                    <w:t>监测日期</w:t>
                  </w:r>
                </w:p>
              </w:tc>
              <w:tc>
                <w:tcPr>
                  <w:tcW w:w="1857" w:type="dxa"/>
                  <w:tcBorders>
                    <w:tl2br w:val="nil"/>
                    <w:tr2bl w:val="nil"/>
                  </w:tcBorders>
                  <w:noWrap w:val="0"/>
                  <w:vAlign w:val="center"/>
                </w:tcPr>
                <w:p w14:paraId="7AD50E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0"/>
                      <w:sz w:val="21"/>
                      <w:szCs w:val="21"/>
                      <w:lang w:val="en-US" w:eastAsia="zh-CN" w:bidi="ar-SA"/>
                      <w14:textFill>
                        <w14:solidFill>
                          <w14:schemeClr w14:val="tx1"/>
                        </w14:solidFill>
                      </w14:textFill>
                    </w:rPr>
                    <w:t>2024年1月30日</w:t>
                  </w:r>
                </w:p>
              </w:tc>
              <w:tc>
                <w:tcPr>
                  <w:tcW w:w="2108" w:type="dxa"/>
                  <w:gridSpan w:val="2"/>
                  <w:tcBorders>
                    <w:tl2br w:val="nil"/>
                    <w:tr2bl w:val="nil"/>
                  </w:tcBorders>
                  <w:noWrap w:val="0"/>
                  <w:vAlign w:val="center"/>
                </w:tcPr>
                <w:p w14:paraId="74522BA0">
                  <w:pPr>
                    <w:pStyle w:val="38"/>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标准值</w:t>
                  </w:r>
                </w:p>
              </w:tc>
            </w:tr>
            <w:tr w14:paraId="6CE93F64">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69" w:hRule="atLeast"/>
                <w:jc w:val="center"/>
              </w:trPr>
              <w:tc>
                <w:tcPr>
                  <w:tcW w:w="628" w:type="dxa"/>
                  <w:vMerge w:val="continue"/>
                  <w:tcBorders>
                    <w:tl2br w:val="nil"/>
                    <w:tr2bl w:val="nil"/>
                  </w:tcBorders>
                  <w:noWrap w:val="0"/>
                  <w:vAlign w:val="center"/>
                </w:tcPr>
                <w:p w14:paraId="3D6C5395">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810" w:type="dxa"/>
                  <w:vMerge w:val="continue"/>
                  <w:tcBorders>
                    <w:tl2br w:val="nil"/>
                    <w:tr2bl w:val="nil"/>
                  </w:tcBorders>
                  <w:noWrap w:val="0"/>
                  <w:vAlign w:val="center"/>
                </w:tcPr>
                <w:p w14:paraId="222F2418">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870" w:type="dxa"/>
                  <w:tcBorders>
                    <w:tl2br w:val="nil"/>
                    <w:tr2bl w:val="nil"/>
                  </w:tcBorders>
                  <w:noWrap w:val="0"/>
                  <w:vAlign w:val="center"/>
                </w:tcPr>
                <w:p w14:paraId="51302C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857" w:type="dxa"/>
                  <w:tcBorders>
                    <w:tl2br w:val="nil"/>
                    <w:tr2bl w:val="nil"/>
                  </w:tcBorders>
                  <w:noWrap w:val="0"/>
                  <w:vAlign w:val="center"/>
                </w:tcPr>
                <w:p w14:paraId="698410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c>
                <w:tcPr>
                  <w:tcW w:w="1068" w:type="dxa"/>
                  <w:tcBorders>
                    <w:tl2br w:val="nil"/>
                    <w:tr2bl w:val="nil"/>
                  </w:tcBorders>
                  <w:noWrap w:val="0"/>
                  <w:vAlign w:val="center"/>
                </w:tcPr>
                <w:p w14:paraId="0579C7F1">
                  <w:pPr>
                    <w:pStyle w:val="38"/>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040" w:type="dxa"/>
                  <w:tcBorders>
                    <w:tl2br w:val="nil"/>
                    <w:tr2bl w:val="nil"/>
                  </w:tcBorders>
                  <w:noWrap w:val="0"/>
                  <w:vAlign w:val="center"/>
                </w:tcPr>
                <w:p w14:paraId="49BBB9AF">
                  <w:pPr>
                    <w:pStyle w:val="38"/>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r>
            <w:tr w14:paraId="4BBBE478">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69" w:hRule="atLeast"/>
                <w:jc w:val="center"/>
              </w:trPr>
              <w:tc>
                <w:tcPr>
                  <w:tcW w:w="628" w:type="dxa"/>
                  <w:tcBorders>
                    <w:tl2br w:val="nil"/>
                    <w:tr2bl w:val="nil"/>
                  </w:tcBorders>
                  <w:noWrap w:val="0"/>
                  <w:vAlign w:val="center"/>
                </w:tcPr>
                <w:p w14:paraId="5A34F557">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1</w:t>
                  </w:r>
                </w:p>
              </w:tc>
              <w:tc>
                <w:tcPr>
                  <w:tcW w:w="1810" w:type="dxa"/>
                  <w:tcBorders>
                    <w:tl2br w:val="nil"/>
                    <w:tr2bl w:val="nil"/>
                  </w:tcBorders>
                  <w:noWrap w:val="0"/>
                  <w:vAlign w:val="center"/>
                </w:tcPr>
                <w:p w14:paraId="4DBA1AE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东厂界</w:t>
                  </w:r>
                </w:p>
              </w:tc>
              <w:tc>
                <w:tcPr>
                  <w:tcW w:w="1870" w:type="dxa"/>
                  <w:tcBorders>
                    <w:tl2br w:val="nil"/>
                    <w:tr2bl w:val="nil"/>
                  </w:tcBorders>
                  <w:noWrap w:val="0"/>
                  <w:vAlign w:val="center"/>
                </w:tcPr>
                <w:p w14:paraId="1CD788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50</w:t>
                  </w:r>
                </w:p>
              </w:tc>
              <w:tc>
                <w:tcPr>
                  <w:tcW w:w="1857" w:type="dxa"/>
                  <w:tcBorders>
                    <w:tl2br w:val="nil"/>
                    <w:tr2bl w:val="nil"/>
                  </w:tcBorders>
                  <w:noWrap w:val="0"/>
                  <w:vAlign w:val="center"/>
                </w:tcPr>
                <w:p w14:paraId="403D3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47</w:t>
                  </w:r>
                </w:p>
              </w:tc>
              <w:tc>
                <w:tcPr>
                  <w:tcW w:w="1068" w:type="dxa"/>
                  <w:vMerge w:val="restart"/>
                  <w:tcBorders>
                    <w:tl2br w:val="nil"/>
                    <w:tr2bl w:val="nil"/>
                  </w:tcBorders>
                  <w:noWrap w:val="0"/>
                  <w:vAlign w:val="center"/>
                </w:tcPr>
                <w:p w14:paraId="703A3FF6">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60</w:t>
                  </w:r>
                </w:p>
              </w:tc>
              <w:tc>
                <w:tcPr>
                  <w:tcW w:w="1040" w:type="dxa"/>
                  <w:vMerge w:val="restart"/>
                  <w:tcBorders>
                    <w:tl2br w:val="nil"/>
                    <w:tr2bl w:val="nil"/>
                  </w:tcBorders>
                  <w:noWrap w:val="0"/>
                  <w:vAlign w:val="center"/>
                </w:tcPr>
                <w:p w14:paraId="1A98FE0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50</w:t>
                  </w:r>
                </w:p>
              </w:tc>
            </w:tr>
            <w:tr w14:paraId="14123698">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69" w:hRule="atLeast"/>
                <w:jc w:val="center"/>
              </w:trPr>
              <w:tc>
                <w:tcPr>
                  <w:tcW w:w="628" w:type="dxa"/>
                  <w:tcBorders>
                    <w:tl2br w:val="nil"/>
                    <w:tr2bl w:val="nil"/>
                  </w:tcBorders>
                  <w:noWrap w:val="0"/>
                  <w:vAlign w:val="center"/>
                </w:tcPr>
                <w:p w14:paraId="2803FE8A">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2</w:t>
                  </w:r>
                </w:p>
              </w:tc>
              <w:tc>
                <w:tcPr>
                  <w:tcW w:w="1810" w:type="dxa"/>
                  <w:tcBorders>
                    <w:tl2br w:val="nil"/>
                    <w:tr2bl w:val="nil"/>
                  </w:tcBorders>
                  <w:noWrap w:val="0"/>
                  <w:vAlign w:val="center"/>
                </w:tcPr>
                <w:p w14:paraId="0B4F053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南厂界</w:t>
                  </w:r>
                </w:p>
              </w:tc>
              <w:tc>
                <w:tcPr>
                  <w:tcW w:w="1870" w:type="dxa"/>
                  <w:tcBorders>
                    <w:tl2br w:val="nil"/>
                    <w:tr2bl w:val="nil"/>
                  </w:tcBorders>
                  <w:noWrap w:val="0"/>
                  <w:vAlign w:val="center"/>
                </w:tcPr>
                <w:p w14:paraId="5BE9A6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54</w:t>
                  </w:r>
                </w:p>
              </w:tc>
              <w:tc>
                <w:tcPr>
                  <w:tcW w:w="1857" w:type="dxa"/>
                  <w:tcBorders>
                    <w:tl2br w:val="nil"/>
                    <w:tr2bl w:val="nil"/>
                  </w:tcBorders>
                  <w:noWrap w:val="0"/>
                  <w:vAlign w:val="center"/>
                </w:tcPr>
                <w:p w14:paraId="0A5C1C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48</w:t>
                  </w:r>
                </w:p>
              </w:tc>
              <w:tc>
                <w:tcPr>
                  <w:tcW w:w="1068" w:type="dxa"/>
                  <w:vMerge w:val="continue"/>
                  <w:tcBorders>
                    <w:tl2br w:val="nil"/>
                    <w:tr2bl w:val="nil"/>
                  </w:tcBorders>
                  <w:noWrap w:val="0"/>
                  <w:vAlign w:val="center"/>
                </w:tcPr>
                <w:p w14:paraId="22AF5FEA">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040" w:type="dxa"/>
                  <w:vMerge w:val="continue"/>
                  <w:tcBorders>
                    <w:tl2br w:val="nil"/>
                    <w:tr2bl w:val="nil"/>
                  </w:tcBorders>
                  <w:noWrap w:val="0"/>
                  <w:vAlign w:val="center"/>
                </w:tcPr>
                <w:p w14:paraId="795452AD">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r w14:paraId="20768259">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69" w:hRule="atLeast"/>
                <w:jc w:val="center"/>
              </w:trPr>
              <w:tc>
                <w:tcPr>
                  <w:tcW w:w="628" w:type="dxa"/>
                  <w:tcBorders>
                    <w:tl2br w:val="nil"/>
                    <w:tr2bl w:val="nil"/>
                  </w:tcBorders>
                  <w:noWrap w:val="0"/>
                  <w:vAlign w:val="center"/>
                </w:tcPr>
                <w:p w14:paraId="32EFB8AE">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3</w:t>
                  </w:r>
                </w:p>
              </w:tc>
              <w:tc>
                <w:tcPr>
                  <w:tcW w:w="1810" w:type="dxa"/>
                  <w:tcBorders>
                    <w:tl2br w:val="nil"/>
                    <w:tr2bl w:val="nil"/>
                  </w:tcBorders>
                  <w:noWrap w:val="0"/>
                  <w:vAlign w:val="center"/>
                </w:tcPr>
                <w:p w14:paraId="3E2E03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西厂界</w:t>
                  </w:r>
                </w:p>
              </w:tc>
              <w:tc>
                <w:tcPr>
                  <w:tcW w:w="1870" w:type="dxa"/>
                  <w:tcBorders>
                    <w:tl2br w:val="nil"/>
                    <w:tr2bl w:val="nil"/>
                  </w:tcBorders>
                  <w:noWrap w:val="0"/>
                  <w:vAlign w:val="center"/>
                </w:tcPr>
                <w:p w14:paraId="67A15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53</w:t>
                  </w:r>
                </w:p>
              </w:tc>
              <w:tc>
                <w:tcPr>
                  <w:tcW w:w="1857" w:type="dxa"/>
                  <w:tcBorders>
                    <w:tl2br w:val="nil"/>
                    <w:tr2bl w:val="nil"/>
                  </w:tcBorders>
                  <w:noWrap w:val="0"/>
                  <w:vAlign w:val="center"/>
                </w:tcPr>
                <w:p w14:paraId="72DFB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48</w:t>
                  </w:r>
                </w:p>
              </w:tc>
              <w:tc>
                <w:tcPr>
                  <w:tcW w:w="1068" w:type="dxa"/>
                  <w:vMerge w:val="continue"/>
                  <w:tcBorders>
                    <w:tl2br w:val="nil"/>
                    <w:tr2bl w:val="nil"/>
                  </w:tcBorders>
                  <w:noWrap w:val="0"/>
                  <w:vAlign w:val="center"/>
                </w:tcPr>
                <w:p w14:paraId="1B31DC9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040" w:type="dxa"/>
                  <w:vMerge w:val="continue"/>
                  <w:tcBorders>
                    <w:tl2br w:val="nil"/>
                    <w:tr2bl w:val="nil"/>
                  </w:tcBorders>
                  <w:noWrap w:val="0"/>
                  <w:vAlign w:val="center"/>
                </w:tcPr>
                <w:p w14:paraId="34701AEB">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r w14:paraId="16561261">
              <w:tblPrEx>
                <w:tblBorders>
                  <w:top w:val="single" w:color="auto" w:sz="12" w:space="0"/>
                  <w:left w:val="single" w:color="auto" w:sz="12" w:space="0"/>
                  <w:bottom w:val="single" w:color="auto" w:sz="12" w:space="0"/>
                  <w:right w:val="single" w:color="auto" w:sz="12" w:space="0"/>
                  <w:insideH w:val="single" w:color="000000" w:sz="4" w:space="0"/>
                  <w:insideV w:val="single" w:color="auto" w:sz="4" w:space="0"/>
                </w:tblBorders>
                <w:tblCellMar>
                  <w:top w:w="0" w:type="dxa"/>
                  <w:left w:w="0" w:type="dxa"/>
                  <w:bottom w:w="0" w:type="dxa"/>
                  <w:right w:w="0" w:type="dxa"/>
                </w:tblCellMar>
              </w:tblPrEx>
              <w:trPr>
                <w:trHeight w:val="369" w:hRule="atLeast"/>
                <w:jc w:val="center"/>
              </w:trPr>
              <w:tc>
                <w:tcPr>
                  <w:tcW w:w="628" w:type="dxa"/>
                  <w:tcBorders>
                    <w:tl2br w:val="nil"/>
                    <w:tr2bl w:val="nil"/>
                  </w:tcBorders>
                  <w:noWrap w:val="0"/>
                  <w:vAlign w:val="center"/>
                </w:tcPr>
                <w:p w14:paraId="45FDEB5D">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4</w:t>
                  </w:r>
                </w:p>
              </w:tc>
              <w:tc>
                <w:tcPr>
                  <w:tcW w:w="1810" w:type="dxa"/>
                  <w:tcBorders>
                    <w:tl2br w:val="nil"/>
                    <w:tr2bl w:val="nil"/>
                  </w:tcBorders>
                  <w:noWrap w:val="0"/>
                  <w:vAlign w:val="center"/>
                </w:tcPr>
                <w:p w14:paraId="6DEB964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北厂界</w:t>
                  </w:r>
                </w:p>
              </w:tc>
              <w:tc>
                <w:tcPr>
                  <w:tcW w:w="1870" w:type="dxa"/>
                  <w:tcBorders>
                    <w:tl2br w:val="nil"/>
                    <w:tr2bl w:val="nil"/>
                  </w:tcBorders>
                  <w:noWrap w:val="0"/>
                  <w:vAlign w:val="center"/>
                </w:tcPr>
                <w:p w14:paraId="62C59C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52</w:t>
                  </w:r>
                </w:p>
              </w:tc>
              <w:tc>
                <w:tcPr>
                  <w:tcW w:w="1857" w:type="dxa"/>
                  <w:tcBorders>
                    <w:tl2br w:val="nil"/>
                    <w:tr2bl w:val="nil"/>
                  </w:tcBorders>
                  <w:noWrap w:val="0"/>
                  <w:vAlign w:val="center"/>
                </w:tcPr>
                <w:p w14:paraId="424051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46</w:t>
                  </w:r>
                </w:p>
              </w:tc>
              <w:tc>
                <w:tcPr>
                  <w:tcW w:w="1068" w:type="dxa"/>
                  <w:vMerge w:val="continue"/>
                  <w:tcBorders>
                    <w:tl2br w:val="nil"/>
                    <w:tr2bl w:val="nil"/>
                  </w:tcBorders>
                  <w:noWrap w:val="0"/>
                  <w:vAlign w:val="center"/>
                </w:tcPr>
                <w:p w14:paraId="109CBAD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040" w:type="dxa"/>
                  <w:vMerge w:val="continue"/>
                  <w:tcBorders>
                    <w:tl2br w:val="nil"/>
                    <w:tr2bl w:val="nil"/>
                  </w:tcBorders>
                  <w:noWrap w:val="0"/>
                  <w:vAlign w:val="center"/>
                </w:tcPr>
                <w:p w14:paraId="18C13429">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bl>
          <w:p w14:paraId="4A6A3A8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cs="Times New Roman" w:eastAsiaTheme="minorEastAsia"/>
                <w:snapToGrid w:val="0"/>
                <w:color w:val="000000" w:themeColor="text1"/>
                <w:spacing w:val="4"/>
                <w:kern w:val="18"/>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32"/>
                <w14:textFill>
                  <w14:solidFill>
                    <w14:schemeClr w14:val="tx1"/>
                  </w14:solidFill>
                </w14:textFill>
              </w:rPr>
              <w:t>根据监测结果可知，项目在运营</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期</w:t>
            </w:r>
            <w:r>
              <w:rPr>
                <w:rFonts w:hint="default" w:ascii="Times New Roman" w:hAnsi="Times New Roman" w:eastAsia="宋体" w:cs="Times New Roman"/>
                <w:color w:val="000000" w:themeColor="text1"/>
                <w:sz w:val="24"/>
                <w:szCs w:val="32"/>
                <w14:textFill>
                  <w14:solidFill>
                    <w14:schemeClr w14:val="tx1"/>
                  </w14:solidFill>
                </w14:textFill>
              </w:rPr>
              <w:t>厂界昼间、夜间噪声值满足《工业企业厂界环境噪声排放标准》（GB12348-2008）2类标准。</w:t>
            </w:r>
          </w:p>
          <w:p w14:paraId="595B50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hint="default"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本项目</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声环境保护目标为锅炉房所在小区，具体保护目标见表4-12。</w:t>
            </w:r>
          </w:p>
          <w:p w14:paraId="14E856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eastAsia" w:ascii="Times New Roman" w:hAnsi="Times New Roman" w:eastAsia="宋体" w:cs="Times New Roman"/>
                <w:b/>
                <w:bCs w:val="0"/>
                <w:color w:val="000000" w:themeColor="text1"/>
                <w:kern w:val="2"/>
                <w:sz w:val="24"/>
                <w:szCs w:val="32"/>
                <w:lang w:val="en-US" w:eastAsia="zh-CN" w:bidi="ar-SA"/>
                <w14:textFill>
                  <w14:solidFill>
                    <w14:schemeClr w14:val="tx1"/>
                  </w14:solidFill>
                </w14:textFill>
              </w:rPr>
            </w:pPr>
            <w:r>
              <w:rPr>
                <w:rFonts w:hint="eastAsia" w:ascii="Times New Roman" w:hAnsi="Times New Roman" w:eastAsia="宋体" w:cs="Times New Roman"/>
                <w:b/>
                <w:bCs w:val="0"/>
                <w:color w:val="000000" w:themeColor="text1"/>
                <w:kern w:val="2"/>
                <w:sz w:val="24"/>
                <w:szCs w:val="32"/>
                <w:lang w:val="en-US" w:eastAsia="zh-CN" w:bidi="ar-SA"/>
                <w14:textFill>
                  <w14:solidFill>
                    <w14:schemeClr w14:val="tx1"/>
                  </w14:solidFill>
                </w14:textFill>
              </w:rPr>
              <w:t>表4-12  本项目锅炉房所在区域声环境保护目标一览表</w:t>
            </w:r>
          </w:p>
          <w:tbl>
            <w:tblPr>
              <w:tblStyle w:val="26"/>
              <w:tblW w:w="492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610"/>
              <w:gridCol w:w="1665"/>
              <w:gridCol w:w="2112"/>
              <w:gridCol w:w="1600"/>
              <w:gridCol w:w="2293"/>
            </w:tblGrid>
            <w:tr w14:paraId="786018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68" w:type="pct"/>
                  <w:tcBorders>
                    <w:tl2br w:val="nil"/>
                    <w:tr2bl w:val="nil"/>
                  </w:tcBorders>
                  <w:noWrap w:val="0"/>
                  <w:vAlign w:val="center"/>
                </w:tcPr>
                <w:p w14:paraId="24CF13A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序号</w:t>
                  </w:r>
                </w:p>
              </w:tc>
              <w:tc>
                <w:tcPr>
                  <w:tcW w:w="1005" w:type="pct"/>
                  <w:tcBorders>
                    <w:tl2br w:val="nil"/>
                    <w:tr2bl w:val="nil"/>
                  </w:tcBorders>
                  <w:noWrap w:val="0"/>
                  <w:vAlign w:val="center"/>
                </w:tcPr>
                <w:p w14:paraId="7F33754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1275" w:type="pct"/>
                  <w:tcBorders>
                    <w:tl2br w:val="nil"/>
                    <w:tr2bl w:val="nil"/>
                  </w:tcBorders>
                  <w:noWrap w:val="0"/>
                  <w:vAlign w:val="center"/>
                </w:tcPr>
                <w:p w14:paraId="7F34E13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966" w:type="pct"/>
                  <w:tcBorders>
                    <w:tl2br w:val="nil"/>
                    <w:tr2bl w:val="nil"/>
                  </w:tcBorders>
                  <w:noWrap w:val="0"/>
                  <w:vAlign w:val="center"/>
                </w:tcPr>
                <w:p w14:paraId="25AA60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w:t>
                  </w:r>
                  <w:r>
                    <w:rPr>
                      <w:rFonts w:hint="eastAsia" w:ascii="Times New Roman" w:hAnsi="Times New Roman" w:cs="Times New Roman"/>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b/>
                      <w:bCs/>
                      <w:color w:val="000000" w:themeColor="text1"/>
                      <w:sz w:val="21"/>
                      <w:szCs w:val="21"/>
                      <w14:textFill>
                        <w14:solidFill>
                          <w14:schemeClr w14:val="tx1"/>
                        </w14:solidFill>
                      </w14:textFill>
                    </w:rPr>
                    <w:t>方位</w:t>
                  </w:r>
                </w:p>
              </w:tc>
              <w:tc>
                <w:tcPr>
                  <w:tcW w:w="1384" w:type="pct"/>
                  <w:tcBorders>
                    <w:tl2br w:val="nil"/>
                    <w:tr2bl w:val="nil"/>
                  </w:tcBorders>
                  <w:noWrap w:val="0"/>
                  <w:vAlign w:val="center"/>
                </w:tcPr>
                <w:p w14:paraId="4B25703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w:t>
                  </w:r>
                  <w:r>
                    <w:rPr>
                      <w:rFonts w:hint="eastAsia" w:ascii="Times New Roman" w:hAnsi="Times New Roman" w:cs="Times New Roman"/>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b/>
                      <w:bCs/>
                      <w:color w:val="000000" w:themeColor="text1"/>
                      <w:sz w:val="21"/>
                      <w:szCs w:val="21"/>
                      <w14:textFill>
                        <w14:solidFill>
                          <w14:schemeClr w14:val="tx1"/>
                        </w14:solidFill>
                      </w14:textFill>
                    </w:rPr>
                    <w:t>最近距离/m</w:t>
                  </w:r>
                </w:p>
              </w:tc>
            </w:tr>
            <w:tr w14:paraId="74FCAF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68" w:type="pct"/>
                  <w:tcBorders>
                    <w:tl2br w:val="nil"/>
                    <w:tr2bl w:val="nil"/>
                  </w:tcBorders>
                  <w:noWrap w:val="0"/>
                  <w:vAlign w:val="center"/>
                </w:tcPr>
                <w:p w14:paraId="7B2E4362">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1</w:t>
                  </w:r>
                </w:p>
              </w:tc>
              <w:tc>
                <w:tcPr>
                  <w:tcW w:w="1005" w:type="pct"/>
                  <w:vMerge w:val="restart"/>
                  <w:tcBorders>
                    <w:tl2br w:val="nil"/>
                    <w:tr2bl w:val="nil"/>
                  </w:tcBorders>
                  <w:noWrap w:val="0"/>
                  <w:vAlign w:val="center"/>
                </w:tcPr>
                <w:p w14:paraId="5D113BA0">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本项目锅炉房</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50m范围内</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声环境</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保护目标</w:t>
                  </w:r>
                </w:p>
              </w:tc>
              <w:tc>
                <w:tcPr>
                  <w:tcW w:w="1275" w:type="pct"/>
                  <w:tcBorders>
                    <w:tl2br w:val="nil"/>
                    <w:tr2bl w:val="nil"/>
                  </w:tcBorders>
                  <w:noWrap w:val="0"/>
                  <w:vAlign w:val="center"/>
                </w:tcPr>
                <w:p w14:paraId="54772C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3#楼</w:t>
                  </w:r>
                </w:p>
              </w:tc>
              <w:tc>
                <w:tcPr>
                  <w:tcW w:w="966" w:type="pct"/>
                  <w:tcBorders>
                    <w:tl2br w:val="nil"/>
                    <w:tr2bl w:val="nil"/>
                  </w:tcBorders>
                  <w:noWrap w:val="0"/>
                  <w:vAlign w:val="center"/>
                </w:tcPr>
                <w:p w14:paraId="65DCAAA1">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SW</w:t>
                  </w:r>
                </w:p>
              </w:tc>
              <w:tc>
                <w:tcPr>
                  <w:tcW w:w="1384" w:type="pct"/>
                  <w:tcBorders>
                    <w:tl2br w:val="nil"/>
                    <w:tr2bl w:val="nil"/>
                  </w:tcBorders>
                  <w:noWrap w:val="0"/>
                  <w:vAlign w:val="center"/>
                </w:tcPr>
                <w:p w14:paraId="2C510532">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20</w:t>
                  </w:r>
                </w:p>
              </w:tc>
            </w:tr>
            <w:tr w14:paraId="62B1EB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68" w:type="pct"/>
                  <w:tcBorders>
                    <w:tl2br w:val="nil"/>
                    <w:tr2bl w:val="nil"/>
                  </w:tcBorders>
                  <w:noWrap w:val="0"/>
                  <w:vAlign w:val="center"/>
                </w:tcPr>
                <w:p w14:paraId="5C6C3C65">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2</w:t>
                  </w:r>
                </w:p>
              </w:tc>
              <w:tc>
                <w:tcPr>
                  <w:tcW w:w="1005" w:type="pct"/>
                  <w:vMerge w:val="continue"/>
                  <w:tcBorders>
                    <w:tl2br w:val="nil"/>
                    <w:tr2bl w:val="nil"/>
                  </w:tcBorders>
                  <w:noWrap w:val="0"/>
                  <w:vAlign w:val="center"/>
                </w:tcPr>
                <w:p w14:paraId="6173DFEB">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275" w:type="pct"/>
                  <w:tcBorders>
                    <w:tl2br w:val="nil"/>
                    <w:tr2bl w:val="nil"/>
                  </w:tcBorders>
                  <w:noWrap w:val="0"/>
                  <w:vAlign w:val="center"/>
                </w:tcPr>
                <w:p w14:paraId="172D42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4#楼</w:t>
                  </w:r>
                </w:p>
              </w:tc>
              <w:tc>
                <w:tcPr>
                  <w:tcW w:w="966" w:type="pct"/>
                  <w:tcBorders>
                    <w:tl2br w:val="nil"/>
                    <w:tr2bl w:val="nil"/>
                  </w:tcBorders>
                  <w:noWrap w:val="0"/>
                  <w:vAlign w:val="center"/>
                </w:tcPr>
                <w:p w14:paraId="02C0A728">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eastAsia" w:ascii="Times New Roman"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W</w:t>
                  </w:r>
                </w:p>
              </w:tc>
              <w:tc>
                <w:tcPr>
                  <w:tcW w:w="1384" w:type="pct"/>
                  <w:tcBorders>
                    <w:tl2br w:val="nil"/>
                    <w:tr2bl w:val="nil"/>
                  </w:tcBorders>
                  <w:noWrap w:val="0"/>
                  <w:vAlign w:val="center"/>
                </w:tcPr>
                <w:p w14:paraId="3F822C5B">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15</w:t>
                  </w:r>
                </w:p>
              </w:tc>
            </w:tr>
            <w:tr w14:paraId="7D891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68" w:type="pct"/>
                  <w:tcBorders>
                    <w:tl2br w:val="nil"/>
                    <w:tr2bl w:val="nil"/>
                  </w:tcBorders>
                  <w:noWrap w:val="0"/>
                  <w:vAlign w:val="center"/>
                </w:tcPr>
                <w:p w14:paraId="4C7E21C1">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3</w:t>
                  </w:r>
                </w:p>
              </w:tc>
              <w:tc>
                <w:tcPr>
                  <w:tcW w:w="1005" w:type="pct"/>
                  <w:vMerge w:val="continue"/>
                  <w:tcBorders>
                    <w:tl2br w:val="nil"/>
                    <w:tr2bl w:val="nil"/>
                  </w:tcBorders>
                  <w:noWrap w:val="0"/>
                  <w:vAlign w:val="center"/>
                </w:tcPr>
                <w:p w14:paraId="3161FD6B">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275" w:type="pct"/>
                  <w:tcBorders>
                    <w:tl2br w:val="nil"/>
                    <w:tr2bl w:val="nil"/>
                  </w:tcBorders>
                  <w:noWrap w:val="0"/>
                  <w:vAlign w:val="center"/>
                </w:tcPr>
                <w:p w14:paraId="2B4F04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5#楼</w:t>
                  </w:r>
                </w:p>
              </w:tc>
              <w:tc>
                <w:tcPr>
                  <w:tcW w:w="966" w:type="pct"/>
                  <w:tcBorders>
                    <w:tl2br w:val="nil"/>
                    <w:tr2bl w:val="nil"/>
                  </w:tcBorders>
                  <w:noWrap w:val="0"/>
                  <w:vAlign w:val="center"/>
                </w:tcPr>
                <w:p w14:paraId="5E1015AD">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eastAsia" w:ascii="Times New Roman"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E</w:t>
                  </w:r>
                </w:p>
              </w:tc>
              <w:tc>
                <w:tcPr>
                  <w:tcW w:w="1384" w:type="pct"/>
                  <w:tcBorders>
                    <w:tl2br w:val="nil"/>
                    <w:tr2bl w:val="nil"/>
                  </w:tcBorders>
                  <w:noWrap w:val="0"/>
                  <w:vAlign w:val="center"/>
                </w:tcPr>
                <w:p w14:paraId="2D03EB72">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15</w:t>
                  </w:r>
                </w:p>
              </w:tc>
            </w:tr>
            <w:tr w14:paraId="43BC95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68" w:type="pct"/>
                  <w:tcBorders>
                    <w:tl2br w:val="nil"/>
                    <w:tr2bl w:val="nil"/>
                  </w:tcBorders>
                  <w:noWrap w:val="0"/>
                  <w:vAlign w:val="center"/>
                </w:tcPr>
                <w:p w14:paraId="6DBD2259">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4</w:t>
                  </w:r>
                </w:p>
              </w:tc>
              <w:tc>
                <w:tcPr>
                  <w:tcW w:w="1005" w:type="pct"/>
                  <w:vMerge w:val="continue"/>
                  <w:tcBorders>
                    <w:tl2br w:val="nil"/>
                    <w:tr2bl w:val="nil"/>
                  </w:tcBorders>
                  <w:noWrap w:val="0"/>
                  <w:vAlign w:val="center"/>
                </w:tcPr>
                <w:p w14:paraId="66D52465">
                  <w:pPr>
                    <w:pStyle w:val="79"/>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275" w:type="pct"/>
                  <w:tcBorders>
                    <w:tl2br w:val="nil"/>
                    <w:tr2bl w:val="nil"/>
                  </w:tcBorders>
                  <w:noWrap w:val="0"/>
                  <w:vAlign w:val="center"/>
                </w:tcPr>
                <w:p w14:paraId="0FD65C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车刘村小区</w:t>
                  </w:r>
                </w:p>
              </w:tc>
              <w:tc>
                <w:tcPr>
                  <w:tcW w:w="966" w:type="pct"/>
                  <w:tcBorders>
                    <w:tl2br w:val="nil"/>
                    <w:tr2bl w:val="nil"/>
                  </w:tcBorders>
                  <w:noWrap w:val="0"/>
                  <w:vAlign w:val="center"/>
                </w:tcPr>
                <w:p w14:paraId="6333589E">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S</w:t>
                  </w:r>
                </w:p>
              </w:tc>
              <w:tc>
                <w:tcPr>
                  <w:tcW w:w="1384" w:type="pct"/>
                  <w:tcBorders>
                    <w:tl2br w:val="nil"/>
                    <w:tr2bl w:val="nil"/>
                  </w:tcBorders>
                  <w:noWrap w:val="0"/>
                  <w:vAlign w:val="center"/>
                </w:tcPr>
                <w:p w14:paraId="0C1E8FD5">
                  <w:pPr>
                    <w:pStyle w:val="37"/>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49</w:t>
                  </w:r>
                </w:p>
              </w:tc>
            </w:tr>
          </w:tbl>
          <w:p w14:paraId="4FEDC0F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both"/>
              <w:textAlignment w:val="auto"/>
              <w:rPr>
                <w:rFonts w:hint="eastAsia" w:ascii="Times New Roman" w:hAnsi="Times New Roman" w:eastAsia="宋体" w:cs="Times New Roman"/>
                <w:b/>
                <w:bCs w:val="0"/>
                <w:snapToGrid/>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val="0"/>
                <w:snapToGrid/>
                <w:color w:val="000000" w:themeColor="text1"/>
                <w:kern w:val="2"/>
                <w:sz w:val="24"/>
                <w:szCs w:val="24"/>
                <w:lang w:val="en-US" w:eastAsia="zh-CN" w:bidi="ar-SA"/>
                <w14:textFill>
                  <w14:solidFill>
                    <w14:schemeClr w14:val="tx1"/>
                  </w14:solidFill>
                </w14:textFill>
              </w:rPr>
              <w:t>3.2 达标分析</w:t>
            </w:r>
          </w:p>
          <w:p w14:paraId="621B552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根据《环境影响评价技术导则 声环境》（HJ2.4-20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）的要求，采用如下模式进行噪声影响预测：</w:t>
            </w:r>
          </w:p>
          <w:p w14:paraId="62E6D0BF">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（1）预测条件假设</w:t>
            </w:r>
          </w:p>
          <w:p w14:paraId="1C8660F2">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①所有产噪设备均在正常工况条件下运行；</w:t>
            </w:r>
          </w:p>
          <w:p w14:paraId="01836B0C">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②室内噪声源考虑声源所在厂房围护结构的隔声作用，转化为室外声源预测；</w:t>
            </w:r>
          </w:p>
          <w:p w14:paraId="764B44ED">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③为便于预测计算，将生产车间各噪声源概化叠加作为源强；</w:t>
            </w:r>
          </w:p>
          <w:p w14:paraId="79781201">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④考虑声源至预测点的距离衰减，忽略传播中建筑物的阻挡、地面反射以及空气吸收、雨、雪、温度等影响。</w:t>
            </w:r>
          </w:p>
          <w:p w14:paraId="2D75D0CB">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（2）预测模式选取</w:t>
            </w:r>
          </w:p>
          <w:p w14:paraId="0E4B58AC">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①室外声源：</w:t>
            </w:r>
          </w:p>
          <w:p w14:paraId="72EF8724">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室外点声源对预测点的噪声声压级影响值（dB(A)）为：</w:t>
            </w:r>
          </w:p>
          <w:p w14:paraId="04CAC678">
            <w:pPr>
              <w:keepNext w:val="0"/>
              <w:keepLines w:val="0"/>
              <w:suppressLineNumbers w:val="0"/>
              <w:bidi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1324610" cy="321310"/>
                  <wp:effectExtent l="0" t="0" r="8890" b="2540"/>
                  <wp:docPr id="6" name="IM 12"/>
                  <wp:cNvGraphicFramePr/>
                  <a:graphic xmlns:a="http://schemas.openxmlformats.org/drawingml/2006/main">
                    <a:graphicData uri="http://schemas.openxmlformats.org/drawingml/2006/picture">
                      <pic:pic xmlns:pic="http://schemas.openxmlformats.org/drawingml/2006/picture">
                        <pic:nvPicPr>
                          <pic:cNvPr id="6" name="IM 12"/>
                          <pic:cNvPicPr/>
                        </pic:nvPicPr>
                        <pic:blipFill>
                          <a:blip r:embed="rId9"/>
                          <a:stretch>
                            <a:fillRect/>
                          </a:stretch>
                        </pic:blipFill>
                        <pic:spPr>
                          <a:xfrm>
                            <a:off x="0" y="0"/>
                            <a:ext cx="1324978" cy="321530"/>
                          </a:xfrm>
                          <a:prstGeom prst="rect">
                            <a:avLst/>
                          </a:prstGeom>
                        </pic:spPr>
                      </pic:pic>
                    </a:graphicData>
                  </a:graphic>
                </wp:inline>
              </w:drawing>
            </w:r>
          </w:p>
          <w:p w14:paraId="7B428E30">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式中：</w:t>
            </w:r>
          </w:p>
          <w:p w14:paraId="69A73A4B">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r</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为预测点的声压级（dB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149CA5D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LP0为点声源在r0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距离处测定的声压级（dB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59B26587">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r为点声源距预测点的距离</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2312E19">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②室内声源：</w:t>
            </w:r>
          </w:p>
          <w:p w14:paraId="395F65E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对于室内声源，可按下式计算：</w:t>
            </w:r>
          </w:p>
          <w:p w14:paraId="6CFC4542">
            <w:pPr>
              <w:keepNext w:val="0"/>
              <w:keepLines w:val="0"/>
              <w:suppressLineNumbers w:val="0"/>
              <w:bidi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2378710" cy="357505"/>
                  <wp:effectExtent l="0" t="0" r="2540" b="4445"/>
                  <wp:docPr id="7" name="IM 14"/>
                  <wp:cNvGraphicFramePr/>
                  <a:graphic xmlns:a="http://schemas.openxmlformats.org/drawingml/2006/main">
                    <a:graphicData uri="http://schemas.openxmlformats.org/drawingml/2006/picture">
                      <pic:pic xmlns:pic="http://schemas.openxmlformats.org/drawingml/2006/picture">
                        <pic:nvPicPr>
                          <pic:cNvPr id="7" name="IM 14"/>
                          <pic:cNvPicPr/>
                        </pic:nvPicPr>
                        <pic:blipFill>
                          <a:blip r:embed="rId10"/>
                          <a:stretch>
                            <a:fillRect/>
                          </a:stretch>
                        </pic:blipFill>
                        <pic:spPr>
                          <a:xfrm>
                            <a:off x="0" y="0"/>
                            <a:ext cx="2378875" cy="357880"/>
                          </a:xfrm>
                          <a:prstGeom prst="rect">
                            <a:avLst/>
                          </a:prstGeom>
                        </pic:spPr>
                      </pic:pic>
                    </a:graphicData>
                  </a:graphic>
                </wp:inline>
              </w:drawing>
            </w:r>
          </w:p>
          <w:p w14:paraId="075C2D53">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式中：</w:t>
            </w:r>
          </w:p>
          <w:p w14:paraId="4FD63930">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r</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为预测点的声压级（dB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7B70AC42">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LP0为点声源在r0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距离处测定的声压级（dB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5B4AC23">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TL为围护结构的平均隔声量，一般车间墙、窗组合结构取TL=25dB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，如果采用双层玻璃窗或通风隔声窗，TL=30dB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；本项目TL取25dB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F3F60C5">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α为吸声系数；对一般机械车间，取0.15。</w:t>
            </w:r>
          </w:p>
          <w:p w14:paraId="4A7E448C">
            <w:pPr>
              <w:keepNext w:val="0"/>
              <w:keepLines w:val="0"/>
              <w:numPr>
                <w:ilvl w:val="0"/>
                <w:numId w:val="0"/>
              </w:numPr>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③对预测点多源声影响及背景噪声的叠加：</w:t>
            </w:r>
          </w:p>
          <w:p w14:paraId="54128E2A">
            <w:pPr>
              <w:keepNext w:val="0"/>
              <w:keepLines w:val="0"/>
              <w:numPr>
                <w:ilvl w:val="0"/>
                <w:numId w:val="0"/>
              </w:numPr>
              <w:suppressLineNumbers w:val="0"/>
              <w:bidi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347345" cy="198120"/>
                  <wp:effectExtent l="0" t="0" r="14605" b="12700"/>
                  <wp:docPr id="8" name="IM 16"/>
                  <wp:cNvGraphicFramePr/>
                  <a:graphic xmlns:a="http://schemas.openxmlformats.org/drawingml/2006/main">
                    <a:graphicData uri="http://schemas.openxmlformats.org/drawingml/2006/picture">
                      <pic:pic xmlns:pic="http://schemas.openxmlformats.org/drawingml/2006/picture">
                        <pic:nvPicPr>
                          <pic:cNvPr id="8" name="IM 16"/>
                          <pic:cNvPicPr/>
                        </pic:nvPicPr>
                        <pic:blipFill>
                          <a:blip r:embed="rId11"/>
                          <a:stretch>
                            <a:fillRect/>
                          </a:stretch>
                        </pic:blipFill>
                        <pic:spPr>
                          <a:xfrm>
                            <a:off x="0" y="0"/>
                            <a:ext cx="347962" cy="198349"/>
                          </a:xfrm>
                          <a:prstGeom prst="rect">
                            <a:avLst/>
                          </a:prstGeom>
                        </pic:spPr>
                      </pic:pic>
                    </a:graphicData>
                  </a:graphic>
                </wp:inline>
              </w:drawing>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10lg</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1033780" cy="474980"/>
                  <wp:effectExtent l="0" t="0" r="13970" b="1270"/>
                  <wp:docPr id="9" name="IM 18"/>
                  <wp:cNvGraphicFramePr/>
                  <a:graphic xmlns:a="http://schemas.openxmlformats.org/drawingml/2006/main">
                    <a:graphicData uri="http://schemas.openxmlformats.org/drawingml/2006/picture">
                      <pic:pic xmlns:pic="http://schemas.openxmlformats.org/drawingml/2006/picture">
                        <pic:nvPicPr>
                          <pic:cNvPr id="9" name="IM 18"/>
                          <pic:cNvPicPr/>
                        </pic:nvPicPr>
                        <pic:blipFill>
                          <a:blip r:embed="rId12"/>
                          <a:stretch>
                            <a:fillRect/>
                          </a:stretch>
                        </pic:blipFill>
                        <pic:spPr>
                          <a:xfrm>
                            <a:off x="0" y="0"/>
                            <a:ext cx="1034397" cy="475315"/>
                          </a:xfrm>
                          <a:prstGeom prst="rect">
                            <a:avLst/>
                          </a:prstGeom>
                        </pic:spPr>
                      </pic:pic>
                    </a:graphicData>
                  </a:graphic>
                </wp:inline>
              </w:drawing>
            </w:r>
          </w:p>
          <w:p w14:paraId="5D2BD4FA">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式中：</w:t>
            </w:r>
          </w:p>
          <w:p w14:paraId="0F6D2A71">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N为声源个数；</w:t>
            </w:r>
          </w:p>
          <w:p w14:paraId="5847AF17">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L0为预测点的噪声背景值（dB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5547A56D">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r</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为预测点的噪声声压级（dB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）预测值。</w:t>
            </w:r>
          </w:p>
          <w:p w14:paraId="5F13E85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本项目厂界噪声预测结果见表4-1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4A7A5EB8">
            <w:pPr>
              <w:keepNext w:val="0"/>
              <w:keepLines w:val="0"/>
              <w:suppressLineNumbers w:val="0"/>
              <w:bidi w:val="0"/>
              <w:spacing w:before="0" w:beforeAutospacing="0" w:after="0" w:afterAutospacing="0" w:line="240" w:lineRule="auto"/>
              <w:ind w:left="0" w:right="0" w:firstLine="482" w:firstLineChars="200"/>
              <w:jc w:val="cente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表</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-1</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敏感点</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噪声预测结果</w:t>
            </w:r>
          </w:p>
          <w:p w14:paraId="73EFC7F9">
            <w:pPr>
              <w:keepNext w:val="0"/>
              <w:keepLines w:val="0"/>
              <w:suppressLineNumbers w:val="0"/>
              <w:spacing w:before="0" w:beforeAutospacing="0" w:after="0" w:afterAutospacing="0" w:line="26" w:lineRule="exact"/>
              <w:ind w:left="0" w:right="0"/>
              <w:rPr>
                <w:color w:val="000000" w:themeColor="text1"/>
                <w14:textFill>
                  <w14:solidFill>
                    <w14:schemeClr w14:val="tx1"/>
                  </w14:solidFill>
                </w14:textFill>
              </w:rPr>
            </w:pPr>
          </w:p>
          <w:tbl>
            <w:tblPr>
              <w:tblStyle w:val="80"/>
              <w:tblW w:w="826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033"/>
              <w:gridCol w:w="1385"/>
              <w:gridCol w:w="976"/>
              <w:gridCol w:w="1250"/>
              <w:gridCol w:w="1312"/>
              <w:gridCol w:w="1000"/>
              <w:gridCol w:w="1313"/>
            </w:tblGrid>
            <w:tr w14:paraId="36194D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033" w:type="dxa"/>
                  <w:vMerge w:val="restart"/>
                  <w:tcBorders>
                    <w:tl2br w:val="nil"/>
                    <w:tr2bl w:val="nil"/>
                  </w:tcBorders>
                  <w:vAlign w:val="center"/>
                </w:tcPr>
                <w:p w14:paraId="161D17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厂界</w:t>
                  </w:r>
                </w:p>
              </w:tc>
              <w:tc>
                <w:tcPr>
                  <w:tcW w:w="3611" w:type="dxa"/>
                  <w:gridSpan w:val="3"/>
                  <w:tcBorders>
                    <w:tl2br w:val="nil"/>
                    <w:tr2bl w:val="nil"/>
                  </w:tcBorders>
                  <w:vAlign w:val="center"/>
                </w:tcPr>
                <w:p w14:paraId="51C0BA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昼间</w:t>
                  </w:r>
                </w:p>
              </w:tc>
              <w:tc>
                <w:tcPr>
                  <w:tcW w:w="3625" w:type="dxa"/>
                  <w:gridSpan w:val="3"/>
                  <w:tcBorders>
                    <w:tl2br w:val="nil"/>
                    <w:tr2bl w:val="nil"/>
                  </w:tcBorders>
                  <w:vAlign w:val="center"/>
                </w:tcPr>
                <w:p w14:paraId="36EC88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夜间</w:t>
                  </w:r>
                </w:p>
              </w:tc>
            </w:tr>
            <w:tr w14:paraId="20781D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033" w:type="dxa"/>
                  <w:vMerge w:val="continue"/>
                  <w:tcBorders>
                    <w:tl2br w:val="nil"/>
                    <w:tr2bl w:val="nil"/>
                  </w:tcBorders>
                  <w:vAlign w:val="center"/>
                </w:tcPr>
                <w:p w14:paraId="601574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p>
              </w:tc>
              <w:tc>
                <w:tcPr>
                  <w:tcW w:w="1385" w:type="dxa"/>
                  <w:tcBorders>
                    <w:tl2br w:val="nil"/>
                    <w:tr2bl w:val="nil"/>
                  </w:tcBorders>
                  <w:vAlign w:val="center"/>
                </w:tcPr>
                <w:p w14:paraId="465793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贡献值</w:t>
                  </w:r>
                </w:p>
              </w:tc>
              <w:tc>
                <w:tcPr>
                  <w:tcW w:w="976" w:type="dxa"/>
                  <w:tcBorders>
                    <w:tl2br w:val="nil"/>
                    <w:tr2bl w:val="nil"/>
                  </w:tcBorders>
                  <w:vAlign w:val="center"/>
                </w:tcPr>
                <w:p w14:paraId="6D2793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标准</w:t>
                  </w:r>
                </w:p>
              </w:tc>
              <w:tc>
                <w:tcPr>
                  <w:tcW w:w="1250" w:type="dxa"/>
                  <w:tcBorders>
                    <w:tl2br w:val="nil"/>
                    <w:tr2bl w:val="nil"/>
                  </w:tcBorders>
                  <w:vAlign w:val="center"/>
                </w:tcPr>
                <w:p w14:paraId="44D8692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达标情况</w:t>
                  </w:r>
                </w:p>
              </w:tc>
              <w:tc>
                <w:tcPr>
                  <w:tcW w:w="1312" w:type="dxa"/>
                  <w:tcBorders>
                    <w:tl2br w:val="nil"/>
                    <w:tr2bl w:val="nil"/>
                  </w:tcBorders>
                  <w:vAlign w:val="center"/>
                </w:tcPr>
                <w:p w14:paraId="57E64D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贡献值</w:t>
                  </w:r>
                </w:p>
              </w:tc>
              <w:tc>
                <w:tcPr>
                  <w:tcW w:w="1000" w:type="dxa"/>
                  <w:tcBorders>
                    <w:tl2br w:val="nil"/>
                    <w:tr2bl w:val="nil"/>
                  </w:tcBorders>
                  <w:vAlign w:val="center"/>
                </w:tcPr>
                <w:p w14:paraId="15A560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标准</w:t>
                  </w:r>
                </w:p>
              </w:tc>
              <w:tc>
                <w:tcPr>
                  <w:tcW w:w="1313" w:type="dxa"/>
                  <w:tcBorders>
                    <w:tl2br w:val="nil"/>
                    <w:tr2bl w:val="nil"/>
                  </w:tcBorders>
                  <w:vAlign w:val="center"/>
                </w:tcPr>
                <w:p w14:paraId="2AD6F5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themeColor="text1"/>
                      <w:sz w:val="21"/>
                      <w:szCs w:val="21"/>
                      <w14:textFill>
                        <w14:solidFill>
                          <w14:schemeClr w14:val="tx1"/>
                        </w14:solidFill>
                      </w14:textFill>
                    </w:rPr>
                  </w:pPr>
                  <w:r>
                    <w:rPr>
                      <w:rFonts w:hint="default" w:ascii="Times New Roman" w:hAnsi="Times New Roman" w:eastAsia="宋体" w:cs="Times New Roman"/>
                      <w:b/>
                      <w:bCs/>
                      <w:snapToGrid w:val="0"/>
                      <w:color w:val="000000" w:themeColor="text1"/>
                      <w:sz w:val="21"/>
                      <w:szCs w:val="21"/>
                      <w14:textFill>
                        <w14:solidFill>
                          <w14:schemeClr w14:val="tx1"/>
                        </w14:solidFill>
                      </w14:textFill>
                    </w:rPr>
                    <w:t>达标情况</w:t>
                  </w:r>
                </w:p>
              </w:tc>
            </w:tr>
            <w:tr w14:paraId="4078E7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033" w:type="dxa"/>
                  <w:tcBorders>
                    <w:tl2br w:val="nil"/>
                    <w:tr2bl w:val="nil"/>
                  </w:tcBorders>
                  <w:vAlign w:val="center"/>
                </w:tcPr>
                <w:p w14:paraId="5B0D3E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东厂界</w:t>
                  </w:r>
                </w:p>
              </w:tc>
              <w:tc>
                <w:tcPr>
                  <w:tcW w:w="1385" w:type="dxa"/>
                  <w:tcBorders>
                    <w:tl2br w:val="nil"/>
                    <w:tr2bl w:val="nil"/>
                  </w:tcBorders>
                  <w:vAlign w:val="center"/>
                </w:tcPr>
                <w:p w14:paraId="4151E85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42</w:t>
                  </w:r>
                </w:p>
              </w:tc>
              <w:tc>
                <w:tcPr>
                  <w:tcW w:w="976" w:type="dxa"/>
                  <w:vMerge w:val="restart"/>
                  <w:tcBorders>
                    <w:tl2br w:val="nil"/>
                    <w:tr2bl w:val="nil"/>
                  </w:tcBorders>
                  <w:vAlign w:val="center"/>
                </w:tcPr>
                <w:p w14:paraId="1BC943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60</w:t>
                  </w:r>
                </w:p>
              </w:tc>
              <w:tc>
                <w:tcPr>
                  <w:tcW w:w="1250" w:type="dxa"/>
                  <w:tcBorders>
                    <w:tl2br w:val="nil"/>
                    <w:tr2bl w:val="nil"/>
                  </w:tcBorders>
                  <w:vAlign w:val="center"/>
                </w:tcPr>
                <w:p w14:paraId="11E7BD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c>
                <w:tcPr>
                  <w:tcW w:w="1312" w:type="dxa"/>
                  <w:tcBorders>
                    <w:tl2br w:val="nil"/>
                    <w:tr2bl w:val="nil"/>
                  </w:tcBorders>
                  <w:vAlign w:val="center"/>
                </w:tcPr>
                <w:p w14:paraId="290520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42</w:t>
                  </w:r>
                </w:p>
              </w:tc>
              <w:tc>
                <w:tcPr>
                  <w:tcW w:w="1000" w:type="dxa"/>
                  <w:vMerge w:val="restart"/>
                  <w:tcBorders>
                    <w:tl2br w:val="nil"/>
                    <w:tr2bl w:val="nil"/>
                  </w:tcBorders>
                  <w:vAlign w:val="center"/>
                </w:tcPr>
                <w:p w14:paraId="1CA72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50</w:t>
                  </w:r>
                </w:p>
              </w:tc>
              <w:tc>
                <w:tcPr>
                  <w:tcW w:w="1313" w:type="dxa"/>
                  <w:tcBorders>
                    <w:tl2br w:val="nil"/>
                    <w:tr2bl w:val="nil"/>
                  </w:tcBorders>
                  <w:vAlign w:val="center"/>
                </w:tcPr>
                <w:p w14:paraId="3976BB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r>
            <w:tr w14:paraId="25393B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033" w:type="dxa"/>
                  <w:tcBorders>
                    <w:tl2br w:val="nil"/>
                    <w:tr2bl w:val="nil"/>
                  </w:tcBorders>
                  <w:vAlign w:val="center"/>
                </w:tcPr>
                <w:p w14:paraId="00B8FB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南厂界</w:t>
                  </w:r>
                </w:p>
              </w:tc>
              <w:tc>
                <w:tcPr>
                  <w:tcW w:w="1385" w:type="dxa"/>
                  <w:tcBorders>
                    <w:tl2br w:val="nil"/>
                    <w:tr2bl w:val="nil"/>
                  </w:tcBorders>
                  <w:vAlign w:val="center"/>
                </w:tcPr>
                <w:p w14:paraId="424858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41</w:t>
                  </w:r>
                </w:p>
              </w:tc>
              <w:tc>
                <w:tcPr>
                  <w:tcW w:w="976" w:type="dxa"/>
                  <w:vMerge w:val="continue"/>
                  <w:tcBorders>
                    <w:tl2br w:val="nil"/>
                    <w:tr2bl w:val="nil"/>
                  </w:tcBorders>
                  <w:vAlign w:val="center"/>
                </w:tcPr>
                <w:p w14:paraId="6272EC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p>
              </w:tc>
              <w:tc>
                <w:tcPr>
                  <w:tcW w:w="1250" w:type="dxa"/>
                  <w:tcBorders>
                    <w:tl2br w:val="nil"/>
                    <w:tr2bl w:val="nil"/>
                  </w:tcBorders>
                  <w:vAlign w:val="center"/>
                </w:tcPr>
                <w:p w14:paraId="58633D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c>
                <w:tcPr>
                  <w:tcW w:w="1312" w:type="dxa"/>
                  <w:tcBorders>
                    <w:tl2br w:val="nil"/>
                    <w:tr2bl w:val="nil"/>
                  </w:tcBorders>
                  <w:vAlign w:val="center"/>
                </w:tcPr>
                <w:p w14:paraId="6E99CB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41</w:t>
                  </w:r>
                </w:p>
              </w:tc>
              <w:tc>
                <w:tcPr>
                  <w:tcW w:w="1000" w:type="dxa"/>
                  <w:vMerge w:val="continue"/>
                  <w:tcBorders>
                    <w:tl2br w:val="nil"/>
                    <w:tr2bl w:val="nil"/>
                  </w:tcBorders>
                  <w:vAlign w:val="center"/>
                </w:tcPr>
                <w:p w14:paraId="3F3077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p>
              </w:tc>
              <w:tc>
                <w:tcPr>
                  <w:tcW w:w="1313" w:type="dxa"/>
                  <w:tcBorders>
                    <w:tl2br w:val="nil"/>
                    <w:tr2bl w:val="nil"/>
                  </w:tcBorders>
                  <w:vAlign w:val="center"/>
                </w:tcPr>
                <w:p w14:paraId="67E9CC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r>
            <w:tr w14:paraId="2A1E7F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033" w:type="dxa"/>
                  <w:tcBorders>
                    <w:tl2br w:val="nil"/>
                    <w:tr2bl w:val="nil"/>
                  </w:tcBorders>
                  <w:vAlign w:val="center"/>
                </w:tcPr>
                <w:p w14:paraId="75597A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西厂界</w:t>
                  </w:r>
                </w:p>
              </w:tc>
              <w:tc>
                <w:tcPr>
                  <w:tcW w:w="1385" w:type="dxa"/>
                  <w:tcBorders>
                    <w:tl2br w:val="nil"/>
                    <w:tr2bl w:val="nil"/>
                  </w:tcBorders>
                  <w:vAlign w:val="center"/>
                </w:tcPr>
                <w:p w14:paraId="474253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43</w:t>
                  </w:r>
                </w:p>
              </w:tc>
              <w:tc>
                <w:tcPr>
                  <w:tcW w:w="976" w:type="dxa"/>
                  <w:vMerge w:val="continue"/>
                  <w:tcBorders>
                    <w:tl2br w:val="nil"/>
                    <w:tr2bl w:val="nil"/>
                  </w:tcBorders>
                  <w:vAlign w:val="center"/>
                </w:tcPr>
                <w:p w14:paraId="1190B9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p>
              </w:tc>
              <w:tc>
                <w:tcPr>
                  <w:tcW w:w="1250" w:type="dxa"/>
                  <w:tcBorders>
                    <w:tl2br w:val="nil"/>
                    <w:tr2bl w:val="nil"/>
                  </w:tcBorders>
                  <w:vAlign w:val="center"/>
                </w:tcPr>
                <w:p w14:paraId="5B5CF6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c>
                <w:tcPr>
                  <w:tcW w:w="1312" w:type="dxa"/>
                  <w:tcBorders>
                    <w:tl2br w:val="nil"/>
                    <w:tr2bl w:val="nil"/>
                  </w:tcBorders>
                  <w:vAlign w:val="center"/>
                </w:tcPr>
                <w:p w14:paraId="7480D1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43</w:t>
                  </w:r>
                </w:p>
              </w:tc>
              <w:tc>
                <w:tcPr>
                  <w:tcW w:w="1000" w:type="dxa"/>
                  <w:vMerge w:val="continue"/>
                  <w:tcBorders>
                    <w:tl2br w:val="nil"/>
                    <w:tr2bl w:val="nil"/>
                  </w:tcBorders>
                  <w:vAlign w:val="center"/>
                </w:tcPr>
                <w:p w14:paraId="73EEB0C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p>
              </w:tc>
              <w:tc>
                <w:tcPr>
                  <w:tcW w:w="1313" w:type="dxa"/>
                  <w:tcBorders>
                    <w:tl2br w:val="nil"/>
                    <w:tr2bl w:val="nil"/>
                  </w:tcBorders>
                  <w:vAlign w:val="center"/>
                </w:tcPr>
                <w:p w14:paraId="70721C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r>
            <w:tr w14:paraId="143529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033" w:type="dxa"/>
                  <w:tcBorders>
                    <w:tl2br w:val="nil"/>
                    <w:tr2bl w:val="nil"/>
                  </w:tcBorders>
                  <w:vAlign w:val="center"/>
                </w:tcPr>
                <w:p w14:paraId="209D9C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北厂界</w:t>
                  </w:r>
                </w:p>
              </w:tc>
              <w:tc>
                <w:tcPr>
                  <w:tcW w:w="1385" w:type="dxa"/>
                  <w:tcBorders>
                    <w:tl2br w:val="nil"/>
                    <w:tr2bl w:val="nil"/>
                  </w:tcBorders>
                  <w:vAlign w:val="center"/>
                </w:tcPr>
                <w:p w14:paraId="7D5579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41</w:t>
                  </w:r>
                </w:p>
              </w:tc>
              <w:tc>
                <w:tcPr>
                  <w:tcW w:w="976" w:type="dxa"/>
                  <w:vMerge w:val="continue"/>
                  <w:tcBorders>
                    <w:tl2br w:val="nil"/>
                    <w:tr2bl w:val="nil"/>
                  </w:tcBorders>
                  <w:vAlign w:val="center"/>
                </w:tcPr>
                <w:p w14:paraId="522ED4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p>
              </w:tc>
              <w:tc>
                <w:tcPr>
                  <w:tcW w:w="1250" w:type="dxa"/>
                  <w:tcBorders>
                    <w:tl2br w:val="nil"/>
                    <w:tr2bl w:val="nil"/>
                  </w:tcBorders>
                  <w:vAlign w:val="center"/>
                </w:tcPr>
                <w:p w14:paraId="739AAE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c>
                <w:tcPr>
                  <w:tcW w:w="1312" w:type="dxa"/>
                  <w:tcBorders>
                    <w:tl2br w:val="nil"/>
                    <w:tr2bl w:val="nil"/>
                  </w:tcBorders>
                  <w:vAlign w:val="center"/>
                </w:tcPr>
                <w:p w14:paraId="52BC28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41</w:t>
                  </w:r>
                </w:p>
              </w:tc>
              <w:tc>
                <w:tcPr>
                  <w:tcW w:w="1000" w:type="dxa"/>
                  <w:vMerge w:val="continue"/>
                  <w:tcBorders>
                    <w:tl2br w:val="nil"/>
                    <w:tr2bl w:val="nil"/>
                  </w:tcBorders>
                  <w:vAlign w:val="center"/>
                </w:tcPr>
                <w:p w14:paraId="483788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p>
              </w:tc>
              <w:tc>
                <w:tcPr>
                  <w:tcW w:w="1313" w:type="dxa"/>
                  <w:tcBorders>
                    <w:tl2br w:val="nil"/>
                    <w:tr2bl w:val="nil"/>
                  </w:tcBorders>
                  <w:vAlign w:val="center"/>
                </w:tcPr>
                <w:p w14:paraId="604068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000000" w:themeColor="text1"/>
                      <w:sz w:val="21"/>
                      <w:szCs w:val="21"/>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达标</w:t>
                  </w:r>
                </w:p>
              </w:tc>
            </w:tr>
          </w:tbl>
          <w:p w14:paraId="0855ED4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本项目锅炉房所在区域声环境保护目标的相对距离及方位如表4-1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所示</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，由于本项目锅炉房位于地下，通过预测，本项目敏感点噪声预测结果满足</w:t>
            </w:r>
            <w:r>
              <w:rPr>
                <w:rFonts w:hint="default" w:ascii="Times New Roman" w:hAnsi="Times New Roman" w:eastAsia="宋体" w:cs="Times New Roman"/>
                <w:color w:val="000000" w:themeColor="text1"/>
                <w:sz w:val="24"/>
                <w:lang w:val="en-US"/>
                <w14:textFill>
                  <w14:solidFill>
                    <w14:schemeClr w14:val="tx1"/>
                  </w14:solidFill>
                </w14:textFill>
              </w:rPr>
              <w:t>《声环境质量标准》（GB3096-2008）中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14:textFill>
                  <w14:solidFill>
                    <w14:schemeClr w14:val="tx1"/>
                  </w14:solidFill>
                </w14:textFill>
              </w:rPr>
              <w:t>类标准要求</w:t>
            </w:r>
            <w:r>
              <w:rPr>
                <w:rFonts w:hint="default" w:ascii="Times New Roman" w:hAnsi="Times New Roman" w:eastAsia="宋体" w:cs="Times New Roman"/>
                <w:color w:val="000000" w:themeColor="text1"/>
                <w:sz w:val="24"/>
                <w14:textFill>
                  <w14:solidFill>
                    <w14:schemeClr w14:val="tx1"/>
                  </w14:solidFill>
                </w14:textFill>
              </w:rPr>
              <w:t>。</w:t>
            </w:r>
          </w:p>
          <w:p w14:paraId="6BCBC9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因此，项目运营期产生的噪声对周围声环境保护目标影响较小。</w:t>
            </w:r>
          </w:p>
          <w:p w14:paraId="64AD3CD2">
            <w:pPr>
              <w:keepNext w:val="0"/>
              <w:keepLines w:val="0"/>
              <w:suppressLineNumbers w:val="0"/>
              <w:spacing w:before="0" w:beforeAutospacing="0" w:after="0" w:afterAutospacing="0" w:line="360" w:lineRule="auto"/>
              <w:ind w:left="0" w:right="0"/>
              <w:rPr>
                <w:rFonts w:hint="default" w:ascii="Times New Roman" w:hAnsi="Times New Roman" w:cs="Times New Roman"/>
                <w:b/>
                <w:bCs/>
                <w:color w:val="000000" w:themeColor="text1"/>
                <w:sz w:val="24"/>
                <w:szCs w:val="28"/>
                <w14:textFill>
                  <w14:solidFill>
                    <w14:schemeClr w14:val="tx1"/>
                  </w14:solidFill>
                </w14:textFill>
              </w:rPr>
            </w:pPr>
            <w:r>
              <w:rPr>
                <w:rFonts w:hint="eastAsia" w:ascii="Times New Roman" w:hAnsi="Times New Roman" w:cs="Times New Roman"/>
                <w:b/>
                <w:bCs/>
                <w:color w:val="000000" w:themeColor="text1"/>
                <w:sz w:val="24"/>
                <w:szCs w:val="28"/>
                <w:lang w:val="en-US" w:eastAsia="zh-CN"/>
                <w14:textFill>
                  <w14:solidFill>
                    <w14:schemeClr w14:val="tx1"/>
                  </w14:solidFill>
                </w14:textFill>
              </w:rPr>
              <w:t>3.2 噪声影响分析</w:t>
            </w:r>
          </w:p>
          <w:p w14:paraId="2598F6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项目运营期噪声来源于供热中心内水泵、排风机等设备噪声，设备均布置在室内，且位于地下，噪声值约</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85~95dB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）。为减少噪声排放对周边声环境敏感点的影响，本项目采取了一下措施：</w:t>
            </w:r>
          </w:p>
          <w:p w14:paraId="11802A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）已购买低噪设备，在运营期及时对设备进行检修，确保设备正常运行，从源头上降低噪声排放强度；</w:t>
            </w:r>
          </w:p>
          <w:p w14:paraId="6A6B57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8"/>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）为防止机组振动引起的锅炉房墙体产生固定结构传播噪声对周围环境的影响，锅炉房采取钢筋混凝土结构，同时，供热中心使用隔声门。</w:t>
            </w:r>
          </w:p>
          <w:p w14:paraId="60008F68">
            <w:pPr>
              <w:keepNext w:val="0"/>
              <w:keepLines w:val="0"/>
              <w:suppressLineNumbers w:val="0"/>
              <w:spacing w:before="0" w:beforeAutospacing="0" w:after="0" w:afterAutospacing="0" w:line="360" w:lineRule="auto"/>
              <w:ind w:left="0" w:right="0"/>
              <w:rPr>
                <w:rFonts w:hint="default" w:ascii="Times New Roman" w:hAnsi="Times New Roman" w:cs="Times New Roman"/>
                <w:b/>
                <w:bCs/>
                <w:color w:val="000000" w:themeColor="text1"/>
                <w:sz w:val="24"/>
                <w:szCs w:val="28"/>
                <w14:textFill>
                  <w14:solidFill>
                    <w14:schemeClr w14:val="tx1"/>
                  </w14:solidFill>
                </w14:textFill>
              </w:rPr>
            </w:pPr>
            <w:r>
              <w:rPr>
                <w:rFonts w:hint="eastAsia" w:ascii="Times New Roman" w:hAnsi="Times New Roman" w:cs="Times New Roman"/>
                <w:b/>
                <w:bCs/>
                <w:color w:val="000000" w:themeColor="text1"/>
                <w:sz w:val="24"/>
                <w:szCs w:val="28"/>
                <w:lang w:val="en-US" w:eastAsia="zh-CN"/>
                <w14:textFill>
                  <w14:solidFill>
                    <w14:schemeClr w14:val="tx1"/>
                  </w14:solidFill>
                </w14:textFill>
              </w:rPr>
              <w:t>3.3 振动环境影响分析</w:t>
            </w:r>
          </w:p>
          <w:p w14:paraId="79FAE7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项目运营期振动主要来源于换热站循环水泵和锅炉房补水泵，水泵噪声主要分为泵体噪声和流体噪声两部分，泵体噪声通过建筑隔声后有较大的衰减，但是，叶轮旋转产生的泵体振动与流体压力脉冲形成结构噪声，沿地面、墙体、管道等结构传播，激发二次振动影响。</w:t>
            </w:r>
          </w:p>
          <w:p w14:paraId="304389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本项目位于未央经典小区5#住宅楼负一层，供热中心地上为小区绿地，供热中心建筑结构与小区居民住宅楼主体结构无直接相连，可有效减少沿墙体结构传播引起的振动影响。距离本项目最近的住户为未央经典小区</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住宅楼一层住户，直线距离约</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15m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，为有效减少振动对小区住户影响，建议采取以下措施：</w:t>
            </w:r>
          </w:p>
          <w:p w14:paraId="2D8291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）水泵安装采用橡胶隔振器，通过隔振器与地面连接；</w:t>
            </w:r>
          </w:p>
          <w:p w14:paraId="37FB2C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）水泵进出口管道两端、换热机组进出水管道两端采用双层可曲挠橡胶管连接；</w:t>
            </w:r>
          </w:p>
          <w:p w14:paraId="6B336D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）供热中心室外沿墙热水管道采用弹性吊挂支撑方式；热水管道采用隔声包扎处理，隔声包扎与管道保温相结合。</w:t>
            </w:r>
          </w:p>
          <w:p w14:paraId="16289E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此外，本项目锅炉房位于未央经典小区南侧地下室，供热中心上层为小区绿化用地，绿化植被可有效阻碍噪声传播。采取以上措施后，项目噪声和振动对外环境影响较小。</w:t>
            </w:r>
          </w:p>
          <w:p w14:paraId="75C49A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b/>
                <w:bCs/>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bCs/>
                <w:snapToGrid w:val="0"/>
                <w:color w:val="000000" w:themeColor="text1"/>
                <w:spacing w:val="4"/>
                <w:kern w:val="18"/>
                <w:sz w:val="24"/>
                <w:szCs w:val="24"/>
                <w:highlight w:val="none"/>
                <w:lang w:val="en-US" w:eastAsia="zh-CN" w:bidi="ar-SA"/>
                <w14:textFill>
                  <w14:solidFill>
                    <w14:schemeClr w14:val="tx1"/>
                  </w14:solidFill>
                </w14:textFill>
              </w:rPr>
              <w:t>3.4 排气筒加高后安装风机引起的振动和声环境影响和减缓措施</w:t>
            </w:r>
          </w:p>
          <w:p w14:paraId="1035DD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b/>
                <w:bCs/>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1.风机引起的振动和声环境影响</w:t>
            </w:r>
          </w:p>
          <w:p w14:paraId="2C1651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本项目现有排气筒高度为37m，需要依附5#住宅楼外墙加高至90m，加高53m，加高后安装风机会引起振动和噪声，会对排气筒所在小区的楼层产生一定影响，一般锅炉房引风机的噪声约为90~100dB。</w:t>
            </w:r>
          </w:p>
          <w:p w14:paraId="4AAEDB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其中风机出气口部位辐射的空气动力性噪声最大，风机的空气动力性噪声比其它部位辐射的噪声要高出10dB左右。由出风口、进风口和电机噪声的叠加是造成锅炉房外环境噪声超标的主要因素。</w:t>
            </w:r>
          </w:p>
          <w:p w14:paraId="617D842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textAlignment w:val="auto"/>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2.需要新增的减缓措施</w:t>
            </w:r>
          </w:p>
          <w:p w14:paraId="57E6AC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t>（1）安装消声器：在引风机和排气管等可能产生高噪声的部位安装消声器。消声器可以有效吸收和降低气体流动或机械振动产生的噪音。</w:t>
            </w:r>
          </w:p>
          <w:p w14:paraId="1D2702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t>（2）使用减震装置：在设备底座安装减震垫或减震器等装置，减少设备运行时的振动传递，从而降低噪音。</w:t>
            </w:r>
          </w:p>
          <w:p w14:paraId="26C5396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t>（3）设置隔声屏障：在锅炉房外围安装隔声屏障，如隔声墙、隔音板等，阻断噪音的传播路径。隔声屏障应选用隔音性能好的材料，并确保其结构稳固。</w:t>
            </w:r>
          </w:p>
          <w:p w14:paraId="5EC2710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t>（4）定期检测与维护：定期对锅炉房内的设备进行噪声检测和维护保养，确保设备处于良好状态并符合噪声控制要求。对于发现的问题应及时处理并记录在案以便后续跟踪。</w:t>
            </w:r>
          </w:p>
          <w:p w14:paraId="3A4C7DE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32"/>
                <w:lang w:val="en-US" w:eastAsia="zh-CN" w:bidi="ar-SA"/>
                <w14:textFill>
                  <w14:solidFill>
                    <w14:schemeClr w14:val="tx1"/>
                  </w14:solidFill>
                </w14:textFill>
              </w:rPr>
              <w:t>（5）定期监测：建立噪声监测系统，定期对鼓风机房的噪声进行监测和评估，及时发现问题并采取相应的治理措施。</w:t>
            </w:r>
          </w:p>
          <w:p w14:paraId="4E441B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bCs/>
                <w:snapToGrid w:val="0"/>
                <w:color w:val="000000" w:themeColor="text1"/>
                <w:spacing w:val="4"/>
                <w:kern w:val="18"/>
                <w:sz w:val="24"/>
                <w:szCs w:val="24"/>
                <w:highlight w:val="none"/>
                <w:lang w:val="en-US" w:eastAsia="zh-CN" w:bidi="ar-SA"/>
                <w14:textFill>
                  <w14:solidFill>
                    <w14:schemeClr w14:val="tx1"/>
                  </w14:solidFill>
                </w14:textFill>
              </w:rPr>
              <w:t>3.5 噪声</w:t>
            </w:r>
            <w:r>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t>监测计划</w:t>
            </w:r>
          </w:p>
          <w:p w14:paraId="73583E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依据《排污单位自行监测技术指南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火力发电及锅炉》（HJ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820</w:t>
            </w:r>
            <w:r>
              <w:rPr>
                <w:rFonts w:hint="default" w:ascii="Times New Roman" w:hAnsi="Times New Roman" w:eastAsia="宋体" w:cs="Times New Roman"/>
                <w:color w:val="000000" w:themeColor="text1"/>
                <w:sz w:val="24"/>
                <w:szCs w:val="24"/>
                <w14:textFill>
                  <w14:solidFill>
                    <w14:schemeClr w14:val="tx1"/>
                  </w14:solidFill>
                </w14:textFill>
              </w:rPr>
              <w:t>-201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、《排污许可证申请与核发技术规范 锅炉》</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HJ953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2018</w:t>
            </w:r>
            <w:r>
              <w:rPr>
                <w:rFonts w:hint="default" w:ascii="Times New Roman" w:hAnsi="Times New Roman" w:eastAsia="宋体" w:cs="Times New Roman"/>
                <w:color w:val="000000" w:themeColor="text1"/>
                <w:sz w:val="24"/>
                <w:szCs w:val="24"/>
                <w14:textFill>
                  <w14:solidFill>
                    <w14:schemeClr w14:val="tx1"/>
                  </w14:solidFill>
                </w14:textFill>
              </w:rPr>
              <w:t>）和项目内容、企业实际情况，制定相应的监测方案</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项目营运期</w:t>
            </w:r>
            <w:r>
              <w:rPr>
                <w:rFonts w:hint="eastAsia" w:ascii="Times New Roman" w:hAnsi="Times New Roman" w:cs="Times New Roman"/>
                <w:color w:val="000000" w:themeColor="text1"/>
                <w:sz w:val="24"/>
                <w:lang w:val="en-US" w:eastAsia="zh-CN"/>
                <w14:textFill>
                  <w14:solidFill>
                    <w14:schemeClr w14:val="tx1"/>
                  </w14:solidFill>
                </w14:textFill>
              </w:rPr>
              <w:t>噪声</w:t>
            </w:r>
            <w:r>
              <w:rPr>
                <w:rFonts w:hint="default" w:ascii="Times New Roman" w:hAnsi="Times New Roman" w:cs="Times New Roman"/>
                <w:color w:val="000000" w:themeColor="text1"/>
                <w:sz w:val="24"/>
                <w:lang w:val="en-US" w:eastAsia="zh-CN"/>
                <w14:textFill>
                  <w14:solidFill>
                    <w14:schemeClr w14:val="tx1"/>
                  </w14:solidFill>
                </w14:textFill>
              </w:rPr>
              <w:t>监测计划见表4-</w:t>
            </w:r>
            <w:r>
              <w:rPr>
                <w:rFonts w:hint="eastAsia" w:ascii="Times New Roman" w:hAnsi="Times New Roman" w:cs="Times New Roman"/>
                <w:color w:val="000000" w:themeColor="text1"/>
                <w:sz w:val="24"/>
                <w:lang w:val="en-US" w:eastAsia="zh-CN"/>
                <w14:textFill>
                  <w14:solidFill>
                    <w14:schemeClr w14:val="tx1"/>
                  </w14:solidFill>
                </w14:textFill>
              </w:rPr>
              <w:t>14</w:t>
            </w:r>
            <w:r>
              <w:rPr>
                <w:rFonts w:hint="default" w:ascii="Times New Roman" w:hAnsi="Times New Roman" w:cs="Times New Roman"/>
                <w:color w:val="000000" w:themeColor="text1"/>
                <w:sz w:val="24"/>
                <w:lang w:val="en-US" w:eastAsia="zh-CN"/>
                <w14:textFill>
                  <w14:solidFill>
                    <w14:schemeClr w14:val="tx1"/>
                  </w14:solidFill>
                </w14:textFill>
              </w:rPr>
              <w:t>。</w:t>
            </w:r>
          </w:p>
          <w:p w14:paraId="6A6151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4-14</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监测情况一览表</w:t>
            </w:r>
          </w:p>
          <w:tbl>
            <w:tblPr>
              <w:tblStyle w:val="26"/>
              <w:tblW w:w="839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37"/>
              <w:gridCol w:w="1364"/>
              <w:gridCol w:w="1140"/>
              <w:gridCol w:w="3016"/>
            </w:tblGrid>
            <w:tr w14:paraId="2E008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dxa"/>
                  <w:tcBorders>
                    <w:tl2br w:val="nil"/>
                    <w:tr2bl w:val="nil"/>
                  </w:tcBorders>
                  <w:vAlign w:val="center"/>
                </w:tcPr>
                <w:p w14:paraId="014343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类别</w:t>
                  </w:r>
                </w:p>
              </w:tc>
              <w:tc>
                <w:tcPr>
                  <w:tcW w:w="1737" w:type="dxa"/>
                  <w:tcBorders>
                    <w:tl2br w:val="nil"/>
                    <w:tr2bl w:val="nil"/>
                  </w:tcBorders>
                  <w:vAlign w:val="center"/>
                </w:tcPr>
                <w:p w14:paraId="183260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监测项目</w:t>
                  </w:r>
                </w:p>
              </w:tc>
              <w:tc>
                <w:tcPr>
                  <w:tcW w:w="1364" w:type="dxa"/>
                  <w:tcBorders>
                    <w:tl2br w:val="nil"/>
                    <w:tr2bl w:val="nil"/>
                  </w:tcBorders>
                  <w:vAlign w:val="center"/>
                </w:tcPr>
                <w:p w14:paraId="40A55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监测点位置</w:t>
                  </w:r>
                </w:p>
              </w:tc>
              <w:tc>
                <w:tcPr>
                  <w:tcW w:w="1140" w:type="dxa"/>
                  <w:tcBorders>
                    <w:tl2br w:val="nil"/>
                    <w:tr2bl w:val="nil"/>
                  </w:tcBorders>
                  <w:vAlign w:val="center"/>
                </w:tcPr>
                <w:p w14:paraId="11689E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监测频率</w:t>
                  </w:r>
                </w:p>
              </w:tc>
              <w:tc>
                <w:tcPr>
                  <w:tcW w:w="3016" w:type="dxa"/>
                  <w:tcBorders>
                    <w:tl2br w:val="nil"/>
                    <w:tr2bl w:val="nil"/>
                  </w:tcBorders>
                  <w:vAlign w:val="center"/>
                </w:tcPr>
                <w:p w14:paraId="0521C4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控制指标</w:t>
                  </w:r>
                </w:p>
              </w:tc>
            </w:tr>
            <w:tr w14:paraId="16F0A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dxa"/>
                  <w:tcBorders>
                    <w:tl2br w:val="nil"/>
                    <w:tr2bl w:val="nil"/>
                  </w:tcBorders>
                  <w:vAlign w:val="center"/>
                </w:tcPr>
                <w:p w14:paraId="2BCF9C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噪声</w:t>
                  </w:r>
                </w:p>
              </w:tc>
              <w:tc>
                <w:tcPr>
                  <w:tcW w:w="1737" w:type="dxa"/>
                  <w:tcBorders>
                    <w:tl2br w:val="nil"/>
                    <w:tr2bl w:val="nil"/>
                  </w:tcBorders>
                  <w:vAlign w:val="center"/>
                </w:tcPr>
                <w:p w14:paraId="013C3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等效连续</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A声级</w:t>
                  </w:r>
                </w:p>
              </w:tc>
              <w:tc>
                <w:tcPr>
                  <w:tcW w:w="1364" w:type="dxa"/>
                  <w:tcBorders>
                    <w:tl2br w:val="nil"/>
                    <w:tr2bl w:val="nil"/>
                  </w:tcBorders>
                  <w:vAlign w:val="center"/>
                </w:tcPr>
                <w:p w14:paraId="2DACDD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厂界四周</w:t>
                  </w:r>
                  <w:r>
                    <w:rPr>
                      <w:rFonts w:hint="eastAsia" w:ascii="Times New Roman" w:hAnsi="Times New Roman" w:eastAsia="宋体" w:cs="Times New Roman"/>
                      <w:bCs/>
                      <w:color w:val="000000" w:themeColor="text1"/>
                      <w:sz w:val="21"/>
                      <w:szCs w:val="21"/>
                      <w:vertAlign w:val="superscript"/>
                      <w:lang w:val="en-US" w:eastAsia="zh-CN" w:bidi="ar"/>
                      <w14:textFill>
                        <w14:solidFill>
                          <w14:schemeClr w14:val="tx1"/>
                        </w14:solidFill>
                      </w14:textFill>
                    </w:rPr>
                    <w:t>注</w:t>
                  </w:r>
                </w:p>
              </w:tc>
              <w:tc>
                <w:tcPr>
                  <w:tcW w:w="1140" w:type="dxa"/>
                  <w:tcBorders>
                    <w:tl2br w:val="nil"/>
                    <w:tr2bl w:val="nil"/>
                  </w:tcBorders>
                  <w:vAlign w:val="center"/>
                </w:tcPr>
                <w:p w14:paraId="79D6D2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bCs/>
                      <w:color w:val="000000" w:themeColor="text1"/>
                      <w:sz w:val="21"/>
                      <w:szCs w:val="21"/>
                      <w:lang w:eastAsia="zh-CN" w:bidi="ar"/>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1</w:t>
                  </w:r>
                  <w:r>
                    <w:rPr>
                      <w:rFonts w:hint="default" w:ascii="Times New Roman" w:hAnsi="Times New Roman" w:eastAsia="宋体" w:cs="Times New Roman"/>
                      <w:bCs/>
                      <w:color w:val="000000" w:themeColor="text1"/>
                      <w:sz w:val="21"/>
                      <w:szCs w:val="21"/>
                      <w:lang w:bidi="ar"/>
                      <w14:textFill>
                        <w14:solidFill>
                          <w14:schemeClr w14:val="tx1"/>
                        </w14:solidFill>
                      </w14:textFill>
                    </w:rPr>
                    <w:t>次/</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季度</w:t>
                  </w:r>
                </w:p>
              </w:tc>
              <w:tc>
                <w:tcPr>
                  <w:tcW w:w="3016" w:type="dxa"/>
                  <w:tcBorders>
                    <w:tl2br w:val="nil"/>
                    <w:tr2bl w:val="nil"/>
                  </w:tcBorders>
                  <w:vAlign w:val="center"/>
                </w:tcPr>
                <w:p w14:paraId="42CAF7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bidi="ar"/>
                      <w14:textFill>
                        <w14:solidFill>
                          <w14:schemeClr w14:val="tx1"/>
                        </w14:solidFill>
                      </w14:textFill>
                    </w:rPr>
                  </w:pPr>
                  <w:r>
                    <w:rPr>
                      <w:rFonts w:hint="default" w:ascii="Times New Roman" w:hAnsi="Times New Roman" w:eastAsia="宋体" w:cs="Times New Roman"/>
                      <w:bCs/>
                      <w:color w:val="000000" w:themeColor="text1"/>
                      <w:sz w:val="21"/>
                      <w:szCs w:val="21"/>
                      <w:lang w:bidi="ar"/>
                      <w14:textFill>
                        <w14:solidFill>
                          <w14:schemeClr w14:val="tx1"/>
                        </w14:solidFill>
                      </w14:textFill>
                    </w:rPr>
                    <w:t>《</w:t>
                  </w: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工业企业厂界环境噪声排放标准</w:t>
                  </w:r>
                  <w:r>
                    <w:rPr>
                      <w:rFonts w:hint="default" w:ascii="Times New Roman" w:hAnsi="Times New Roman" w:eastAsia="宋体" w:cs="Times New Roman"/>
                      <w:bCs/>
                      <w:color w:val="000000" w:themeColor="text1"/>
                      <w:sz w:val="21"/>
                      <w:szCs w:val="21"/>
                      <w:lang w:bidi="ar"/>
                      <w14:textFill>
                        <w14:solidFill>
                          <w14:schemeClr w14:val="tx1"/>
                        </w14:solidFill>
                      </w14:textFill>
                    </w:rPr>
                    <w:t>》（GB</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12348-2008</w:t>
                  </w:r>
                  <w:r>
                    <w:rPr>
                      <w:rFonts w:hint="default" w:ascii="Times New Roman" w:hAnsi="Times New Roman" w:eastAsia="宋体" w:cs="Times New Roman"/>
                      <w:bCs/>
                      <w:color w:val="000000" w:themeColor="text1"/>
                      <w:sz w:val="21"/>
                      <w:szCs w:val="21"/>
                      <w:lang w:bidi="ar"/>
                      <w14:textFill>
                        <w14:solidFill>
                          <w14:schemeClr w14:val="tx1"/>
                        </w14:solidFill>
                      </w14:textFill>
                    </w:rPr>
                    <w:t>）</w:t>
                  </w:r>
                </w:p>
              </w:tc>
            </w:tr>
            <w:tr w14:paraId="779618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391" w:type="dxa"/>
                  <w:gridSpan w:val="5"/>
                  <w:tcBorders>
                    <w:tl2br w:val="nil"/>
                    <w:tr2bl w:val="nil"/>
                  </w:tcBorders>
                  <w:vAlign w:val="center"/>
                </w:tcPr>
                <w:p w14:paraId="249255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注：由于本项目锅炉房位于地下，</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运营过程中厂界昼间、夜间噪声监测布点</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位于地面上靠近锅炉房处，</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在</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距离</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锅炉房</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正上方</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厂界四周外1m处监测</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；监测点位同时靠近于声环境保护目标。</w:t>
                  </w:r>
                </w:p>
              </w:tc>
            </w:tr>
          </w:tbl>
          <w:p w14:paraId="057A7200">
            <w:pPr>
              <w:pStyle w:val="41"/>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Times New Roman" w:hAnsi="Times New Roman" w:eastAsiaTheme="minorEastAsia"/>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4.</w:t>
            </w:r>
            <w:r>
              <w:rPr>
                <w:rFonts w:ascii="Times New Roman" w:hAnsi="Times New Roman"/>
                <w:b/>
                <w:bCs w:val="0"/>
                <w:color w:val="000000" w:themeColor="text1"/>
                <w:sz w:val="24"/>
                <w:szCs w:val="24"/>
                <w:highlight w:val="none"/>
                <w14:textFill>
                  <w14:solidFill>
                    <w14:schemeClr w14:val="tx1"/>
                  </w14:solidFill>
                </w14:textFill>
              </w:rPr>
              <w:t>固体废物</w:t>
            </w:r>
          </w:p>
          <w:p w14:paraId="1F12A075">
            <w:pPr>
              <w:keepNext w:val="0"/>
              <w:keepLines w:val="0"/>
              <w:suppressLineNumbers w:val="0"/>
              <w:spacing w:before="0" w:beforeAutospacing="0" w:after="0" w:afterAutospacing="0" w:line="360" w:lineRule="auto"/>
              <w:ind w:left="0" w:right="0" w:firstLine="480" w:firstLineChars="200"/>
              <w:rPr>
                <w:rFonts w:hint="eastAsia" w:eastAsiaTheme="minorEastAsia"/>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本项目在软水制备过程中</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全自动软水制备装置</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会</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产生废离子交换树脂</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废离子交换树脂属于一般固体废物，根据《固体废物分类与代码目录》（生态环境部公告，2024年第4号），代码为</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900-008-S59</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根据建设单位提供的资料，废离子交换树脂年产生量约0.1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t；离子交换树脂</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定期更换，</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由离子交换树脂厂家回收</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，不在锅炉房暂存</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40DDB05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baseline"/>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地下水</w:t>
            </w:r>
          </w:p>
          <w:p w14:paraId="69F2EB47">
            <w:pPr>
              <w:keepNext w:val="0"/>
              <w:keepLines w:val="0"/>
              <w:suppressLineNumbers w:val="0"/>
              <w:spacing w:before="0" w:beforeAutospacing="0" w:after="0" w:afterAutospacing="0" w:line="360" w:lineRule="auto"/>
              <w:ind w:left="0" w:right="0" w:firstLine="480" w:firstLineChars="200"/>
              <w:rPr>
                <w:color w:val="000000" w:themeColor="text1"/>
                <w:spacing w:val="-6"/>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本项目供水由当地自来水管网供给，不取用地下水</w:t>
            </w:r>
            <w:r>
              <w:rPr>
                <w:rFonts w:hint="eastAsia" w:ascii="宋体" w:hAnsi="宋体" w:cs="宋体"/>
                <w:bCs/>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锅炉房已全部</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硬化并达到相关防渗要求，</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锅炉房</w:t>
            </w:r>
            <w:r>
              <w:rPr>
                <w:rFonts w:hint="default"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地面与裙脚</w:t>
            </w:r>
            <w:r>
              <w:rPr>
                <w:rFonts w:hint="eastAsia"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已</w:t>
            </w:r>
            <w:r>
              <w:rPr>
                <w:rFonts w:hint="default"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采取基础防渗</w:t>
            </w:r>
            <w:r>
              <w:rPr>
                <w:rFonts w:hint="eastAsia"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与</w:t>
            </w:r>
            <w:r>
              <w:rPr>
                <w:rFonts w:hint="default"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表面防渗措施</w:t>
            </w:r>
            <w:r>
              <w:rPr>
                <w:rFonts w:hint="eastAsia"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表面防渗材料采用抗渗混凝土1m厚黏土层（渗透系数不大于10</w:t>
            </w:r>
            <w:r>
              <w:rPr>
                <w:rFonts w:hint="default" w:ascii="Times New Roman" w:hAnsi="Times New Roman" w:eastAsia="宋体" w:cs="Times New Roman"/>
                <w:snapToGrid/>
                <w:color w:val="000000" w:themeColor="text1"/>
                <w:kern w:val="0"/>
                <w:sz w:val="24"/>
                <w:szCs w:val="24"/>
                <w:highlight w:val="none"/>
                <w:vertAlign w:val="superscript"/>
                <w:lang w:val="en-US" w:eastAsia="zh-CN"/>
                <w14:textFill>
                  <w14:solidFill>
                    <w14:schemeClr w14:val="tx1"/>
                  </w14:solidFill>
                </w14:textFill>
              </w:rPr>
              <w:t>-7</w:t>
            </w:r>
            <w:r>
              <w:rPr>
                <w:rFonts w:hint="default"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cm/s）</w:t>
            </w:r>
            <w:r>
              <w:rPr>
                <w:rFonts w:hint="eastAsia" w:ascii="Times New Roman" w:hAnsi="Times New Roman" w:eastAsia="宋体" w:cs="Times New Roman"/>
                <w:snapToGrid/>
                <w:color w:val="000000" w:themeColor="text1"/>
                <w:kern w:val="0"/>
                <w:sz w:val="24"/>
                <w:szCs w:val="24"/>
                <w:highlight w:val="none"/>
                <w:lang w:val="en-US" w:eastAsia="zh-CN"/>
                <w14:textFill>
                  <w14:solidFill>
                    <w14:schemeClr w14:val="tx1"/>
                  </w14:solidFill>
                </w14:textFill>
              </w:rPr>
              <w:t>，本项目不涉及危险废物，</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锅炉及配套</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设备均位于</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负1层</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地，基本切断了废水、固废进入地下水的途径，污染物一般不会直接入渗地下水进而污染。</w:t>
            </w:r>
            <w:r>
              <w:rPr>
                <w:rFonts w:hint="eastAsia" w:ascii="宋体" w:hAnsi="宋体" w:cs="宋体"/>
                <w:bCs/>
                <w:color w:val="000000" w:themeColor="text1"/>
                <w:sz w:val="24"/>
                <w14:textFill>
                  <w14:solidFill>
                    <w14:schemeClr w14:val="tx1"/>
                  </w14:solidFill>
                </w14:textFill>
              </w:rPr>
              <w:t>因此，项目用水对地下水水位没有影响</w:t>
            </w:r>
            <w:r>
              <w:rPr>
                <w:rFonts w:hint="eastAsia" w:ascii="宋体" w:hAnsi="宋体" w:cs="宋体"/>
                <w:bCs/>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故</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本次环评</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可不开展</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地下水环境进行评价。</w:t>
            </w:r>
          </w:p>
          <w:p w14:paraId="1DAFEC30">
            <w:pPr>
              <w:pStyle w:val="23"/>
              <w:pageBreakBefore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b/>
                <w:bCs/>
                <w:color w:val="000000" w:themeColor="text1"/>
                <w:szCs w:val="24"/>
                <w14:textFill>
                  <w14:solidFill>
                    <w14:schemeClr w14:val="tx1"/>
                  </w14:solidFill>
                </w14:textFill>
              </w:rPr>
            </w:pPr>
            <w:r>
              <w:rPr>
                <w:rFonts w:hint="eastAsia" w:ascii="Times New Roman" w:hAnsi="Times New Roman"/>
                <w:b/>
                <w:bCs/>
                <w:color w:val="000000" w:themeColor="text1"/>
                <w:szCs w:val="24"/>
                <w:lang w:val="en-US" w:eastAsia="zh-CN"/>
                <w14:textFill>
                  <w14:solidFill>
                    <w14:schemeClr w14:val="tx1"/>
                  </w14:solidFill>
                </w14:textFill>
              </w:rPr>
              <w:t>6.</w:t>
            </w:r>
            <w:r>
              <w:rPr>
                <w:rFonts w:ascii="Times New Roman" w:hAnsi="Times New Roman"/>
                <w:b/>
                <w:bCs/>
                <w:color w:val="000000" w:themeColor="text1"/>
                <w:szCs w:val="24"/>
                <w14:textFill>
                  <w14:solidFill>
                    <w14:schemeClr w14:val="tx1"/>
                  </w14:solidFill>
                </w14:textFill>
              </w:rPr>
              <w:t>土壤</w:t>
            </w:r>
          </w:p>
          <w:p w14:paraId="5783A7A1">
            <w:pPr>
              <w:pStyle w:val="4"/>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ascii="Times New Roman"/>
                <w:color w:val="000000" w:themeColor="text1"/>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本</w:t>
            </w:r>
            <w:r>
              <w:rPr>
                <w:rFonts w:hint="eastAsia" w:ascii="Times New Roman"/>
                <w:color w:val="000000" w:themeColor="text1"/>
                <w14:textFill>
                  <w14:solidFill>
                    <w14:schemeClr w14:val="tx1"/>
                  </w14:solidFill>
                </w14:textFill>
              </w:rPr>
              <w:t>项目为污染影响型项目，本项目运营期土壤污染主要影响源来自于大气沉降影响。本项目主要大气沉降型污染物为颗粒物，不涉及土壤污染重点污染物</w:t>
            </w:r>
            <w:r>
              <w:rPr>
                <w:rFonts w:hint="eastAsia" w:ascii="Times New Roman"/>
                <w:color w:val="000000" w:themeColor="text1"/>
                <w:lang w:eastAsia="zh-CN"/>
                <w14:textFill>
                  <w14:solidFill>
                    <w14:schemeClr w14:val="tx1"/>
                  </w14:solidFill>
                </w14:textFill>
              </w:rPr>
              <w:t>（</w:t>
            </w:r>
            <w:r>
              <w:rPr>
                <w:rFonts w:hint="eastAsia" w:ascii="Times New Roman"/>
                <w:color w:val="000000" w:themeColor="text1"/>
                <w14:textFill>
                  <w14:solidFill>
                    <w14:schemeClr w14:val="tx1"/>
                  </w14:solidFill>
                </w14:textFill>
              </w:rPr>
              <w:t>镉、汞、砷铅、铬（六价）铜、镍、石油</w:t>
            </w:r>
            <w:r>
              <w:rPr>
                <w:rFonts w:hint="eastAsia" w:ascii="Times New Roman"/>
                <w:color w:val="000000" w:themeColor="text1"/>
                <w:lang w:eastAsia="zh-CN"/>
                <w14:textFill>
                  <w14:solidFill>
                    <w14:schemeClr w14:val="tx1"/>
                  </w14:solidFill>
                </w14:textFill>
              </w:rPr>
              <w:t>烃）</w:t>
            </w:r>
            <w:r>
              <w:rPr>
                <w:rFonts w:hint="eastAsia" w:ascii="Times New Roman"/>
                <w:color w:val="000000" w:themeColor="text1"/>
                <w14:textFill>
                  <w14:solidFill>
                    <w14:schemeClr w14:val="tx1"/>
                  </w14:solidFill>
                </w14:textFill>
              </w:rPr>
              <w:t>，土壤不会产生明显影响</w:t>
            </w:r>
            <w:r>
              <w:rPr>
                <w:rFonts w:hint="eastAsia" w:ascii="Times New Roman"/>
                <w:color w:val="000000" w:themeColor="text1"/>
                <w:lang w:eastAsia="zh-CN"/>
                <w14:textFill>
                  <w14:solidFill>
                    <w14:schemeClr w14:val="tx1"/>
                  </w14:solidFill>
                </w14:textFill>
              </w:rPr>
              <w:t>，</w:t>
            </w:r>
            <w:r>
              <w:rPr>
                <w:rFonts w:hint="eastAsia" w:ascii="Times New Roman"/>
                <w:color w:val="000000" w:themeColor="text1"/>
                <w14:textFill>
                  <w14:solidFill>
                    <w14:schemeClr w14:val="tx1"/>
                  </w14:solidFill>
                </w14:textFill>
              </w:rPr>
              <w:t>本项目正常状况下排放的污染物基本不会对周围土壤环境产生影响。</w:t>
            </w:r>
          </w:p>
          <w:p w14:paraId="32C7325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ascii="Times New Roman" w:hAnsi="Times New Roman" w:eastAsia="宋体" w:cs="Times New Roman"/>
                <w:b/>
                <w:bCs w:val="0"/>
                <w:color w:val="000000" w:themeColor="text1"/>
                <w:spacing w:val="-10"/>
                <w:sz w:val="24"/>
                <w:szCs w:val="24"/>
                <w:lang w:val="en-US" w:eastAsia="zh-CN"/>
                <w14:textFill>
                  <w14:solidFill>
                    <w14:schemeClr w14:val="tx1"/>
                  </w14:solidFill>
                </w14:textFill>
              </w:rPr>
            </w:pPr>
            <w:r>
              <w:rPr>
                <w:rFonts w:hint="eastAsia" w:ascii="Times New Roman" w:hAnsi="Times New Roman" w:eastAsia="宋体" w:cs="Times New Roman"/>
                <w:b/>
                <w:bCs w:val="0"/>
                <w:color w:val="000000" w:themeColor="text1"/>
                <w:spacing w:val="-10"/>
                <w:sz w:val="24"/>
                <w:szCs w:val="24"/>
                <w:lang w:val="en-US" w:eastAsia="zh-CN"/>
                <w14:textFill>
                  <w14:solidFill>
                    <w14:schemeClr w14:val="tx1"/>
                  </w14:solidFill>
                </w14:textFill>
              </w:rPr>
              <w:t>7.</w:t>
            </w: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环境风险</w:t>
            </w:r>
          </w:p>
          <w:p w14:paraId="4EC98CD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（1）危险物质识别</w:t>
            </w:r>
          </w:p>
          <w:p w14:paraId="6A3FEC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根据《建设项目环境风险评价技术导则》（HJ169-2018）的要求对项目生产过程中涉及的物质及生产设施进行风险识别。经检索《建设项目环境风险评价技术导则》（HJ169-2018）附录B表B.1中突发环境事件风险物质及临界量，本项目涉及的主要风险物质为天然气，临界量为10t。</w:t>
            </w:r>
          </w:p>
          <w:p w14:paraId="40E826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olor w:val="000000" w:themeColor="text1"/>
                <w:sz w:val="24"/>
                <w:szCs w:val="24"/>
                <w:highlight w:val="none"/>
                <w:lang w:val="en-US" w:eastAsia="zh-CN"/>
                <w14:textFill>
                  <w14:solidFill>
                    <w14:schemeClr w14:val="tx1"/>
                  </w14:solidFill>
                </w14:textFill>
              </w:rPr>
              <w:t>天然气通过管道直接输送至天然气蒸汽锅炉内，不储存</w:t>
            </w:r>
            <w:r>
              <w:rPr>
                <w:rFonts w:hint="eastAsia" w:ascii="Times New Roman" w:hAnsi="Times New Roman"/>
                <w:color w:val="000000" w:themeColor="text1"/>
                <w:sz w:val="24"/>
                <w:szCs w:val="24"/>
                <w:highlight w:val="none"/>
                <w:lang w:val="en-US" w:eastAsia="zh-CN"/>
                <w14:textFill>
                  <w14:solidFill>
                    <w14:schemeClr w14:val="tx1"/>
                  </w14:solidFill>
                </w14:textFill>
              </w:rPr>
              <w:t>，燃气锅炉所用天然气接自市政供气管道，管道天然气在线量主要与管道直径和压力有关，市政天然气入户管径取DN200，工作压力为20k</w:t>
            </w:r>
            <w:r>
              <w:rPr>
                <w:rFonts w:hint="default" w:ascii="Times New Roman" w:hAnsi="Times New Roman"/>
                <w:color w:val="000000" w:themeColor="text1"/>
                <w:sz w:val="24"/>
                <w:szCs w:val="24"/>
                <w:highlight w:val="none"/>
                <w:lang w:val="en-US" w:eastAsia="zh-CN"/>
                <w14:textFill>
                  <w14:solidFill>
                    <w14:schemeClr w14:val="tx1"/>
                  </w14:solidFill>
                </w14:textFill>
              </w:rPr>
              <w:t>Pa</w:t>
            </w:r>
            <w:r>
              <w:rPr>
                <w:rFonts w:hint="eastAsia" w:ascii="Times New Roman" w:hAnsi="Times New Roman"/>
                <w:color w:val="000000" w:themeColor="text1"/>
                <w:sz w:val="24"/>
                <w:szCs w:val="24"/>
                <w:highlight w:val="none"/>
                <w:lang w:val="en-US" w:eastAsia="zh-CN"/>
                <w14:textFill>
                  <w14:solidFill>
                    <w14:schemeClr w14:val="tx1"/>
                  </w14:solidFill>
                </w14:textFill>
              </w:rPr>
              <w:t>，设计压力为50k</w:t>
            </w:r>
            <w:r>
              <w:rPr>
                <w:rFonts w:hint="default" w:ascii="Times New Roman" w:hAnsi="Times New Roman"/>
                <w:color w:val="000000" w:themeColor="text1"/>
                <w:sz w:val="24"/>
                <w:szCs w:val="24"/>
                <w:highlight w:val="none"/>
                <w:lang w:val="en-US" w:eastAsia="zh-CN"/>
                <w14:textFill>
                  <w14:solidFill>
                    <w14:schemeClr w14:val="tx1"/>
                  </w14:solidFill>
                </w14:textFill>
              </w:rPr>
              <w:t>Pa</w:t>
            </w:r>
            <w:r>
              <w:rPr>
                <w:rFonts w:hint="eastAsia" w:ascii="Times New Roman" w:hAnsi="Times New Roman"/>
                <w:color w:val="000000" w:themeColor="text1"/>
                <w:sz w:val="24"/>
                <w:szCs w:val="24"/>
                <w:highlight w:val="none"/>
                <w:lang w:val="en-US" w:eastAsia="zh-CN"/>
                <w14:textFill>
                  <w14:solidFill>
                    <w14:schemeClr w14:val="tx1"/>
                  </w14:solidFill>
                </w14:textFill>
              </w:rPr>
              <w:t>，根据管道走向，天然</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气管道在项目内部铺设长度以1500m计，则计算天然气管道在线量约3765m</w:t>
            </w:r>
            <w:r>
              <w:rPr>
                <w:rFonts w:hint="eastAsia" w:ascii="Times New Roman" w:hAnsi="仿宋" w:eastAsia="Times New Roman" w:cs="仿宋"/>
                <w:b w:val="0"/>
                <w:bCs/>
                <w:color w:val="000000" w:themeColor="text1"/>
                <w:kern w:val="2"/>
                <w:sz w:val="24"/>
                <w:szCs w:val="24"/>
                <w:vertAlign w:val="superscript"/>
                <w:lang w:val="en-US" w:eastAsia="zh-CN" w:bidi="zh-CN"/>
                <w14:textFill>
                  <w14:solidFill>
                    <w14:schemeClr w14:val="tx1"/>
                  </w14:solidFill>
                </w14:textFill>
              </w:rPr>
              <w:t>3</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，天然气密度为0.7174kg/m</w:t>
            </w:r>
            <w:r>
              <w:rPr>
                <w:rFonts w:hint="eastAsia" w:ascii="Times New Roman" w:hAnsi="仿宋" w:eastAsia="Times New Roman" w:cs="仿宋"/>
                <w:b w:val="0"/>
                <w:bCs/>
                <w:color w:val="000000" w:themeColor="text1"/>
                <w:kern w:val="2"/>
                <w:sz w:val="24"/>
                <w:szCs w:val="24"/>
                <w:vertAlign w:val="superscript"/>
                <w:lang w:val="en-US" w:eastAsia="zh-CN" w:bidi="zh-CN"/>
                <w14:textFill>
                  <w14:solidFill>
                    <w14:schemeClr w14:val="tx1"/>
                  </w14:solidFill>
                </w14:textFill>
              </w:rPr>
              <w:t>3</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，因此管道在线量为2.7t，</w:t>
            </w:r>
            <w:r>
              <w:rPr>
                <w:rFonts w:hint="eastAsia" w:ascii="Times New Roman" w:hAnsi="Times New Roman"/>
                <w:color w:val="000000" w:themeColor="text1"/>
                <w:sz w:val="24"/>
                <w:szCs w:val="24"/>
                <w:highlight w:val="none"/>
                <w:lang w:val="en-US" w:eastAsia="zh-CN"/>
                <w14:textFill>
                  <w14:solidFill>
                    <w14:schemeClr w14:val="tx1"/>
                  </w14:solidFill>
                </w14:textFill>
              </w:rPr>
              <w:t>环境风险评价工作级别判定结果见下表4-15。</w:t>
            </w:r>
          </w:p>
          <w:p w14:paraId="39610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15</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环境风险物质识别</w:t>
            </w:r>
          </w:p>
          <w:tbl>
            <w:tblPr>
              <w:tblStyle w:val="26"/>
              <w:tblW w:w="83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42"/>
              <w:gridCol w:w="1130"/>
              <w:gridCol w:w="1929"/>
              <w:gridCol w:w="1846"/>
              <w:gridCol w:w="1753"/>
            </w:tblGrid>
            <w:tr w14:paraId="6CEA80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642" w:type="dxa"/>
                  <w:tcBorders>
                    <w:tl2br w:val="nil"/>
                    <w:tr2bl w:val="nil"/>
                  </w:tcBorders>
                  <w:noWrap w:val="0"/>
                  <w:vAlign w:val="center"/>
                </w:tcPr>
                <w:p w14:paraId="104D67E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单元名称</w:t>
                  </w:r>
                </w:p>
              </w:tc>
              <w:tc>
                <w:tcPr>
                  <w:tcW w:w="1130" w:type="dxa"/>
                  <w:tcBorders>
                    <w:tl2br w:val="nil"/>
                    <w:tr2bl w:val="nil"/>
                  </w:tcBorders>
                  <w:noWrap w:val="0"/>
                  <w:vAlign w:val="center"/>
                </w:tcPr>
                <w:p w14:paraId="3145BC4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危险物质</w:t>
                  </w:r>
                </w:p>
              </w:tc>
              <w:tc>
                <w:tcPr>
                  <w:tcW w:w="1929" w:type="dxa"/>
                  <w:tcBorders>
                    <w:tl2br w:val="nil"/>
                    <w:tr2bl w:val="nil"/>
                  </w:tcBorders>
                  <w:noWrap w:val="0"/>
                  <w:vAlign w:val="center"/>
                </w:tcPr>
                <w:p w14:paraId="235E557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管道在线量（q1）</w:t>
                  </w:r>
                </w:p>
              </w:tc>
              <w:tc>
                <w:tcPr>
                  <w:tcW w:w="1846" w:type="dxa"/>
                  <w:tcBorders>
                    <w:tl2br w:val="nil"/>
                    <w:tr2bl w:val="nil"/>
                  </w:tcBorders>
                  <w:noWrap w:val="0"/>
                  <w:vAlign w:val="center"/>
                </w:tcPr>
                <w:p w14:paraId="6FE1BCD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临界量（Q1）</w:t>
                  </w:r>
                </w:p>
              </w:tc>
              <w:tc>
                <w:tcPr>
                  <w:tcW w:w="1753" w:type="dxa"/>
                  <w:tcBorders>
                    <w:tl2br w:val="nil"/>
                    <w:tr2bl w:val="nil"/>
                  </w:tcBorders>
                  <w:noWrap w:val="0"/>
                  <w:vAlign w:val="center"/>
                </w:tcPr>
                <w:p w14:paraId="0CFFC6D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Q（q1/Q1）</w:t>
                  </w:r>
                </w:p>
              </w:tc>
            </w:tr>
            <w:tr w14:paraId="0D1F2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642" w:type="dxa"/>
                  <w:tcBorders>
                    <w:tl2br w:val="nil"/>
                    <w:tr2bl w:val="nil"/>
                  </w:tcBorders>
                  <w:noWrap w:val="0"/>
                  <w:vAlign w:val="center"/>
                </w:tcPr>
                <w:p w14:paraId="0B2DDC1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eastAsia="zh-CN"/>
                      <w14:textFill>
                        <w14:solidFill>
                          <w14:schemeClr w14:val="tx1"/>
                        </w14:solidFill>
                      </w14:textFill>
                    </w:rPr>
                  </w:pPr>
                  <w:r>
                    <w:rPr>
                      <w:rFonts w:hint="default" w:ascii="Times New Roman" w:hAnsi="Times New Roman" w:cs="Times New Roman"/>
                      <w:color w:val="000000" w:themeColor="text1"/>
                      <w:szCs w:val="20"/>
                      <w:lang w:eastAsia="zh-CN"/>
                      <w14:textFill>
                        <w14:solidFill>
                          <w14:schemeClr w14:val="tx1"/>
                        </w14:solidFill>
                      </w14:textFill>
                    </w:rPr>
                    <w:t>天然气锅炉</w:t>
                  </w:r>
                </w:p>
              </w:tc>
              <w:tc>
                <w:tcPr>
                  <w:tcW w:w="1130" w:type="dxa"/>
                  <w:tcBorders>
                    <w:tl2br w:val="nil"/>
                    <w:tr2bl w:val="nil"/>
                  </w:tcBorders>
                  <w:noWrap w:val="0"/>
                  <w:vAlign w:val="center"/>
                </w:tcPr>
                <w:p w14:paraId="2E36F05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eastAsia="zh-CN"/>
                      <w14:textFill>
                        <w14:solidFill>
                          <w14:schemeClr w14:val="tx1"/>
                        </w14:solidFill>
                      </w14:textFill>
                    </w:rPr>
                  </w:pPr>
                  <w:r>
                    <w:rPr>
                      <w:rFonts w:hint="default" w:ascii="Times New Roman" w:hAnsi="Times New Roman" w:cs="Times New Roman"/>
                      <w:color w:val="000000" w:themeColor="text1"/>
                      <w:szCs w:val="20"/>
                      <w:lang w:eastAsia="zh-CN"/>
                      <w14:textFill>
                        <w14:solidFill>
                          <w14:schemeClr w14:val="tx1"/>
                        </w14:solidFill>
                      </w14:textFill>
                    </w:rPr>
                    <w:t>天然气</w:t>
                  </w:r>
                </w:p>
              </w:tc>
              <w:tc>
                <w:tcPr>
                  <w:tcW w:w="1929" w:type="dxa"/>
                  <w:tcBorders>
                    <w:tl2br w:val="nil"/>
                    <w:tr2bl w:val="nil"/>
                  </w:tcBorders>
                  <w:noWrap w:val="0"/>
                  <w:vAlign w:val="center"/>
                </w:tcPr>
                <w:p w14:paraId="65CD47D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eastAsia" w:ascii="Times New Roman" w:hAnsi="Times New Roman" w:cs="Times New Roman"/>
                      <w:color w:val="000000" w:themeColor="text1"/>
                      <w:szCs w:val="20"/>
                      <w:lang w:val="en-US" w:eastAsia="zh-CN"/>
                      <w14:textFill>
                        <w14:solidFill>
                          <w14:schemeClr w14:val="tx1"/>
                        </w14:solidFill>
                      </w14:textFill>
                    </w:rPr>
                    <w:t>2.7</w:t>
                  </w:r>
                  <w:r>
                    <w:rPr>
                      <w:rFonts w:hint="default" w:ascii="Times New Roman" w:hAnsi="Times New Roman" w:cs="Times New Roman"/>
                      <w:color w:val="000000" w:themeColor="text1"/>
                      <w:sz w:val="24"/>
                      <w14:textFill>
                        <w14:solidFill>
                          <w14:schemeClr w14:val="tx1"/>
                        </w14:solidFill>
                      </w14:textFill>
                    </w:rPr>
                    <w:t>t</w:t>
                  </w:r>
                </w:p>
              </w:tc>
              <w:tc>
                <w:tcPr>
                  <w:tcW w:w="1846" w:type="dxa"/>
                  <w:tcBorders>
                    <w:tl2br w:val="nil"/>
                    <w:tr2bl w:val="nil"/>
                  </w:tcBorders>
                  <w:noWrap w:val="0"/>
                  <w:vAlign w:val="center"/>
                </w:tcPr>
                <w:p w14:paraId="3AB9256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0"/>
                      <w14:textFill>
                        <w14:solidFill>
                          <w14:schemeClr w14:val="tx1"/>
                        </w14:solidFill>
                      </w14:textFill>
                    </w:rPr>
                  </w:pPr>
                  <w:r>
                    <w:rPr>
                      <w:rFonts w:hint="default" w:ascii="Times New Roman" w:hAnsi="Times New Roman" w:cs="Times New Roman"/>
                      <w:color w:val="000000" w:themeColor="text1"/>
                      <w:szCs w:val="20"/>
                      <w:lang w:val="en-US" w:eastAsia="zh-CN"/>
                      <w14:textFill>
                        <w14:solidFill>
                          <w14:schemeClr w14:val="tx1"/>
                        </w14:solidFill>
                      </w14:textFill>
                    </w:rPr>
                    <w:t>1</w:t>
                  </w:r>
                  <w:r>
                    <w:rPr>
                      <w:rFonts w:hint="default" w:ascii="Times New Roman" w:hAnsi="Times New Roman" w:cs="Times New Roman"/>
                      <w:color w:val="000000" w:themeColor="text1"/>
                      <w:szCs w:val="20"/>
                      <w14:textFill>
                        <w14:solidFill>
                          <w14:schemeClr w14:val="tx1"/>
                        </w14:solidFill>
                      </w14:textFill>
                    </w:rPr>
                    <w:t>0</w:t>
                  </w:r>
                  <w:r>
                    <w:rPr>
                      <w:rFonts w:hint="default" w:ascii="Times New Roman" w:hAnsi="Times New Roman" w:cs="Times New Roman"/>
                      <w:color w:val="000000" w:themeColor="text1"/>
                      <w:sz w:val="24"/>
                      <w14:textFill>
                        <w14:solidFill>
                          <w14:schemeClr w14:val="tx1"/>
                        </w14:solidFill>
                      </w14:textFill>
                    </w:rPr>
                    <w:t>t</w:t>
                  </w:r>
                </w:p>
              </w:tc>
              <w:tc>
                <w:tcPr>
                  <w:tcW w:w="1753" w:type="dxa"/>
                  <w:tcBorders>
                    <w:tl2br w:val="nil"/>
                    <w:tr2bl w:val="nil"/>
                  </w:tcBorders>
                  <w:noWrap w:val="0"/>
                  <w:vAlign w:val="center"/>
                </w:tcPr>
                <w:p w14:paraId="4F25608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default" w:ascii="Times New Roman" w:hAnsi="Times New Roman" w:cs="Times New Roman"/>
                      <w:color w:val="000000" w:themeColor="text1"/>
                      <w:szCs w:val="20"/>
                      <w14:textFill>
                        <w14:solidFill>
                          <w14:schemeClr w14:val="tx1"/>
                        </w14:solidFill>
                      </w14:textFill>
                    </w:rPr>
                    <w:t>0.</w:t>
                  </w:r>
                  <w:r>
                    <w:rPr>
                      <w:rFonts w:hint="eastAsia" w:ascii="Times New Roman" w:hAnsi="Times New Roman" w:cs="Times New Roman"/>
                      <w:color w:val="000000" w:themeColor="text1"/>
                      <w:szCs w:val="20"/>
                      <w:lang w:val="en-US" w:eastAsia="zh-CN"/>
                      <w14:textFill>
                        <w14:solidFill>
                          <w14:schemeClr w14:val="tx1"/>
                        </w14:solidFill>
                      </w14:textFill>
                    </w:rPr>
                    <w:t>27</w:t>
                  </w:r>
                </w:p>
              </w:tc>
            </w:tr>
            <w:tr w14:paraId="180D6B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47" w:type="dxa"/>
                  <w:gridSpan w:val="4"/>
                  <w:tcBorders>
                    <w:tl2br w:val="nil"/>
                    <w:tr2bl w:val="nil"/>
                  </w:tcBorders>
                  <w:noWrap w:val="0"/>
                  <w:vAlign w:val="center"/>
                </w:tcPr>
                <w:p w14:paraId="20D08FA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0"/>
                      <w14:textFill>
                        <w14:solidFill>
                          <w14:schemeClr w14:val="tx1"/>
                        </w14:solidFill>
                      </w14:textFill>
                    </w:rPr>
                  </w:pPr>
                  <w:r>
                    <w:rPr>
                      <w:rFonts w:hint="default" w:ascii="Times New Roman" w:hAnsi="Times New Roman" w:cs="Times New Roman"/>
                      <w:color w:val="000000" w:themeColor="text1"/>
                      <w:szCs w:val="20"/>
                      <w14:textFill>
                        <w14:solidFill>
                          <w14:schemeClr w14:val="tx1"/>
                        </w14:solidFill>
                      </w14:textFill>
                    </w:rPr>
                    <w:t>合计</w:t>
                  </w:r>
                </w:p>
              </w:tc>
              <w:tc>
                <w:tcPr>
                  <w:tcW w:w="1753" w:type="dxa"/>
                  <w:tcBorders>
                    <w:tl2br w:val="nil"/>
                    <w:tr2bl w:val="nil"/>
                  </w:tcBorders>
                  <w:noWrap w:val="0"/>
                  <w:vAlign w:val="center"/>
                </w:tcPr>
                <w:p w14:paraId="77C1D0A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eastAsia" w:ascii="Times New Roman" w:hAnsi="Times New Roman" w:cs="Times New Roman"/>
                      <w:color w:val="000000" w:themeColor="text1"/>
                      <w:szCs w:val="20"/>
                      <w:lang w:val="en-US" w:eastAsia="zh-CN"/>
                      <w14:textFill>
                        <w14:solidFill>
                          <w14:schemeClr w14:val="tx1"/>
                        </w14:solidFill>
                      </w14:textFill>
                    </w:rPr>
                    <w:t>0.27</w:t>
                  </w:r>
                </w:p>
              </w:tc>
            </w:tr>
          </w:tbl>
          <w:p w14:paraId="1FEB9D16">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根据上表可以看出，危险物质存在量与临界量</w:t>
            </w:r>
            <w:r>
              <w:rPr>
                <w:rFonts w:hint="default" w:ascii="Times New Roman" w:hAnsi="Times New Roman" w:cs="Times New Roman"/>
                <w:color w:val="000000" w:themeColor="text1"/>
                <w:sz w:val="24"/>
                <w14:textFill>
                  <w14:solidFill>
                    <w14:schemeClr w14:val="tx1"/>
                  </w14:solidFill>
                </w14:textFill>
              </w:rPr>
              <w:t>比值Q&lt;1，本项目环境风险潜势为</w:t>
            </w:r>
            <w:r>
              <w:rPr>
                <w:rFonts w:hint="default" w:ascii="Times New Roman" w:hAnsi="Times New Roman" w:eastAsia="Times New Roman" w:cs="Times New Roman"/>
                <w:b w:val="0"/>
                <w:bCs/>
                <w:color w:val="000000" w:themeColor="text1"/>
                <w:kern w:val="2"/>
                <w:sz w:val="24"/>
                <w:szCs w:val="24"/>
                <w:lang w:val="en-US" w:eastAsia="zh-CN" w:bidi="zh-CN"/>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t>，据此判定风险评价工作等级为简单分析，不需进行</w:t>
            </w:r>
            <w:r>
              <w:rPr>
                <w:rFonts w:hint="eastAsia"/>
                <w:color w:val="000000" w:themeColor="text1"/>
                <w:sz w:val="24"/>
                <w14:textFill>
                  <w14:solidFill>
                    <w14:schemeClr w14:val="tx1"/>
                  </w14:solidFill>
                </w14:textFill>
              </w:rPr>
              <w:t>专项评价。</w:t>
            </w:r>
          </w:p>
          <w:p w14:paraId="43A6AB3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（2）风险源分布及可能影响途径</w:t>
            </w:r>
          </w:p>
          <w:p w14:paraId="4087A6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本项目危险废物主要为</w:t>
            </w:r>
            <w:r>
              <w:rPr>
                <w:rFonts w:hint="eastAsia"/>
                <w:color w:val="000000" w:themeColor="text1"/>
                <w:sz w:val="24"/>
                <w:lang w:eastAsia="zh-CN"/>
                <w14:textFill>
                  <w14:solidFill>
                    <w14:schemeClr w14:val="tx1"/>
                  </w14:solidFill>
                </w14:textFill>
              </w:rPr>
              <w:t>天然气</w:t>
            </w:r>
            <w:r>
              <w:rPr>
                <w:rFonts w:hint="eastAsia"/>
                <w:color w:val="000000" w:themeColor="text1"/>
                <w:sz w:val="24"/>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具有燃烧爆炸性。采用管道运输，分布于</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内天然气管道。主要影响途径为通过大气、地表水和地下水影响环境</w:t>
            </w:r>
            <w:r>
              <w:rPr>
                <w:rFonts w:hint="eastAsia"/>
                <w:color w:val="000000" w:themeColor="text1"/>
                <w:sz w:val="24"/>
                <w14:textFill>
                  <w14:solidFill>
                    <w14:schemeClr w14:val="tx1"/>
                  </w14:solidFill>
                </w14:textFill>
              </w:rPr>
              <w:t>。</w:t>
            </w:r>
          </w:p>
          <w:p w14:paraId="4EF4E01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（3）环境风险防范措施</w:t>
            </w:r>
          </w:p>
          <w:p w14:paraId="5E35539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本项目的主要环境风险为爆炸和燃烧产生的次生污染，应制定紧急应变程序和提供适当的应急设备，让员工能够迅速地做出正确的反应，以降低人员伤亡和财产损失</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78846DC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天然气连接管线设计、施工、运营、管理、检验、修理和改造等严格执行《城镇燃气设计规范》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GB50028-2006</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、《石油天然气管道安全规程》</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SY6186-2007</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、《天然气管道运行管理规范》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SY/T5922-</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2012）</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等规范要求执行，并采取以下措施进行防范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088AB81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①管线开挖施工前，严格按照设计规范及现场条件，确定管线走向，避开电力、给排水、电信等管线。</w:t>
            </w:r>
          </w:p>
          <w:p w14:paraId="32DF426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②管道施工时应对施工材料加强质量检查，严禁使用不合格产品。对焊接质量严格检验，防止焊接缺陷造成泄漏事故的发生。并由有关负责人签字后才能够进行埋管作业。</w:t>
            </w:r>
          </w:p>
          <w:p w14:paraId="7419001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③按规定进行设备维修、保养、更換易损及老化部件。加强自动控制系统的管理和控制，严格控制压力平衡，防止事故的发生。</w:t>
            </w:r>
          </w:p>
          <w:p w14:paraId="70A96D7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④严格进行普道防腐技术处理，加强阴极保护管理，防止管道腐蚀的发生，特别是在接口处应加强管道的防腐级别。</w:t>
            </w:r>
          </w:p>
          <w:p w14:paraId="5848598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⑤加强对管线阀门、泄漏检测报警系统检修维护保养工作，确保阀门、泄漏检测报警系统正常运行确保燃烧器燃气泄漏检测、燃气泄漏环境浓度检测、燃气总管快速切断阀控制的仪器正常运行。</w:t>
            </w:r>
          </w:p>
          <w:p w14:paraId="05B7D29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⑥加强防火安全管理</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杜绝明火，凡进入锅炉房的人员一律严禁带火种，在锅炉房内需动用电焊、气焊作业时，严格根据动火审批程序办事，采取一切必要的预防措施，施工作业时车间专职安全员和主要领导要在现场监护，锅炉房内禁止堆放任何易燃物品和杂物。</w:t>
            </w:r>
          </w:p>
          <w:p w14:paraId="75539C6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⑦采取防静电防爆措施</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每年对天然气管道的静电和防雷接地装置以及电气设备的接地保护线进行检测，保证防火防爆安全装置完好，使静电和雷电能够及时得到地释放</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采用防拳型照明、防爆仪表及其他防爆用电设备。</w:t>
            </w:r>
          </w:p>
          <w:p w14:paraId="6844A459">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04375DB8">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25F8ECB9">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7E8F89BB">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7541C7DF">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15D7BE8C">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601F4B80">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861F57D">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1C1444A6">
            <w:pPr>
              <w:pStyle w:val="48"/>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tc>
      </w:tr>
    </w:tbl>
    <w:p w14:paraId="3988B933">
      <w:pPr>
        <w:spacing w:line="360" w:lineRule="auto"/>
        <w:rPr>
          <w:rFonts w:hint="eastAsia" w:ascii="宋体" w:hAnsi="Times New Roman" w:eastAsia="宋体" w:cs="宋体"/>
          <w:b/>
          <w:bCs w:val="0"/>
          <w:color w:val="000000" w:themeColor="text1"/>
          <w:sz w:val="28"/>
          <w:szCs w:val="28"/>
          <w:lang w:val="en-US" w:eastAsia="zh-CN" w:bidi="ar"/>
          <w14:textFill>
            <w14:solidFill>
              <w14:schemeClr w14:val="tx1"/>
            </w14:solidFill>
          </w14:textFill>
        </w:rPr>
        <w:sectPr>
          <w:pgSz w:w="11915" w:h="16840"/>
          <w:pgMar w:top="1304" w:right="1803" w:bottom="1304"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7BAFDAD2">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b/>
          <w:bCs/>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五、</w:t>
      </w:r>
      <w:bookmarkStart w:id="2" w:name="_Hlk54167917"/>
      <w:r>
        <w:rPr>
          <w:rFonts w:hint="eastAsia" w:ascii="宋体" w:hAnsi="宋体" w:eastAsia="宋体" w:cs="宋体"/>
          <w:b/>
          <w:bCs/>
          <w:snapToGrid w:val="0"/>
          <w:color w:val="000000" w:themeColor="text1"/>
          <w:sz w:val="30"/>
          <w:szCs w:val="30"/>
          <w:lang w:eastAsia="zh-CN"/>
          <w14:textFill>
            <w14:solidFill>
              <w14:schemeClr w14:val="tx1"/>
            </w14:solidFill>
          </w14:textFill>
        </w:rPr>
        <w:t>环境保护措施监督检查清单</w:t>
      </w:r>
      <w:bookmarkEnd w:id="2"/>
    </w:p>
    <w:tbl>
      <w:tblPr>
        <w:tblStyle w:val="26"/>
        <w:tblW w:w="89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15"/>
        <w:gridCol w:w="1703"/>
        <w:gridCol w:w="1179"/>
        <w:gridCol w:w="1821"/>
        <w:gridCol w:w="3026"/>
      </w:tblGrid>
      <w:tr w14:paraId="52D76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tcBorders>
              <w:tl2br w:val="nil"/>
              <w:tr2bl w:val="nil"/>
            </w:tcBorders>
            <w:shd w:val="clear" w:color="auto" w:fill="auto"/>
            <w:vAlign w:val="top"/>
          </w:tcPr>
          <w:p w14:paraId="2D78344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11" w:firstLineChars="100"/>
              <w:jc w:val="right"/>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内容</w:t>
            </w:r>
          </w:p>
          <w:p w14:paraId="7CEC165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要素</w:t>
            </w:r>
          </w:p>
        </w:tc>
        <w:tc>
          <w:tcPr>
            <w:tcW w:w="1703" w:type="dxa"/>
            <w:tcBorders>
              <w:tl2br w:val="nil"/>
              <w:tr2bl w:val="nil"/>
            </w:tcBorders>
            <w:shd w:val="clear" w:color="auto" w:fill="auto"/>
            <w:vAlign w:val="center"/>
          </w:tcPr>
          <w:p w14:paraId="36CE0FF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排放口(编号、</w:t>
            </w:r>
          </w:p>
          <w:p w14:paraId="37E0ED6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名称)/污染源</w:t>
            </w:r>
          </w:p>
        </w:tc>
        <w:tc>
          <w:tcPr>
            <w:tcW w:w="1179" w:type="dxa"/>
            <w:tcBorders>
              <w:tl2br w:val="nil"/>
              <w:tr2bl w:val="nil"/>
            </w:tcBorders>
            <w:shd w:val="clear" w:color="auto" w:fill="auto"/>
            <w:vAlign w:val="center"/>
          </w:tcPr>
          <w:p w14:paraId="682A484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kern w:val="2"/>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污染物</w:t>
            </w:r>
          </w:p>
          <w:p w14:paraId="3600DB1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项目</w:t>
            </w:r>
          </w:p>
        </w:tc>
        <w:tc>
          <w:tcPr>
            <w:tcW w:w="1821" w:type="dxa"/>
            <w:tcBorders>
              <w:tl2br w:val="nil"/>
              <w:tr2bl w:val="nil"/>
            </w:tcBorders>
            <w:shd w:val="clear" w:color="auto" w:fill="auto"/>
            <w:vAlign w:val="center"/>
          </w:tcPr>
          <w:p w14:paraId="53C000F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环境保护措施</w:t>
            </w:r>
          </w:p>
        </w:tc>
        <w:tc>
          <w:tcPr>
            <w:tcW w:w="3026" w:type="dxa"/>
            <w:tcBorders>
              <w:tl2br w:val="nil"/>
              <w:tr2bl w:val="nil"/>
            </w:tcBorders>
            <w:shd w:val="clear" w:color="auto" w:fill="auto"/>
            <w:vAlign w:val="center"/>
          </w:tcPr>
          <w:p w14:paraId="6925AB5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执行标准</w:t>
            </w:r>
          </w:p>
        </w:tc>
      </w:tr>
      <w:tr w14:paraId="7E1F75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restart"/>
            <w:tcBorders>
              <w:tl2br w:val="nil"/>
              <w:tr2bl w:val="nil"/>
            </w:tcBorders>
            <w:shd w:val="clear" w:color="auto" w:fill="auto"/>
            <w:vAlign w:val="center"/>
          </w:tcPr>
          <w:p w14:paraId="45CA7E1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大气环境</w:t>
            </w:r>
          </w:p>
        </w:tc>
        <w:tc>
          <w:tcPr>
            <w:tcW w:w="1703" w:type="dxa"/>
            <w:vMerge w:val="restart"/>
            <w:tcBorders>
              <w:tl2br w:val="nil"/>
              <w:tr2bl w:val="nil"/>
            </w:tcBorders>
            <w:shd w:val="clear" w:color="auto" w:fill="auto"/>
            <w:vAlign w:val="center"/>
          </w:tcPr>
          <w:p w14:paraId="042FB00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锅炉废气</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tc>
        <w:tc>
          <w:tcPr>
            <w:tcW w:w="1179" w:type="dxa"/>
            <w:tcBorders>
              <w:tl2br w:val="nil"/>
              <w:tr2bl w:val="nil"/>
            </w:tcBorders>
            <w:shd w:val="clear" w:color="auto" w:fill="auto"/>
            <w:vAlign w:val="center"/>
          </w:tcPr>
          <w:p w14:paraId="078FDC0B">
            <w:pPr>
              <w:pStyle w:val="37"/>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SO</w:t>
            </w:r>
            <w:r>
              <w:rPr>
                <w:rFonts w:hint="default" w:ascii="Times New Roman" w:hAnsi="Times New Roman" w:cs="Times New Roman"/>
                <w:color w:val="000000" w:themeColor="text1"/>
                <w:sz w:val="21"/>
                <w:szCs w:val="21"/>
                <w:vertAlign w:val="subscript"/>
                <w14:textFill>
                  <w14:solidFill>
                    <w14:schemeClr w14:val="tx1"/>
                  </w14:solidFill>
                </w14:textFill>
              </w:rPr>
              <w:t>2</w:t>
            </w:r>
          </w:p>
        </w:tc>
        <w:tc>
          <w:tcPr>
            <w:tcW w:w="1821" w:type="dxa"/>
            <w:vMerge w:val="restart"/>
            <w:tcBorders>
              <w:tl2br w:val="nil"/>
              <w:tr2bl w:val="nil"/>
            </w:tcBorders>
            <w:shd w:val="clear" w:color="auto" w:fill="auto"/>
            <w:vAlign w:val="center"/>
          </w:tcPr>
          <w:p w14:paraId="7E1D876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锅炉房</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台</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1.4MW</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燃气热水锅炉</w:t>
            </w:r>
            <w:r>
              <w:rPr>
                <w:rFonts w:hint="default" w:ascii="Times New Roman" w:hAnsi="Times New Roman" w:eastAsia="宋体" w:cs="Times New Roman"/>
                <w:color w:val="000000" w:themeColor="text1"/>
                <w:sz w:val="21"/>
                <w:szCs w:val="21"/>
                <w:lang w:val="en-US"/>
                <w14:textFill>
                  <w14:solidFill>
                    <w14:schemeClr w14:val="tx1"/>
                  </w14:solidFill>
                </w14:textFill>
              </w:rPr>
              <w:t>废气经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收集后通过1根</w:t>
            </w:r>
            <w:r>
              <w:rPr>
                <w:rFonts w:hint="default" w:ascii="Times New Roman" w:hAnsi="Times New Roman" w:eastAsia="宋体" w:cs="Times New Roman"/>
                <w:color w:val="000000" w:themeColor="text1"/>
                <w:sz w:val="21"/>
                <w:szCs w:val="21"/>
                <w:lang w:val="en-US"/>
                <w14:textFill>
                  <w14:solidFill>
                    <w14:schemeClr w14:val="tx1"/>
                  </w14:solidFill>
                </w14:textFill>
              </w:rPr>
              <w:t>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90</w:t>
            </w:r>
            <w:r>
              <w:rPr>
                <w:rFonts w:hint="default" w:ascii="Times New Roman" w:hAnsi="Times New Roman" w:eastAsia="宋体" w:cs="Times New Roman"/>
                <w:color w:val="000000" w:themeColor="text1"/>
                <w:sz w:val="21"/>
                <w:szCs w:val="21"/>
                <w:lang w:val="en-US"/>
                <w14:textFill>
                  <w14:solidFill>
                    <w14:schemeClr w14:val="tx1"/>
                  </w14:solidFill>
                </w14:textFill>
              </w:rPr>
              <w:t>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高</w:t>
            </w:r>
            <w:r>
              <w:rPr>
                <w:rFonts w:hint="default" w:ascii="Times New Roman" w:hAnsi="Times New Roman" w:eastAsia="宋体" w:cs="Times New Roman"/>
                <w:color w:val="000000" w:themeColor="text1"/>
                <w:sz w:val="21"/>
                <w:szCs w:val="21"/>
                <w:lang w:val="en-US"/>
                <w14:textFill>
                  <w14:solidFill>
                    <w14:schemeClr w14:val="tx1"/>
                  </w14:solidFill>
                </w14:textFill>
              </w:rPr>
              <w:t>排气筒排放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3026" w:type="dxa"/>
            <w:vMerge w:val="restart"/>
            <w:tcBorders>
              <w:tl2br w:val="nil"/>
              <w:tr2bl w:val="nil"/>
            </w:tcBorders>
            <w:shd w:val="clear" w:color="auto" w:fill="auto"/>
            <w:vAlign w:val="center"/>
          </w:tcPr>
          <w:p w14:paraId="6790360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《锅炉大气污染物排放标准》（DB61/1226-2018）表3燃气锅炉排放限值</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599E47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0A75F1A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b/>
                <w:bCs/>
                <w:color w:val="000000" w:themeColor="text1"/>
                <w:sz w:val="21"/>
                <w:szCs w:val="21"/>
                <w14:textFill>
                  <w14:solidFill>
                    <w14:schemeClr w14:val="tx1"/>
                  </w14:solidFill>
                </w14:textFill>
              </w:rPr>
            </w:pPr>
          </w:p>
        </w:tc>
        <w:tc>
          <w:tcPr>
            <w:tcW w:w="1703" w:type="dxa"/>
            <w:vMerge w:val="continue"/>
            <w:tcBorders>
              <w:tl2br w:val="nil"/>
              <w:tr2bl w:val="nil"/>
            </w:tcBorders>
            <w:shd w:val="clear" w:color="auto" w:fill="auto"/>
            <w:vAlign w:val="center"/>
          </w:tcPr>
          <w:p w14:paraId="4FA5ACE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179" w:type="dxa"/>
            <w:tcBorders>
              <w:tl2br w:val="nil"/>
              <w:tr2bl w:val="nil"/>
            </w:tcBorders>
            <w:shd w:val="clear" w:color="auto" w:fill="auto"/>
            <w:vAlign w:val="center"/>
          </w:tcPr>
          <w:p w14:paraId="24FF1EBD">
            <w:pPr>
              <w:pStyle w:val="37"/>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烟尘</w:t>
            </w:r>
          </w:p>
        </w:tc>
        <w:tc>
          <w:tcPr>
            <w:tcW w:w="1821" w:type="dxa"/>
            <w:vMerge w:val="continue"/>
            <w:tcBorders>
              <w:tl2br w:val="nil"/>
              <w:tr2bl w:val="nil"/>
            </w:tcBorders>
            <w:shd w:val="clear" w:color="auto" w:fill="auto"/>
            <w:vAlign w:val="center"/>
          </w:tcPr>
          <w:p w14:paraId="79DD71A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3026" w:type="dxa"/>
            <w:vMerge w:val="continue"/>
            <w:tcBorders>
              <w:tl2br w:val="nil"/>
              <w:tr2bl w:val="nil"/>
            </w:tcBorders>
            <w:shd w:val="clear" w:color="auto" w:fill="auto"/>
            <w:vAlign w:val="center"/>
          </w:tcPr>
          <w:p w14:paraId="1440664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r>
      <w:tr w14:paraId="0F2DDA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28010AE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0BCCE48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1AE0EC94">
            <w:pPr>
              <w:pStyle w:val="37"/>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NO</w:t>
            </w:r>
            <w:r>
              <w:rPr>
                <w:rFonts w:hint="default" w:ascii="Times New Roman" w:hAnsi="Times New Roman" w:cs="Times New Roman"/>
                <w:i w:val="0"/>
                <w:iCs w:val="0"/>
                <w:color w:val="000000" w:themeColor="text1"/>
                <w:sz w:val="21"/>
                <w:szCs w:val="21"/>
                <w:vertAlign w:val="subscript"/>
                <w14:textFill>
                  <w14:solidFill>
                    <w14:schemeClr w14:val="tx1"/>
                  </w14:solidFill>
                </w14:textFill>
              </w:rPr>
              <w:t>X</w:t>
            </w:r>
          </w:p>
        </w:tc>
        <w:tc>
          <w:tcPr>
            <w:tcW w:w="1821" w:type="dxa"/>
            <w:vMerge w:val="continue"/>
            <w:tcBorders>
              <w:tl2br w:val="nil"/>
              <w:tr2bl w:val="nil"/>
            </w:tcBorders>
            <w:shd w:val="clear" w:color="auto" w:fill="auto"/>
            <w:vAlign w:val="center"/>
          </w:tcPr>
          <w:p w14:paraId="7462B2E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3026" w:type="dxa"/>
            <w:tcBorders>
              <w:tl2br w:val="nil"/>
              <w:tr2bl w:val="nil"/>
            </w:tcBorders>
            <w:shd w:val="clear" w:color="auto" w:fill="auto"/>
            <w:vAlign w:val="center"/>
          </w:tcPr>
          <w:p w14:paraId="49DBF87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r>
      <w:tr w14:paraId="6AC52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7DB8DD4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76724BB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10497916">
            <w:pPr>
              <w:pStyle w:val="37"/>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烟气黑度</w:t>
            </w:r>
          </w:p>
        </w:tc>
        <w:tc>
          <w:tcPr>
            <w:tcW w:w="1821" w:type="dxa"/>
            <w:vMerge w:val="continue"/>
            <w:tcBorders>
              <w:tl2br w:val="nil"/>
              <w:tr2bl w:val="nil"/>
            </w:tcBorders>
            <w:shd w:val="clear" w:color="auto" w:fill="auto"/>
            <w:vAlign w:val="center"/>
          </w:tcPr>
          <w:p w14:paraId="3075A25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3026" w:type="dxa"/>
            <w:tcBorders>
              <w:tl2br w:val="nil"/>
              <w:tr2bl w:val="nil"/>
            </w:tcBorders>
            <w:shd w:val="clear" w:color="auto" w:fill="auto"/>
            <w:vAlign w:val="center"/>
          </w:tcPr>
          <w:p w14:paraId="555F38F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《锅炉大气污染物排放标准》（GB13271-2014）；</w:t>
            </w:r>
          </w:p>
        </w:tc>
      </w:tr>
      <w:tr w14:paraId="08A484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restart"/>
            <w:tcBorders>
              <w:tl2br w:val="nil"/>
              <w:tr2bl w:val="nil"/>
            </w:tcBorders>
            <w:shd w:val="clear" w:color="auto" w:fill="auto"/>
            <w:vAlign w:val="center"/>
          </w:tcPr>
          <w:p w14:paraId="03CCDF5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水环境</w:t>
            </w:r>
          </w:p>
        </w:tc>
        <w:tc>
          <w:tcPr>
            <w:tcW w:w="1703" w:type="dxa"/>
            <w:vMerge w:val="restart"/>
            <w:tcBorders>
              <w:tl2br w:val="nil"/>
              <w:tr2bl w:val="nil"/>
            </w:tcBorders>
            <w:shd w:val="clear" w:color="auto" w:fill="auto"/>
            <w:vAlign w:val="center"/>
          </w:tcPr>
          <w:p w14:paraId="3373B8B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锅炉定期排污水</w:t>
            </w:r>
          </w:p>
        </w:tc>
        <w:tc>
          <w:tcPr>
            <w:tcW w:w="1179" w:type="dxa"/>
            <w:tcBorders>
              <w:tl2br w:val="nil"/>
              <w:tr2bl w:val="nil"/>
            </w:tcBorders>
            <w:shd w:val="clear" w:color="auto" w:fill="auto"/>
            <w:vAlign w:val="center"/>
          </w:tcPr>
          <w:p w14:paraId="7EBE9DDC">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流量</w:t>
            </w:r>
          </w:p>
        </w:tc>
        <w:tc>
          <w:tcPr>
            <w:tcW w:w="1821" w:type="dxa"/>
            <w:vMerge w:val="restart"/>
            <w:tcBorders>
              <w:tl2br w:val="nil"/>
              <w:tr2bl w:val="nil"/>
            </w:tcBorders>
            <w:shd w:val="clear" w:color="auto" w:fill="auto"/>
            <w:vAlign w:val="center"/>
          </w:tcPr>
          <w:p w14:paraId="71C1ABD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eastAsiaTheme="minorEastAsia"/>
                <w:color w:val="000000" w:themeColor="text1"/>
                <w:sz w:val="21"/>
                <w:szCs w:val="21"/>
                <w:lang w:val="en-US" w:eastAsia="zh-CN"/>
                <w14:textFill>
                  <w14:solidFill>
                    <w14:schemeClr w14:val="tx1"/>
                  </w14:solidFill>
                </w14:textFill>
              </w:rPr>
              <w:t>市政污水管网最终进</w:t>
            </w:r>
            <w:r>
              <w:rPr>
                <w:rFonts w:hint="default" w:ascii="宋体" w:hAnsi="宋体" w:cs="宋体" w:eastAsiaTheme="minorEastAsia"/>
                <w:color w:val="000000" w:themeColor="text1"/>
                <w:sz w:val="21"/>
                <w:szCs w:val="21"/>
                <w:lang w:val="en-US" w:eastAsia="zh-CN"/>
                <w14:textFill>
                  <w14:solidFill>
                    <w14:schemeClr w14:val="tx1"/>
                  </w14:solidFill>
                </w14:textFill>
              </w:rPr>
              <w:t>西安净水处理有限责任公司第六再生水厂</w:t>
            </w:r>
            <w:r>
              <w:rPr>
                <w:rFonts w:hint="eastAsia" w:ascii="宋体" w:hAnsi="宋体" w:cs="宋体" w:eastAsiaTheme="minorEastAsia"/>
                <w:color w:val="000000" w:themeColor="text1"/>
                <w:sz w:val="21"/>
                <w:szCs w:val="21"/>
                <w:lang w:val="en-US" w:eastAsia="zh-CN"/>
                <w14:textFill>
                  <w14:solidFill>
                    <w14:schemeClr w14:val="tx1"/>
                  </w14:solidFill>
                </w14:textFill>
              </w:rPr>
              <w:t>；</w:t>
            </w:r>
          </w:p>
        </w:tc>
        <w:tc>
          <w:tcPr>
            <w:tcW w:w="3026" w:type="dxa"/>
            <w:vMerge w:val="restart"/>
            <w:tcBorders>
              <w:tl2br w:val="nil"/>
              <w:tr2bl w:val="nil"/>
            </w:tcBorders>
            <w:shd w:val="clear" w:color="auto" w:fill="auto"/>
            <w:vAlign w:val="center"/>
          </w:tcPr>
          <w:p w14:paraId="2CC6CED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《污水综合排放标准》（GB8978-1996）三级标准、《污水排入城镇下水道水质标准》（GB/T31962-2015）中</w:t>
            </w:r>
            <w:r>
              <w:rPr>
                <w:rFonts w:hint="eastAsia" w:ascii="Times New Roman" w:hAnsi="Times New Roman" w:cs="Times New Roman"/>
                <w:color w:val="000000" w:themeColor="text1"/>
                <w:sz w:val="21"/>
                <w:szCs w:val="21"/>
                <w:lang w:val="en-US" w:eastAsia="zh-CN"/>
                <w14:textFill>
                  <w14:solidFill>
                    <w14:schemeClr w14:val="tx1"/>
                  </w14:solidFill>
                </w14:textFill>
              </w:rPr>
              <w:t>A</w:t>
            </w:r>
            <w:r>
              <w:rPr>
                <w:rFonts w:hint="default" w:ascii="Times New Roman" w:hAnsi="Times New Roman" w:cs="Times New Roman"/>
                <w:color w:val="000000" w:themeColor="text1"/>
                <w:sz w:val="21"/>
                <w:szCs w:val="21"/>
                <w14:textFill>
                  <w14:solidFill>
                    <w14:schemeClr w14:val="tx1"/>
                  </w14:solidFill>
                </w14:textFill>
              </w:rPr>
              <w:t>级标准要求</w:t>
            </w:r>
            <w:r>
              <w:rPr>
                <w:rFonts w:hint="eastAsia" w:ascii="Times New Roman" w:hAnsi="Times New Roman" w:cs="Times New Roman"/>
                <w:color w:val="000000" w:themeColor="text1"/>
                <w:sz w:val="21"/>
                <w:szCs w:val="21"/>
                <w:lang w:eastAsia="zh-CN"/>
                <w14:textFill>
                  <w14:solidFill>
                    <w14:schemeClr w14:val="tx1"/>
                  </w14:solidFill>
                </w14:textFill>
              </w:rPr>
              <w:t>；</w:t>
            </w:r>
          </w:p>
        </w:tc>
      </w:tr>
      <w:tr w14:paraId="1D1778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7CD0EC1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10E94C8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46EEBEF7">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eastAsia="宋体" w:cs="Times New Roman"/>
                <w:color w:val="000000" w:themeColor="text1"/>
                <w:kern w:val="0"/>
                <w:sz w:val="21"/>
                <w:szCs w:val="21"/>
                <w:lang w:val="en-US" w:eastAsia="zh-CN" w:bidi="ar"/>
                <w14:textFill>
                  <w14:solidFill>
                    <w14:schemeClr w14:val="tx1"/>
                  </w14:solidFill>
                </w14:textFill>
              </w:rPr>
              <w:t>pH</w:t>
            </w:r>
          </w:p>
        </w:tc>
        <w:tc>
          <w:tcPr>
            <w:tcW w:w="1821" w:type="dxa"/>
            <w:vMerge w:val="continue"/>
            <w:tcBorders>
              <w:tl2br w:val="nil"/>
              <w:tr2bl w:val="nil"/>
            </w:tcBorders>
            <w:shd w:val="clear" w:color="auto" w:fill="auto"/>
            <w:vAlign w:val="center"/>
          </w:tcPr>
          <w:p w14:paraId="105F60A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3026" w:type="dxa"/>
            <w:vMerge w:val="continue"/>
            <w:tcBorders>
              <w:tl2br w:val="nil"/>
              <w:tr2bl w:val="nil"/>
            </w:tcBorders>
            <w:shd w:val="clear" w:color="auto" w:fill="auto"/>
            <w:vAlign w:val="center"/>
          </w:tcPr>
          <w:p w14:paraId="55C1DDA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A1CA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3A18445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0B31746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3E973568">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COD</w:t>
            </w:r>
          </w:p>
        </w:tc>
        <w:tc>
          <w:tcPr>
            <w:tcW w:w="1821" w:type="dxa"/>
            <w:vMerge w:val="continue"/>
            <w:tcBorders>
              <w:tl2br w:val="nil"/>
              <w:tr2bl w:val="nil"/>
            </w:tcBorders>
            <w:shd w:val="clear" w:color="auto" w:fill="auto"/>
            <w:vAlign w:val="center"/>
          </w:tcPr>
          <w:p w14:paraId="115F646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3026" w:type="dxa"/>
            <w:vMerge w:val="continue"/>
            <w:tcBorders>
              <w:tl2br w:val="nil"/>
              <w:tr2bl w:val="nil"/>
            </w:tcBorders>
            <w:shd w:val="clear" w:color="auto" w:fill="auto"/>
            <w:vAlign w:val="center"/>
          </w:tcPr>
          <w:p w14:paraId="19D11FC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59BA18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388DF18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6FE826E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7DC85D35">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NH</w:t>
            </w:r>
            <w:r>
              <w:rPr>
                <w:rFonts w:hint="default" w:ascii="Times New Roman" w:hAnsi="Times New Roman" w:eastAsia="宋体" w:cs="Times New Roman"/>
                <w:color w:val="000000" w:themeColor="text1"/>
                <w:kern w:val="0"/>
                <w:sz w:val="21"/>
                <w:szCs w:val="21"/>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-N</w:t>
            </w:r>
          </w:p>
        </w:tc>
        <w:tc>
          <w:tcPr>
            <w:tcW w:w="1821" w:type="dxa"/>
            <w:vMerge w:val="continue"/>
            <w:tcBorders>
              <w:tl2br w:val="nil"/>
              <w:tr2bl w:val="nil"/>
            </w:tcBorders>
            <w:shd w:val="clear" w:color="auto" w:fill="auto"/>
            <w:vAlign w:val="center"/>
          </w:tcPr>
          <w:p w14:paraId="0809545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3026" w:type="dxa"/>
            <w:vMerge w:val="continue"/>
            <w:tcBorders>
              <w:tl2br w:val="nil"/>
              <w:tr2bl w:val="nil"/>
            </w:tcBorders>
            <w:shd w:val="clear" w:color="auto" w:fill="auto"/>
            <w:vAlign w:val="center"/>
          </w:tcPr>
          <w:p w14:paraId="7327842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21E99A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7C9DE8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07EF1DD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2F527C77">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SS</w:t>
            </w:r>
          </w:p>
        </w:tc>
        <w:tc>
          <w:tcPr>
            <w:tcW w:w="1821" w:type="dxa"/>
            <w:vMerge w:val="continue"/>
            <w:tcBorders>
              <w:tl2br w:val="nil"/>
              <w:tr2bl w:val="nil"/>
            </w:tcBorders>
            <w:shd w:val="clear" w:color="auto" w:fill="auto"/>
            <w:vAlign w:val="center"/>
          </w:tcPr>
          <w:p w14:paraId="422C0D5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3026" w:type="dxa"/>
            <w:vMerge w:val="continue"/>
            <w:tcBorders>
              <w:tl2br w:val="nil"/>
              <w:tr2bl w:val="nil"/>
            </w:tcBorders>
            <w:shd w:val="clear" w:color="auto" w:fill="auto"/>
            <w:vAlign w:val="center"/>
          </w:tcPr>
          <w:p w14:paraId="403415E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r>
      <w:tr w14:paraId="45EDB5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vMerge w:val="continue"/>
            <w:tcBorders>
              <w:tl2br w:val="nil"/>
              <w:tr2bl w:val="nil"/>
            </w:tcBorders>
            <w:shd w:val="clear" w:color="auto" w:fill="auto"/>
            <w:vAlign w:val="center"/>
          </w:tcPr>
          <w:p w14:paraId="7A8F395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3917283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5890FCC3">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TDS</w:t>
            </w:r>
          </w:p>
        </w:tc>
        <w:tc>
          <w:tcPr>
            <w:tcW w:w="1821" w:type="dxa"/>
            <w:vMerge w:val="continue"/>
            <w:tcBorders>
              <w:tl2br w:val="nil"/>
              <w:tr2bl w:val="nil"/>
            </w:tcBorders>
            <w:shd w:val="clear" w:color="auto" w:fill="auto"/>
            <w:vAlign w:val="center"/>
          </w:tcPr>
          <w:p w14:paraId="6F3FD5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3026" w:type="dxa"/>
            <w:vMerge w:val="continue"/>
            <w:tcBorders>
              <w:tl2br w:val="nil"/>
              <w:tr2bl w:val="nil"/>
            </w:tcBorders>
            <w:shd w:val="clear" w:color="auto" w:fill="auto"/>
            <w:vAlign w:val="center"/>
          </w:tcPr>
          <w:p w14:paraId="7D6FA8F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r>
      <w:tr w14:paraId="4A7282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tcBorders>
              <w:tl2br w:val="nil"/>
              <w:tr2bl w:val="nil"/>
            </w:tcBorders>
            <w:shd w:val="clear" w:color="auto" w:fill="auto"/>
            <w:vAlign w:val="center"/>
          </w:tcPr>
          <w:p w14:paraId="1139FE1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声环境</w:t>
            </w:r>
          </w:p>
        </w:tc>
        <w:tc>
          <w:tcPr>
            <w:tcW w:w="1703" w:type="dxa"/>
            <w:tcBorders>
              <w:tl2br w:val="nil"/>
              <w:tr2bl w:val="nil"/>
            </w:tcBorders>
            <w:shd w:val="clear" w:color="auto" w:fill="auto"/>
            <w:vAlign w:val="center"/>
          </w:tcPr>
          <w:p w14:paraId="7524364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设备噪声</w:t>
            </w:r>
          </w:p>
        </w:tc>
        <w:tc>
          <w:tcPr>
            <w:tcW w:w="1179" w:type="dxa"/>
            <w:tcBorders>
              <w:tl2br w:val="nil"/>
              <w:tr2bl w:val="nil"/>
            </w:tcBorders>
            <w:shd w:val="clear" w:color="auto" w:fill="auto"/>
            <w:vAlign w:val="center"/>
          </w:tcPr>
          <w:p w14:paraId="3FFF97C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等效</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连续</w:t>
            </w:r>
            <w:r>
              <w:rPr>
                <w:rFonts w:hint="default" w:ascii="Times New Roman" w:hAnsi="Times New Roman" w:eastAsia="宋体" w:cs="Times New Roman"/>
                <w:color w:val="000000" w:themeColor="text1"/>
                <w:sz w:val="21"/>
                <w:szCs w:val="21"/>
                <w:lang w:val="en-US"/>
                <w14:textFill>
                  <w14:solidFill>
                    <w14:schemeClr w14:val="tx1"/>
                  </w14:solidFill>
                </w14:textFill>
              </w:rPr>
              <w:t>A声级</w:t>
            </w:r>
          </w:p>
        </w:tc>
        <w:tc>
          <w:tcPr>
            <w:tcW w:w="1821" w:type="dxa"/>
            <w:tcBorders>
              <w:tl2br w:val="nil"/>
              <w:tr2bl w:val="nil"/>
            </w:tcBorders>
            <w:shd w:val="clear" w:color="auto" w:fill="auto"/>
            <w:vAlign w:val="center"/>
          </w:tcPr>
          <w:p w14:paraId="5616092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厂房隔声、基础减震</w:t>
            </w:r>
            <w:r>
              <w:rPr>
                <w:rFonts w:hint="eastAsia" w:ascii="Times New Roman" w:hAnsi="Times New Roman"/>
                <w:color w:val="000000" w:themeColor="text1"/>
                <w:sz w:val="21"/>
                <w:szCs w:val="21"/>
                <w:highlight w:val="none"/>
                <w:lang w:eastAsia="zh-CN"/>
                <w14:textFill>
                  <w14:solidFill>
                    <w14:schemeClr w14:val="tx1"/>
                  </w14:solidFill>
                </w14:textFill>
              </w:rPr>
              <w:t>等</w:t>
            </w:r>
          </w:p>
        </w:tc>
        <w:tc>
          <w:tcPr>
            <w:tcW w:w="3026" w:type="dxa"/>
            <w:tcBorders>
              <w:tl2br w:val="nil"/>
              <w:tr2bl w:val="nil"/>
            </w:tcBorders>
            <w:shd w:val="clear" w:color="auto" w:fill="auto"/>
            <w:vAlign w:val="center"/>
          </w:tcPr>
          <w:p w14:paraId="7A62642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《工业企业厂界环境噪声排放标准》（GB12348-2008）</w:t>
            </w:r>
            <w:r>
              <w:rPr>
                <w:rFonts w:hint="eastAsia" w:ascii="Times New Roman" w:hAnsi="Times New Roman"/>
                <w:color w:val="000000" w:themeColor="text1"/>
                <w:sz w:val="21"/>
                <w:szCs w:val="21"/>
                <w:highlight w:val="none"/>
                <w:lang w:val="en-US" w:eastAsia="zh-CN"/>
                <w14:textFill>
                  <w14:solidFill>
                    <w14:schemeClr w14:val="tx1"/>
                  </w14:solidFill>
                </w14:textFill>
              </w:rPr>
              <w:t>2</w:t>
            </w:r>
            <w:r>
              <w:rPr>
                <w:rFonts w:ascii="Times New Roman" w:hAnsi="Times New Roman"/>
                <w:color w:val="000000" w:themeColor="text1"/>
                <w:sz w:val="21"/>
                <w:szCs w:val="21"/>
                <w:highlight w:val="none"/>
                <w14:textFill>
                  <w14:solidFill>
                    <w14:schemeClr w14:val="tx1"/>
                  </w14:solidFill>
                </w14:textFill>
              </w:rPr>
              <w:t>类标准</w:t>
            </w:r>
            <w:r>
              <w:rPr>
                <w:rFonts w:hint="eastAsia" w:ascii="Times New Roman" w:hAnsi="Times New Roman"/>
                <w:color w:val="000000" w:themeColor="text1"/>
                <w:sz w:val="21"/>
                <w:szCs w:val="21"/>
                <w:highlight w:val="none"/>
                <w:lang w:eastAsia="zh-CN"/>
                <w14:textFill>
                  <w14:solidFill>
                    <w14:schemeClr w14:val="tx1"/>
                  </w14:solidFill>
                </w14:textFill>
              </w:rPr>
              <w:t>；</w:t>
            </w:r>
          </w:p>
        </w:tc>
      </w:tr>
      <w:tr w14:paraId="051491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tcBorders>
              <w:tl2br w:val="nil"/>
              <w:tr2bl w:val="nil"/>
            </w:tcBorders>
            <w:shd w:val="clear" w:color="auto" w:fill="auto"/>
            <w:vAlign w:val="center"/>
          </w:tcPr>
          <w:p w14:paraId="787C9A4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电磁辐射</w:t>
            </w:r>
          </w:p>
        </w:tc>
        <w:tc>
          <w:tcPr>
            <w:tcW w:w="1703" w:type="dxa"/>
            <w:tcBorders>
              <w:tl2br w:val="nil"/>
              <w:tr2bl w:val="nil"/>
            </w:tcBorders>
            <w:shd w:val="clear" w:color="auto" w:fill="auto"/>
            <w:vAlign w:val="center"/>
          </w:tcPr>
          <w:p w14:paraId="3E1C74A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1179" w:type="dxa"/>
            <w:tcBorders>
              <w:tl2br w:val="nil"/>
              <w:tr2bl w:val="nil"/>
            </w:tcBorders>
            <w:shd w:val="clear" w:color="auto" w:fill="auto"/>
            <w:vAlign w:val="center"/>
          </w:tcPr>
          <w:p w14:paraId="39F7416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1821" w:type="dxa"/>
            <w:tcBorders>
              <w:tl2br w:val="nil"/>
              <w:tr2bl w:val="nil"/>
            </w:tcBorders>
            <w:shd w:val="clear" w:color="auto" w:fill="auto"/>
            <w:vAlign w:val="center"/>
          </w:tcPr>
          <w:p w14:paraId="0CCB778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3026" w:type="dxa"/>
            <w:tcBorders>
              <w:tl2br w:val="nil"/>
              <w:tr2bl w:val="nil"/>
            </w:tcBorders>
            <w:shd w:val="clear" w:color="auto" w:fill="auto"/>
            <w:vAlign w:val="center"/>
          </w:tcPr>
          <w:p w14:paraId="50FDF32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r>
      <w:tr w14:paraId="0D080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tcBorders>
              <w:tl2br w:val="nil"/>
              <w:tr2bl w:val="nil"/>
            </w:tcBorders>
            <w:shd w:val="clear" w:color="auto" w:fill="auto"/>
            <w:vAlign w:val="center"/>
          </w:tcPr>
          <w:p w14:paraId="54C979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固体废物</w:t>
            </w:r>
          </w:p>
        </w:tc>
        <w:tc>
          <w:tcPr>
            <w:tcW w:w="7729" w:type="dxa"/>
            <w:gridSpan w:val="4"/>
            <w:tcBorders>
              <w:tl2br w:val="nil"/>
              <w:tr2bl w:val="nil"/>
            </w:tcBorders>
            <w:shd w:val="clear" w:color="auto" w:fill="auto"/>
            <w:vAlign w:val="center"/>
          </w:tcPr>
          <w:p w14:paraId="45D6040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本项目运营期主要产生的固废包括</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生活垃圾和</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；生活垃圾分类收集，统一委托环卫部门处置；</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废饱和离子交换树脂为一般工业固废，交由厂家回收处置。</w:t>
            </w:r>
          </w:p>
        </w:tc>
      </w:tr>
      <w:tr w14:paraId="3FC4A1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tcBorders>
              <w:tl2br w:val="nil"/>
              <w:tr2bl w:val="nil"/>
            </w:tcBorders>
            <w:shd w:val="clear" w:color="auto" w:fill="auto"/>
            <w:vAlign w:val="center"/>
          </w:tcPr>
          <w:p w14:paraId="6853946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土壤及地下水污染防治措施</w:t>
            </w:r>
          </w:p>
        </w:tc>
        <w:tc>
          <w:tcPr>
            <w:tcW w:w="7729" w:type="dxa"/>
            <w:gridSpan w:val="4"/>
            <w:tcBorders>
              <w:tl2br w:val="nil"/>
              <w:tr2bl w:val="nil"/>
            </w:tcBorders>
            <w:shd w:val="clear" w:color="auto" w:fill="auto"/>
            <w:vAlign w:val="center"/>
          </w:tcPr>
          <w:p w14:paraId="6BA3841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本项目按照环评要求切实落实各种污染控制措施，运营期</w:t>
            </w:r>
            <w:r>
              <w:rPr>
                <w:rFonts w:hint="eastAsia" w:ascii="Times New Roman" w:hAnsi="Times New Roman" w:cs="Times New Roman"/>
                <w:color w:val="000000" w:themeColor="text1"/>
                <w:lang w:val="en-US" w:eastAsia="zh-CN"/>
                <w14:textFill>
                  <w14:solidFill>
                    <w14:schemeClr w14:val="tx1"/>
                  </w14:solidFill>
                </w14:textFill>
              </w:rPr>
              <w:t>不存在</w:t>
            </w:r>
            <w:r>
              <w:rPr>
                <w:rFonts w:hint="eastAsia"/>
                <w:color w:val="000000" w:themeColor="text1"/>
                <w:lang w:val="en-US" w:eastAsia="zh-CN"/>
                <w14:textFill>
                  <w14:solidFill>
                    <w14:schemeClr w14:val="tx1"/>
                  </w14:solidFill>
                </w14:textFill>
              </w:rPr>
              <w:t>地下水污染途径。</w:t>
            </w:r>
          </w:p>
        </w:tc>
      </w:tr>
      <w:tr w14:paraId="66F25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215" w:type="dxa"/>
            <w:tcBorders>
              <w:tl2br w:val="nil"/>
              <w:tr2bl w:val="nil"/>
            </w:tcBorders>
            <w:shd w:val="clear" w:color="auto" w:fill="auto"/>
            <w:vAlign w:val="center"/>
          </w:tcPr>
          <w:p w14:paraId="7EBCBAD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生态保护措施</w:t>
            </w:r>
          </w:p>
        </w:tc>
        <w:tc>
          <w:tcPr>
            <w:tcW w:w="7729" w:type="dxa"/>
            <w:gridSpan w:val="4"/>
            <w:tcBorders>
              <w:tl2br w:val="nil"/>
              <w:tr2bl w:val="nil"/>
            </w:tcBorders>
            <w:shd w:val="clear" w:color="auto" w:fill="auto"/>
            <w:vAlign w:val="center"/>
          </w:tcPr>
          <w:p w14:paraId="007623F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color w:val="000000" w:themeColor="text1"/>
                <w:sz w:val="21"/>
                <w:szCs w:val="21"/>
                <w14:textFill>
                  <w14:solidFill>
                    <w14:schemeClr w14:val="tx1"/>
                  </w14:solidFill>
                </w14:textFill>
              </w:rPr>
              <w:t>不涉及</w:t>
            </w:r>
          </w:p>
        </w:tc>
      </w:tr>
      <w:tr w14:paraId="25C25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15" w:type="dxa"/>
            <w:tcBorders>
              <w:tl2br w:val="nil"/>
              <w:tr2bl w:val="nil"/>
            </w:tcBorders>
            <w:shd w:val="clear" w:color="auto" w:fill="auto"/>
            <w:vAlign w:val="center"/>
          </w:tcPr>
          <w:p w14:paraId="752E08C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1"/>
                <w:szCs w:val="21"/>
                <w:lang w:val="en-US" w:eastAsia="zh-CN" w:bidi="ar"/>
                <w14:textFill>
                  <w14:solidFill>
                    <w14:schemeClr w14:val="tx1"/>
                  </w14:solidFill>
                </w14:textFill>
              </w:rPr>
              <w:t>环境风险防范措施</w:t>
            </w:r>
          </w:p>
        </w:tc>
        <w:tc>
          <w:tcPr>
            <w:tcW w:w="7729" w:type="dxa"/>
            <w:gridSpan w:val="4"/>
            <w:tcBorders>
              <w:tl2br w:val="nil"/>
              <w:tr2bl w:val="nil"/>
            </w:tcBorders>
            <w:shd w:val="clear" w:color="auto" w:fill="auto"/>
            <w:vAlign w:val="center"/>
          </w:tcPr>
          <w:p w14:paraId="432DF5A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建立严格的环境管理制度及操作规程，严格培训操作人员，严格遵守各项规章制度。确保各项环保治理措施切实可行，并保证低氮燃烧器、风机等治理设施正常运行，且做到达标排放。</w:t>
            </w:r>
          </w:p>
          <w:p w14:paraId="61E4828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在锅炉管道进口处添加氧气浓度监测装置，当氧气浓度过高时，及时调整风量或将进风口直接关闭，降低锅炉的氧气浓度；确保天然气充分燃烧的条件。</w:t>
            </w:r>
          </w:p>
          <w:p w14:paraId="06A412C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为有效防止锅炉爆燃爆炸情形，安装锅炉MFT保护装置，一旦检测到锅炉烟气中沉积物达到一定程度，能够在短时间内将锅炉内部明火熄灭，同时关闭燃气输送管道。</w:t>
            </w:r>
          </w:p>
          <w:p w14:paraId="507840C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定期检查和维修环保治理设施，及时发现问题及时解决，使事故发生率降至最低。</w:t>
            </w:r>
          </w:p>
          <w:p w14:paraId="6177B489">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建立一套完整的应急方案，一旦发生意外，能迅速地解决问题和处理事故现场，使环境损失、经济损失、人员伤亡等降至最小。</w:t>
            </w:r>
          </w:p>
        </w:tc>
      </w:tr>
      <w:tr w14:paraId="10EEC4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6" w:hRule="atLeast"/>
          <w:jc w:val="center"/>
        </w:trPr>
        <w:tc>
          <w:tcPr>
            <w:tcW w:w="1215" w:type="dxa"/>
            <w:tcBorders>
              <w:tl2br w:val="nil"/>
              <w:tr2bl w:val="nil"/>
            </w:tcBorders>
            <w:shd w:val="clear" w:color="auto" w:fill="auto"/>
            <w:vAlign w:val="center"/>
          </w:tcPr>
          <w:p w14:paraId="32A5B4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1"/>
                <w:szCs w:val="21"/>
                <w:lang w:val="en-US" w:eastAsia="zh-CN" w:bidi="ar"/>
                <w14:textFill>
                  <w14:solidFill>
                    <w14:schemeClr w14:val="tx1"/>
                  </w14:solidFill>
                </w14:textFill>
              </w:rPr>
              <w:t>其他环境</w:t>
            </w:r>
          </w:p>
          <w:p w14:paraId="784C84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1"/>
                <w:szCs w:val="21"/>
                <w:lang w:val="en-US" w:eastAsia="zh-CN" w:bidi="ar"/>
                <w14:textFill>
                  <w14:solidFill>
                    <w14:schemeClr w14:val="tx1"/>
                  </w14:solidFill>
                </w14:textFill>
              </w:rPr>
              <w:t>管理要求</w:t>
            </w:r>
          </w:p>
        </w:tc>
        <w:tc>
          <w:tcPr>
            <w:tcW w:w="7729" w:type="dxa"/>
            <w:gridSpan w:val="4"/>
            <w:tcBorders>
              <w:tl2br w:val="nil"/>
              <w:tr2bl w:val="nil"/>
            </w:tcBorders>
            <w:shd w:val="clear" w:color="auto" w:fill="auto"/>
            <w:vAlign w:val="center"/>
          </w:tcPr>
          <w:p w14:paraId="48E217C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排污许可</w:t>
            </w:r>
          </w:p>
          <w:p w14:paraId="39FB3FB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根据《排污许可证管理办法（试行）》和《固定污染源排污许可分类管理名录（2019年版）》等相关政策文件，本项目排污许可证管理类别为</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登记</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管理，企业应在实际投入生产或发生排污前完成排污许可申请。</w:t>
            </w:r>
          </w:p>
          <w:p w14:paraId="5A8431B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环境管理与监测要求</w:t>
            </w:r>
          </w:p>
          <w:p w14:paraId="7F57192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2.1环境管理要求</w:t>
            </w:r>
          </w:p>
          <w:p w14:paraId="36BB7618">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（1）制定项目环境保护管理制度，制定年度环境管理工作计划，日常环境监测计划</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p>
          <w:p w14:paraId="056DECF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（2）企业应建立环境保护档案（包括环评、环保竣工验收、排污许可、污染源监测、环保设备运行记录、台帐及其它环境统计资料等）</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p>
          <w:p w14:paraId="446C3BB7">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（3）积极配合环保行政主管部门的管理，及时申报企业排污情况及检查</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p>
          <w:p w14:paraId="010B4B7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（4）开展定期、不定期环境与污染源监测，发现问题及时处理</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p>
          <w:p w14:paraId="27101DB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（5）开展员工的环保宣传与培训，提高环保意识教育，提升企业的环境管理水平，确保实现清洁生产、持续改进。</w:t>
            </w:r>
          </w:p>
          <w:p w14:paraId="0FA9D1E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（6）维护环保设施的正常运行，对各种环保设施进行定期检查和维修，确保污染物达标排放。</w:t>
            </w:r>
          </w:p>
          <w:p w14:paraId="608F64A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2.2监测要求</w:t>
            </w:r>
          </w:p>
          <w:p w14:paraId="48827E0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环境监测目的是了解建设项目在运营期的排污和影响情况，并制定相应措施，使其影响减少到最低程度。同时通过监测数据的调查分析，制定出相应的项目管理政策和提供决策依据。按照《排污单位自行监测技术指南 火力发电及锅炉》（HJ820-2017）、《排污许可证申请与核发技术规范 锅炉》（HJ953-2018）中规定，委托有资质单位对污染物进行监测。具体监测计划见各环境要素监测计划内容。</w:t>
            </w:r>
          </w:p>
          <w:p w14:paraId="4FEBC866">
            <w:pPr>
              <w:pStyle w:val="2"/>
              <w:suppressLineNumbers w:val="0"/>
              <w:spacing w:before="0" w:beforeAutospacing="0" w:afterAutospacing="0"/>
              <w:ind w:left="0" w:right="0"/>
              <w:rPr>
                <w:rFonts w:hint="default" w:ascii="Times New Roman" w:hAnsi="Times New Roman" w:eastAsia="宋体" w:cs="Times New Roman"/>
                <w:color w:val="000000" w:themeColor="text1"/>
                <w:sz w:val="24"/>
                <w:szCs w:val="32"/>
                <w:lang w:val="en-US" w:eastAsia="zh-CN"/>
                <w14:textFill>
                  <w14:solidFill>
                    <w14:schemeClr w14:val="tx1"/>
                  </w14:solidFill>
                </w14:textFill>
              </w:rPr>
            </w:pPr>
          </w:p>
          <w:p w14:paraId="0BC5CF0F">
            <w:pPr>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p>
        </w:tc>
      </w:tr>
    </w:tbl>
    <w:p w14:paraId="13BC01F8">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Times New Roman"/>
          <w:snapToGrid w:val="0"/>
          <w:color w:val="000000" w:themeColor="text1"/>
          <w:sz w:val="24"/>
          <w:szCs w:val="20"/>
          <w:lang w:val="en-US" w:eastAsia="zh-CN" w:bidi="ar"/>
          <w14:textFill>
            <w14:solidFill>
              <w14:schemeClr w14:val="tx1"/>
            </w14:solidFill>
          </w14:textFill>
        </w:rPr>
        <w:br w:type="page"/>
      </w:r>
      <w:r>
        <w:rPr>
          <w:rFonts w:hint="eastAsia" w:ascii="宋体" w:hAnsi="宋体" w:eastAsia="宋体" w:cs="宋体"/>
          <w:b/>
          <w:bCs/>
          <w:snapToGrid w:val="0"/>
          <w:color w:val="000000" w:themeColor="text1"/>
          <w:sz w:val="30"/>
          <w:szCs w:val="30"/>
          <w:lang w:eastAsia="zh-CN"/>
          <w14:textFill>
            <w14:solidFill>
              <w14:schemeClr w14:val="tx1"/>
            </w14:solidFill>
          </w14:textFill>
        </w:rPr>
        <w:t>六、结论</w:t>
      </w:r>
    </w:p>
    <w:tbl>
      <w:tblPr>
        <w:tblStyle w:val="26"/>
        <w:tblW w:w="8307"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07"/>
      </w:tblGrid>
      <w:tr w14:paraId="1079EDA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CellMar>
            <w:top w:w="0" w:type="dxa"/>
            <w:left w:w="108" w:type="dxa"/>
            <w:bottom w:w="0" w:type="dxa"/>
            <w:right w:w="108" w:type="dxa"/>
          </w:tblCellMar>
        </w:tblPrEx>
        <w:trPr>
          <w:trHeight w:val="11991" w:hRule="atLeast"/>
          <w:jc w:val="center"/>
        </w:trPr>
        <w:tc>
          <w:tcPr>
            <w:tcW w:w="8307" w:type="dxa"/>
            <w:tcBorders>
              <w:tl2br w:val="nil"/>
              <w:tr2bl w:val="nil"/>
            </w:tcBorders>
            <w:shd w:val="clear" w:color="auto" w:fill="auto"/>
            <w:vAlign w:val="top"/>
          </w:tcPr>
          <w:p w14:paraId="33D8391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contextualSpacing/>
              <w:jc w:val="both"/>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的建设符合国家产业政策，采取相应措施后，排放的污染物可以做到达标排放，对周围环境的影响在可承受范围之内。因此环评认为，在切实落实环评报告提出的各项污染防治措施、严格执行环保“三同时”制度的基础上，从环境保护角度，该</w:t>
            </w:r>
            <w:r>
              <w:rPr>
                <w:rFonts w:hint="eastAsia"/>
                <w:bCs/>
                <w:color w:val="000000" w:themeColor="text1"/>
                <w:sz w:val="24"/>
                <w14:textFill>
                  <w14:solidFill>
                    <w14:schemeClr w14:val="tx1"/>
                  </w14:solidFill>
                </w14:textFill>
              </w:rPr>
              <w:t>建设项目环境影响可行</w:t>
            </w:r>
            <w:r>
              <w:rPr>
                <w:rFonts w:hint="eastAsia"/>
                <w:color w:val="000000" w:themeColor="text1"/>
                <w:sz w:val="24"/>
                <w14:textFill>
                  <w14:solidFill>
                    <w14:schemeClr w14:val="tx1"/>
                  </w14:solidFill>
                </w14:textFill>
              </w:rPr>
              <w:t>。</w:t>
            </w:r>
          </w:p>
          <w:p w14:paraId="0E69E51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21F938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AD8714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626D4C11">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52B9240">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C3561B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C9935D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9D87E1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0619F2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1C5D9D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427A674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5C6929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D6D892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625CA9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5082FBB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B06208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B124F0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2DA934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47C92A2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1A1AFD1">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872242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34CDAF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p w14:paraId="38D3406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p w14:paraId="53345D0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tc>
      </w:tr>
    </w:tbl>
    <w:p w14:paraId="4D47F1B8">
      <w:pPr>
        <w:rPr>
          <w:rFonts w:hint="eastAsia" w:ascii="宋体" w:hAnsi="Times New Roman" w:eastAsia="宋体" w:cs="Times New Roman"/>
          <w:color w:val="000000" w:themeColor="text1"/>
          <w:kern w:val="2"/>
          <w:sz w:val="21"/>
          <w:szCs w:val="24"/>
          <w:lang w:val="en-US" w:eastAsia="zh-CN" w:bidi="ar"/>
          <w14:textFill>
            <w14:solidFill>
              <w14:schemeClr w14:val="tx1"/>
            </w14:solidFill>
          </w14:textFill>
        </w:rPr>
        <w:sectPr>
          <w:pgSz w:w="11906" w:h="16838"/>
          <w:pgMar w:top="1440" w:right="1803" w:bottom="1440" w:left="1803" w:header="851" w:footer="851" w:gutter="0"/>
          <w:pgBorders>
            <w:top w:val="none" w:sz="0" w:space="0"/>
            <w:left w:val="none" w:sz="0" w:space="0"/>
            <w:bottom w:val="none" w:sz="0" w:space="0"/>
            <w:right w:val="none" w:sz="0" w:space="0"/>
          </w:pgBorders>
          <w:pgNumType w:fmt="numberInDash"/>
          <w:cols w:space="425" w:num="1"/>
          <w:docGrid w:type="lines" w:linePitch="312" w:charSpace="0"/>
        </w:sectPr>
      </w:pPr>
    </w:p>
    <w:p w14:paraId="3A9CE97F">
      <w:pPr>
        <w:pStyle w:val="23"/>
        <w:widowControl/>
        <w:adjustRightInd w:val="0"/>
        <w:snapToGrid w:val="0"/>
        <w:spacing w:before="0" w:beforeAutospacing="0" w:after="0" w:afterAutospacing="0" w:line="240" w:lineRule="auto"/>
        <w:ind w:left="0" w:right="0"/>
        <w:outlineLvl w:val="0"/>
        <w:rPr>
          <w:rFonts w:hint="eastAsia" w:ascii="黑体" w:hAnsi="宋体" w:eastAsia="黑体" w:cs="黑体"/>
          <w:color w:val="000000" w:themeColor="text1"/>
          <w:sz w:val="32"/>
          <w:szCs w:val="32"/>
          <w:lang w:val="en-US"/>
          <w14:textFill>
            <w14:solidFill>
              <w14:schemeClr w14:val="tx1"/>
            </w14:solidFill>
          </w14:textFill>
        </w:rPr>
      </w:pPr>
      <w:r>
        <w:rPr>
          <w:rFonts w:hint="eastAsia" w:ascii="黑体" w:hAnsi="宋体" w:eastAsia="黑体" w:cs="黑体"/>
          <w:snapToGrid w:val="0"/>
          <w:color w:val="000000" w:themeColor="text1"/>
          <w:sz w:val="32"/>
          <w:szCs w:val="32"/>
          <w:lang w:eastAsia="zh-CN"/>
          <w14:textFill>
            <w14:solidFill>
              <w14:schemeClr w14:val="tx1"/>
            </w14:solidFill>
          </w14:textFill>
        </w:rPr>
        <w:t>附表</w:t>
      </w:r>
    </w:p>
    <w:p w14:paraId="4E3CED42">
      <w:pPr>
        <w:pStyle w:val="23"/>
        <w:widowControl/>
        <w:adjustRightInd w:val="0"/>
        <w:snapToGrid w:val="0"/>
        <w:spacing w:before="0" w:beforeAutospacing="0" w:after="0" w:afterAutospacing="0" w:line="240" w:lineRule="auto"/>
        <w:ind w:left="0" w:right="0"/>
        <w:jc w:val="center"/>
        <w:outlineLvl w:val="0"/>
        <w:rPr>
          <w:rFonts w:hint="eastAsia" w:ascii="方正小标宋_GBK" w:hAnsi="宋体" w:eastAsia="方正小标宋_GBK" w:cs="方正小标宋_GBK"/>
          <w:color w:val="000000" w:themeColor="text1"/>
          <w:sz w:val="38"/>
          <w:szCs w:val="38"/>
          <w:lang w:val="en-US"/>
          <w14:textFill>
            <w14:solidFill>
              <w14:schemeClr w14:val="tx1"/>
            </w14:solidFill>
          </w14:textFill>
        </w:rPr>
      </w:pPr>
      <w:r>
        <w:rPr>
          <w:rFonts w:hint="eastAsia" w:ascii="方正小标宋_GBK" w:hAnsi="宋体" w:eastAsia="方正小标宋_GBK" w:cs="方正小标宋_GBK"/>
          <w:snapToGrid w:val="0"/>
          <w:color w:val="000000" w:themeColor="text1"/>
          <w:sz w:val="38"/>
          <w:szCs w:val="38"/>
          <w:lang w:eastAsia="zh-CN"/>
          <w14:textFill>
            <w14:solidFill>
              <w14:schemeClr w14:val="tx1"/>
            </w14:solidFill>
          </w14:textFill>
        </w:rPr>
        <w:t>建设项目污染物排放量汇总表</w:t>
      </w:r>
    </w:p>
    <w:tbl>
      <w:tblPr>
        <w:tblStyle w:val="26"/>
        <w:tblW w:w="1323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54"/>
        <w:gridCol w:w="1332"/>
        <w:gridCol w:w="1632"/>
        <w:gridCol w:w="1344"/>
        <w:gridCol w:w="1572"/>
        <w:gridCol w:w="1704"/>
        <w:gridCol w:w="1548"/>
        <w:gridCol w:w="1698"/>
        <w:gridCol w:w="1049"/>
      </w:tblGrid>
      <w:tr w14:paraId="1B55E6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tcMar>
              <w:left w:w="28" w:type="dxa"/>
              <w:right w:w="28" w:type="dxa"/>
            </w:tcMar>
            <w:vAlign w:val="center"/>
          </w:tcPr>
          <w:p w14:paraId="3B960EBA">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-10795</wp:posOffset>
                      </wp:positionH>
                      <wp:positionV relativeFrom="paragraph">
                        <wp:posOffset>5080</wp:posOffset>
                      </wp:positionV>
                      <wp:extent cx="833755" cy="573405"/>
                      <wp:effectExtent l="2540" t="3810" r="20955" b="13335"/>
                      <wp:wrapNone/>
                      <wp:docPr id="5" name="直接连接符 5"/>
                      <wp:cNvGraphicFramePr/>
                      <a:graphic xmlns:a="http://schemas.openxmlformats.org/drawingml/2006/main">
                        <a:graphicData uri="http://schemas.microsoft.com/office/word/2010/wordprocessingShape">
                          <wps:wsp>
                            <wps:cNvCnPr/>
                            <wps:spPr>
                              <a:xfrm>
                                <a:off x="1143635" y="1556385"/>
                                <a:ext cx="833755" cy="57340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85pt;margin-top:0.4pt;height:45.15pt;width:65.65pt;z-index:251665408;mso-width-relative:page;mso-height-relative:page;" filled="f" stroked="t" coordsize="21600,21600" o:gfxdata="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wPwnt0wAAAAYBAAAPAAAAAAAAAAEAIAAAACIAAABkcnMvZG93bnJldi54bWxQSwECFAAUAAAA&#10;CACHTuJA0AMziPMBAADBAwAADgAAAAAAAAABACAAAAAiAQAAZHJzL2Uyb0RvYy54bWxQSwUGAAAA&#10;AAYABgBZAQAAhwUAAAAA&#10;">
                      <v:fill on="f" focussize="0,0"/>
                      <v:stroke weight="0.5pt" color="#000000 [3213]" miterlimit="8" joinstyle="miter"/>
                      <v:imagedata o:title=""/>
                      <o:lock v:ext="edit" aspectratio="f"/>
                    </v:line>
                  </w:pict>
                </mc:Fallback>
              </mc:AlternateContent>
            </w:r>
            <w:r>
              <w:rPr>
                <w:rFonts w:hint="eastAsia" w:ascii="Times New Roman" w:hAnsi="Times New Roman" w:eastAsia="宋体" w:cs="Times New Roman"/>
                <w:b/>
                <w:bCs/>
                <w:snapToGrid w:val="0"/>
                <w:color w:val="000000" w:themeColor="text1"/>
                <w:kern w:val="21"/>
                <w:szCs w:val="21"/>
                <w:lang w:val="en-US" w:eastAsia="zh-CN"/>
                <w14:textFill>
                  <w14:solidFill>
                    <w14:schemeClr w14:val="tx1"/>
                  </w14:solidFill>
                </w14:textFill>
              </w:rPr>
              <w:t xml:space="preserve">       </w:t>
            </w:r>
            <w:r>
              <w:rPr>
                <w:rFonts w:hint="default" w:ascii="Times New Roman" w:hAnsi="Times New Roman" w:eastAsia="宋体" w:cs="Times New Roman"/>
                <w:b/>
                <w:bCs/>
                <w:snapToGrid w:val="0"/>
                <w:color w:val="000000" w:themeColor="text1"/>
                <w:kern w:val="21"/>
                <w:szCs w:val="21"/>
                <w14:textFill>
                  <w14:solidFill>
                    <w14:schemeClr w14:val="tx1"/>
                  </w14:solidFill>
                </w14:textFill>
              </w:rPr>
              <w:t>项目</w:t>
            </w:r>
          </w:p>
          <w:p w14:paraId="2DCABCD6">
            <w:pPr>
              <w:pStyle w:val="37"/>
              <w:widowControl/>
              <w:spacing w:beforeLines="10" w:beforeAutospacing="0" w:after="0" w:afterAutospacing="0" w:line="240" w:lineRule="auto"/>
              <w:ind w:left="0" w:right="0"/>
              <w:jc w:val="both"/>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kern w:val="21"/>
                <w:szCs w:val="21"/>
                <w14:textFill>
                  <w14:solidFill>
                    <w14:schemeClr w14:val="tx1"/>
                  </w14:solidFill>
                </w14:textFill>
              </w:rPr>
              <w:t>分类</w:t>
            </w:r>
          </w:p>
        </w:tc>
        <w:tc>
          <w:tcPr>
            <w:tcW w:w="1332" w:type="dxa"/>
            <w:tcBorders>
              <w:tl2br w:val="nil"/>
              <w:tr2bl w:val="nil"/>
            </w:tcBorders>
            <w:shd w:val="clear" w:color="auto" w:fill="auto"/>
            <w:tcMar>
              <w:left w:w="28" w:type="dxa"/>
              <w:right w:w="28" w:type="dxa"/>
            </w:tcMar>
            <w:vAlign w:val="center"/>
          </w:tcPr>
          <w:p w14:paraId="4FB6D920">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kern w:val="21"/>
                <w:szCs w:val="21"/>
                <w14:textFill>
                  <w14:solidFill>
                    <w14:schemeClr w14:val="tx1"/>
                  </w14:solidFill>
                </w14:textFill>
              </w:rPr>
              <w:t>污染物名称</w:t>
            </w:r>
          </w:p>
        </w:tc>
        <w:tc>
          <w:tcPr>
            <w:tcW w:w="1632" w:type="dxa"/>
            <w:tcBorders>
              <w:tl2br w:val="nil"/>
              <w:tr2bl w:val="nil"/>
            </w:tcBorders>
            <w:shd w:val="clear" w:color="auto" w:fill="auto"/>
            <w:tcMar>
              <w:left w:w="28" w:type="dxa"/>
              <w:right w:w="28" w:type="dxa"/>
            </w:tcMar>
            <w:vAlign w:val="center"/>
          </w:tcPr>
          <w:p w14:paraId="3A8BE738">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现有工程</w:t>
            </w:r>
          </w:p>
          <w:p w14:paraId="366D3222">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1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①</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344" w:type="dxa"/>
            <w:tcBorders>
              <w:tl2br w:val="nil"/>
              <w:tr2bl w:val="nil"/>
            </w:tcBorders>
            <w:shd w:val="clear" w:color="auto" w:fill="auto"/>
            <w:tcMar>
              <w:left w:w="28" w:type="dxa"/>
              <w:right w:w="28" w:type="dxa"/>
            </w:tcMar>
            <w:vAlign w:val="center"/>
          </w:tcPr>
          <w:p w14:paraId="2014D311">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现有工程</w:t>
            </w:r>
          </w:p>
          <w:p w14:paraId="0543AB46">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许可排放量</w:t>
            </w:r>
          </w:p>
          <w:p w14:paraId="54AD5FFD">
            <w:pPr>
              <w:pStyle w:val="37"/>
              <w:widowControl/>
              <w:spacing w:beforeLines="10" w:beforeAutospacing="0" w:after="0" w:afterAutospacing="0"/>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instrText xml:space="preserve"> </w:instrText>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2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②</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572" w:type="dxa"/>
            <w:tcBorders>
              <w:tl2br w:val="nil"/>
              <w:tr2bl w:val="nil"/>
            </w:tcBorders>
            <w:shd w:val="clear" w:color="auto" w:fill="auto"/>
            <w:tcMar>
              <w:left w:w="28" w:type="dxa"/>
              <w:right w:w="28" w:type="dxa"/>
            </w:tcMar>
            <w:vAlign w:val="center"/>
          </w:tcPr>
          <w:p w14:paraId="49AB5DB7">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在建工程</w:t>
            </w:r>
          </w:p>
          <w:p w14:paraId="3CB26853">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3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③</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704" w:type="dxa"/>
            <w:tcBorders>
              <w:tl2br w:val="nil"/>
              <w:tr2bl w:val="nil"/>
            </w:tcBorders>
            <w:shd w:val="clear" w:color="auto" w:fill="auto"/>
            <w:tcMar>
              <w:left w:w="28" w:type="dxa"/>
              <w:right w:w="28" w:type="dxa"/>
            </w:tcMar>
            <w:vAlign w:val="center"/>
          </w:tcPr>
          <w:p w14:paraId="416FB27A">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本项目</w:t>
            </w:r>
          </w:p>
          <w:p w14:paraId="25A945A6">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4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④</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548" w:type="dxa"/>
            <w:tcBorders>
              <w:tl2br w:val="nil"/>
              <w:tr2bl w:val="nil"/>
            </w:tcBorders>
            <w:shd w:val="clear" w:color="auto" w:fill="auto"/>
            <w:tcMar>
              <w:left w:w="28" w:type="dxa"/>
              <w:right w:w="28" w:type="dxa"/>
            </w:tcMar>
            <w:vAlign w:val="center"/>
          </w:tcPr>
          <w:p w14:paraId="30993D69">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以新带老削减量</w:t>
            </w:r>
          </w:p>
          <w:p w14:paraId="522C1030">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（新建项目不填）</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instrText xml:space="preserve"> = 5 \* GB3 \* MERGEFORMAT </w:instrTex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⑤</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end"/>
            </w:r>
          </w:p>
        </w:tc>
        <w:tc>
          <w:tcPr>
            <w:tcW w:w="1698" w:type="dxa"/>
            <w:tcBorders>
              <w:tl2br w:val="nil"/>
              <w:tr2bl w:val="nil"/>
            </w:tcBorders>
            <w:shd w:val="clear" w:color="auto" w:fill="auto"/>
            <w:tcMar>
              <w:left w:w="28" w:type="dxa"/>
              <w:right w:w="28" w:type="dxa"/>
            </w:tcMar>
            <w:vAlign w:val="center"/>
          </w:tcPr>
          <w:p w14:paraId="30030CF9">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本项目建成后</w:t>
            </w:r>
          </w:p>
          <w:p w14:paraId="5486F578">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全厂排放量（固体废物产生量）</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instrText xml:space="preserve"> = 6 \* GB3 \* MERGEFORMAT </w:instrTex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⑥</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end"/>
            </w:r>
          </w:p>
        </w:tc>
        <w:tc>
          <w:tcPr>
            <w:tcW w:w="1049" w:type="dxa"/>
            <w:tcBorders>
              <w:tl2br w:val="nil"/>
              <w:tr2bl w:val="nil"/>
            </w:tcBorders>
            <w:shd w:val="clear" w:color="auto" w:fill="auto"/>
            <w:tcMar>
              <w:left w:w="28" w:type="dxa"/>
              <w:right w:w="28" w:type="dxa"/>
            </w:tcMar>
            <w:vAlign w:val="center"/>
          </w:tcPr>
          <w:p w14:paraId="043D6AE8">
            <w:pPr>
              <w:pStyle w:val="37"/>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变化量</w:t>
            </w:r>
          </w:p>
          <w:p w14:paraId="5F1F0E51">
            <w:pPr>
              <w:pStyle w:val="37"/>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instrText xml:space="preserve"> </w:instrText>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7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⑦</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r>
      <w:tr w14:paraId="53098F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restart"/>
            <w:tcBorders>
              <w:tl2br w:val="nil"/>
              <w:tr2bl w:val="nil"/>
            </w:tcBorders>
            <w:shd w:val="clear" w:color="auto" w:fill="auto"/>
            <w:vAlign w:val="center"/>
          </w:tcPr>
          <w:p w14:paraId="3BBE25F4">
            <w:pPr>
              <w:pStyle w:val="37"/>
              <w:widowControl/>
              <w:spacing w:beforeLines="10" w:beforeAutospacing="0" w:after="0" w:afterAutospacing="0" w:line="240" w:lineRule="auto"/>
              <w:ind w:left="0" w:right="0"/>
              <w:rPr>
                <w:rFonts w:hint="default" w:ascii="Times New Roman" w:hAnsi="Times New Roman" w:eastAsia="宋体" w:cs="Times New Roman"/>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14:textFill>
                  <w14:solidFill>
                    <w14:schemeClr w14:val="tx1"/>
                  </w14:solidFill>
                </w14:textFill>
              </w:rPr>
              <w:t>废气</w:t>
            </w:r>
          </w:p>
        </w:tc>
        <w:tc>
          <w:tcPr>
            <w:tcW w:w="1332" w:type="dxa"/>
            <w:tcBorders>
              <w:tl2br w:val="nil"/>
              <w:tr2bl w:val="nil"/>
            </w:tcBorders>
            <w:shd w:val="clear" w:color="auto" w:fill="auto"/>
            <w:vAlign w:val="center"/>
          </w:tcPr>
          <w:p w14:paraId="5847D54E">
            <w:pPr>
              <w:pStyle w:val="37"/>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SO</w:t>
            </w:r>
            <w:r>
              <w:rPr>
                <w:rFonts w:hint="default" w:ascii="Times New Roman" w:hAnsi="Times New Roman" w:eastAsia="宋体" w:cs="Times New Roman"/>
                <w:color w:val="000000" w:themeColor="text1"/>
                <w:szCs w:val="21"/>
                <w:vertAlign w:val="subscript"/>
                <w14:textFill>
                  <w14:solidFill>
                    <w14:schemeClr w14:val="tx1"/>
                  </w14:solidFill>
                </w14:textFill>
              </w:rPr>
              <w:t>2</w:t>
            </w:r>
          </w:p>
        </w:tc>
        <w:tc>
          <w:tcPr>
            <w:tcW w:w="1632" w:type="dxa"/>
            <w:tcBorders>
              <w:tl2br w:val="nil"/>
              <w:tr2bl w:val="nil"/>
            </w:tcBorders>
            <w:shd w:val="clear" w:color="auto" w:fill="auto"/>
            <w:vAlign w:val="center"/>
          </w:tcPr>
          <w:p w14:paraId="6A184BE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63C4869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79075D1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B93F256">
            <w:pPr>
              <w:pStyle w:val="37"/>
              <w:widowControl/>
              <w:spacing w:beforeLines="10" w:beforeAutospacing="0" w:after="0" w:afterAutospacing="0" w:line="240" w:lineRule="auto"/>
              <w:ind w:left="0" w:right="0"/>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c>
          <w:tcPr>
            <w:tcW w:w="1548" w:type="dxa"/>
            <w:tcBorders>
              <w:tl2br w:val="nil"/>
              <w:tr2bl w:val="nil"/>
            </w:tcBorders>
            <w:shd w:val="clear" w:color="auto" w:fill="auto"/>
            <w:vAlign w:val="center"/>
          </w:tcPr>
          <w:p w14:paraId="4077DC26">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6DB2F5C1">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c>
          <w:tcPr>
            <w:tcW w:w="1049" w:type="dxa"/>
            <w:tcBorders>
              <w:tl2br w:val="nil"/>
              <w:tr2bl w:val="nil"/>
            </w:tcBorders>
            <w:shd w:val="clear" w:color="auto" w:fill="auto"/>
            <w:vAlign w:val="center"/>
          </w:tcPr>
          <w:p w14:paraId="3720AA8B">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 w:val="21"/>
                <w:szCs w:val="21"/>
                <w:lang w:val="en-US" w:eastAsia="zh-CN" w:bidi="ar"/>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r>
      <w:tr w14:paraId="701183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6F736482">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1332" w:type="dxa"/>
            <w:tcBorders>
              <w:tl2br w:val="nil"/>
              <w:tr2bl w:val="nil"/>
            </w:tcBorders>
            <w:shd w:val="clear" w:color="auto" w:fill="auto"/>
            <w:vAlign w:val="center"/>
          </w:tcPr>
          <w:p w14:paraId="32C0FEDF">
            <w:pPr>
              <w:pStyle w:val="37"/>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NO</w:t>
            </w:r>
            <w:r>
              <w:rPr>
                <w:rFonts w:hint="default" w:ascii="Times New Roman" w:hAnsi="Times New Roman" w:eastAsia="宋体" w:cs="Times New Roman"/>
                <w:color w:val="000000" w:themeColor="text1"/>
                <w:szCs w:val="21"/>
                <w:vertAlign w:val="subscript"/>
                <w14:textFill>
                  <w14:solidFill>
                    <w14:schemeClr w14:val="tx1"/>
                  </w14:solidFill>
                </w14:textFill>
              </w:rPr>
              <w:t>X</w:t>
            </w:r>
          </w:p>
        </w:tc>
        <w:tc>
          <w:tcPr>
            <w:tcW w:w="1632" w:type="dxa"/>
            <w:tcBorders>
              <w:tl2br w:val="nil"/>
              <w:tr2bl w:val="nil"/>
            </w:tcBorders>
            <w:shd w:val="clear" w:color="auto" w:fill="auto"/>
            <w:vAlign w:val="center"/>
          </w:tcPr>
          <w:p w14:paraId="12339CD7">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516169E6">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CF65E6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3DB1FAE">
            <w:pPr>
              <w:pStyle w:val="37"/>
              <w:widowControl/>
              <w:spacing w:beforeLines="10" w:beforeAutospacing="0" w:after="0" w:afterAutospacing="0" w:line="240" w:lineRule="auto"/>
              <w:ind w:left="0" w:right="0"/>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0.233</w:t>
            </w:r>
          </w:p>
        </w:tc>
        <w:tc>
          <w:tcPr>
            <w:tcW w:w="1548" w:type="dxa"/>
            <w:tcBorders>
              <w:tl2br w:val="nil"/>
              <w:tr2bl w:val="nil"/>
            </w:tcBorders>
            <w:shd w:val="clear" w:color="auto" w:fill="auto"/>
            <w:vAlign w:val="center"/>
          </w:tcPr>
          <w:p w14:paraId="3B8D00F5">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4A51B882">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0.233</w:t>
            </w:r>
          </w:p>
        </w:tc>
        <w:tc>
          <w:tcPr>
            <w:tcW w:w="1049" w:type="dxa"/>
            <w:tcBorders>
              <w:tl2br w:val="nil"/>
              <w:tr2bl w:val="nil"/>
            </w:tcBorders>
            <w:shd w:val="clear" w:color="auto" w:fill="auto"/>
            <w:vAlign w:val="center"/>
          </w:tcPr>
          <w:p w14:paraId="150D960D">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 w:val="21"/>
                <w:szCs w:val="21"/>
                <w:lang w:val="en-US" w:eastAsia="zh-CN" w:bidi="ar"/>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+0.233</w:t>
            </w:r>
          </w:p>
        </w:tc>
      </w:tr>
      <w:tr w14:paraId="78E1E3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7C72286D">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1332" w:type="dxa"/>
            <w:tcBorders>
              <w:tl2br w:val="nil"/>
              <w:tr2bl w:val="nil"/>
            </w:tcBorders>
            <w:shd w:val="clear" w:color="auto" w:fill="auto"/>
            <w:vAlign w:val="center"/>
          </w:tcPr>
          <w:p w14:paraId="0F561362">
            <w:pPr>
              <w:pStyle w:val="37"/>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烟尘</w:t>
            </w:r>
          </w:p>
        </w:tc>
        <w:tc>
          <w:tcPr>
            <w:tcW w:w="1632" w:type="dxa"/>
            <w:tcBorders>
              <w:tl2br w:val="nil"/>
              <w:tr2bl w:val="nil"/>
            </w:tcBorders>
            <w:shd w:val="clear" w:color="auto" w:fill="auto"/>
            <w:vAlign w:val="center"/>
          </w:tcPr>
          <w:p w14:paraId="57AE6585">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5CDC1F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042E6D16">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583628C9">
            <w:pPr>
              <w:pStyle w:val="37"/>
              <w:widowControl/>
              <w:spacing w:beforeLines="10" w:beforeAutospacing="0" w:after="0" w:afterAutospacing="0" w:line="240" w:lineRule="auto"/>
              <w:ind w:left="0" w:right="0"/>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0.093</w:t>
            </w:r>
          </w:p>
        </w:tc>
        <w:tc>
          <w:tcPr>
            <w:tcW w:w="1548" w:type="dxa"/>
            <w:tcBorders>
              <w:tl2br w:val="nil"/>
              <w:tr2bl w:val="nil"/>
            </w:tcBorders>
            <w:shd w:val="clear" w:color="auto" w:fill="auto"/>
            <w:vAlign w:val="center"/>
          </w:tcPr>
          <w:p w14:paraId="5E0C1E3F">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40BD8761">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0.093</w:t>
            </w:r>
          </w:p>
        </w:tc>
        <w:tc>
          <w:tcPr>
            <w:tcW w:w="1049" w:type="dxa"/>
            <w:tcBorders>
              <w:tl2br w:val="nil"/>
              <w:tr2bl w:val="nil"/>
            </w:tcBorders>
            <w:shd w:val="clear" w:color="auto" w:fill="auto"/>
            <w:vAlign w:val="center"/>
          </w:tcPr>
          <w:p w14:paraId="210496E4">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 w:val="21"/>
                <w:szCs w:val="21"/>
                <w:lang w:val="en-US" w:eastAsia="zh-CN" w:bidi="ar"/>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+0.093</w:t>
            </w:r>
          </w:p>
        </w:tc>
      </w:tr>
      <w:tr w14:paraId="2B3046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restart"/>
            <w:tcBorders>
              <w:tl2br w:val="nil"/>
              <w:tr2bl w:val="nil"/>
            </w:tcBorders>
            <w:shd w:val="clear" w:color="auto" w:fill="auto"/>
            <w:vAlign w:val="center"/>
          </w:tcPr>
          <w:p w14:paraId="4556B5D2">
            <w:pPr>
              <w:pStyle w:val="37"/>
              <w:widowControl/>
              <w:spacing w:beforeLines="10" w:beforeAutospacing="0" w:after="0" w:afterAutospacing="0" w:line="240" w:lineRule="auto"/>
              <w:ind w:left="0" w:right="0"/>
              <w:rPr>
                <w:rFonts w:hint="default" w:ascii="Times New Roman" w:hAnsi="Times New Roman" w:eastAsia="宋体" w:cs="Times New Roman"/>
                <w:color w:val="000000" w:themeColor="text1"/>
                <w:kern w:val="21"/>
                <w:szCs w:val="21"/>
                <w:lang w:val="en-US" w:eastAsia="zh-CN"/>
                <w14:textFill>
                  <w14:solidFill>
                    <w14:schemeClr w14:val="tx1"/>
                  </w14:solidFill>
                </w14:textFill>
              </w:rPr>
            </w:pPr>
            <w:r>
              <w:rPr>
                <w:rFonts w:hint="eastAsia" w:ascii="Times New Roman" w:cs="Times New Roman"/>
                <w:color w:val="000000" w:themeColor="text1"/>
                <w:kern w:val="21"/>
                <w:szCs w:val="21"/>
                <w:lang w:val="en-US" w:eastAsia="zh-CN"/>
                <w14:textFill>
                  <w14:solidFill>
                    <w14:schemeClr w14:val="tx1"/>
                  </w14:solidFill>
                </w14:textFill>
              </w:rPr>
              <w:t>废水</w:t>
            </w:r>
          </w:p>
        </w:tc>
        <w:tc>
          <w:tcPr>
            <w:tcW w:w="1332" w:type="dxa"/>
            <w:tcBorders>
              <w:tl2br w:val="nil"/>
              <w:tr2bl w:val="nil"/>
            </w:tcBorders>
            <w:shd w:val="clear" w:color="auto" w:fill="auto"/>
            <w:vAlign w:val="center"/>
          </w:tcPr>
          <w:p w14:paraId="237A1BF7">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COD</w:t>
            </w:r>
          </w:p>
        </w:tc>
        <w:tc>
          <w:tcPr>
            <w:tcW w:w="1632" w:type="dxa"/>
            <w:tcBorders>
              <w:tl2br w:val="nil"/>
              <w:tr2bl w:val="nil"/>
            </w:tcBorders>
            <w:shd w:val="clear" w:color="auto" w:fill="auto"/>
            <w:vAlign w:val="center"/>
          </w:tcPr>
          <w:p w14:paraId="4455AFDD">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E35F2D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2A0ECB8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01D7D4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0.011</w:t>
            </w:r>
          </w:p>
        </w:tc>
        <w:tc>
          <w:tcPr>
            <w:tcW w:w="1548" w:type="dxa"/>
            <w:tcBorders>
              <w:tl2br w:val="nil"/>
              <w:tr2bl w:val="nil"/>
            </w:tcBorders>
            <w:shd w:val="clear" w:color="auto" w:fill="auto"/>
            <w:vAlign w:val="center"/>
          </w:tcPr>
          <w:p w14:paraId="590161C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575D547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0.011</w:t>
            </w:r>
          </w:p>
        </w:tc>
        <w:tc>
          <w:tcPr>
            <w:tcW w:w="1049" w:type="dxa"/>
            <w:tcBorders>
              <w:tl2br w:val="nil"/>
              <w:tr2bl w:val="nil"/>
            </w:tcBorders>
            <w:shd w:val="clear" w:color="auto" w:fill="auto"/>
            <w:vAlign w:val="center"/>
          </w:tcPr>
          <w:p w14:paraId="6E72607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+0.011</w:t>
            </w:r>
          </w:p>
        </w:tc>
      </w:tr>
      <w:tr w14:paraId="6F89D6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573B8BB7">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10B1CC4F">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SS</w:t>
            </w:r>
          </w:p>
        </w:tc>
        <w:tc>
          <w:tcPr>
            <w:tcW w:w="1632" w:type="dxa"/>
            <w:tcBorders>
              <w:tl2br w:val="nil"/>
              <w:tr2bl w:val="nil"/>
            </w:tcBorders>
            <w:shd w:val="clear" w:color="auto" w:fill="auto"/>
            <w:vAlign w:val="center"/>
          </w:tcPr>
          <w:p w14:paraId="0C9737C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1E00EE1B">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5AE333B9">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17FBBF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0.0038</w:t>
            </w:r>
          </w:p>
        </w:tc>
        <w:tc>
          <w:tcPr>
            <w:tcW w:w="1548" w:type="dxa"/>
            <w:tcBorders>
              <w:tl2br w:val="nil"/>
              <w:tr2bl w:val="nil"/>
            </w:tcBorders>
            <w:shd w:val="clear" w:color="auto" w:fill="auto"/>
            <w:vAlign w:val="center"/>
          </w:tcPr>
          <w:p w14:paraId="03D7AF8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70261B64">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0.0038</w:t>
            </w:r>
          </w:p>
        </w:tc>
        <w:tc>
          <w:tcPr>
            <w:tcW w:w="1049" w:type="dxa"/>
            <w:tcBorders>
              <w:tl2br w:val="nil"/>
              <w:tr2bl w:val="nil"/>
            </w:tcBorders>
            <w:shd w:val="clear" w:color="auto" w:fill="auto"/>
            <w:vAlign w:val="center"/>
          </w:tcPr>
          <w:p w14:paraId="03D79BCE">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+0.0038</w:t>
            </w:r>
          </w:p>
        </w:tc>
      </w:tr>
      <w:tr w14:paraId="45254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345877BB">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21274812">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1632" w:type="dxa"/>
            <w:tcBorders>
              <w:tl2br w:val="nil"/>
              <w:tr2bl w:val="nil"/>
            </w:tcBorders>
            <w:shd w:val="clear" w:color="auto" w:fill="auto"/>
            <w:vAlign w:val="center"/>
          </w:tcPr>
          <w:p w14:paraId="1B2D849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117DE44B">
            <w:pPr>
              <w:keepNext w:val="0"/>
              <w:keepLines w:val="0"/>
              <w:widowControl/>
              <w:suppressLineNumbers w:val="0"/>
              <w:spacing w:before="0" w:beforeLines="10" w:beforeAutospacing="0" w:after="0" w:afterAutospacing="0" w:line="240" w:lineRule="auto"/>
              <w:ind w:left="0" w:right="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69712A48">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703C178">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c>
          <w:tcPr>
            <w:tcW w:w="1548" w:type="dxa"/>
            <w:tcBorders>
              <w:tl2br w:val="nil"/>
              <w:tr2bl w:val="nil"/>
            </w:tcBorders>
            <w:shd w:val="clear" w:color="auto" w:fill="auto"/>
            <w:vAlign w:val="center"/>
          </w:tcPr>
          <w:p w14:paraId="4926F01E">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53F6F87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c>
          <w:tcPr>
            <w:tcW w:w="1049" w:type="dxa"/>
            <w:tcBorders>
              <w:tl2br w:val="nil"/>
              <w:tr2bl w:val="nil"/>
            </w:tcBorders>
            <w:shd w:val="clear" w:color="auto" w:fill="auto"/>
            <w:vAlign w:val="center"/>
          </w:tcPr>
          <w:p w14:paraId="5438BC78">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r>
      <w:tr w14:paraId="54B2F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7EEF0AF2">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63228B75">
            <w:pPr>
              <w:pStyle w:val="39"/>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cs="Times New Roman" w:eastAsiaTheme="minorEastAsia"/>
                <w:color w:val="000000" w:themeColor="text1"/>
                <w:sz w:val="21"/>
                <w:szCs w:val="21"/>
                <w:lang w:val="en-US" w:eastAsia="zh-CN"/>
                <w14:textFill>
                  <w14:solidFill>
                    <w14:schemeClr w14:val="tx1"/>
                  </w14:solidFill>
                </w14:textFill>
              </w:rPr>
              <w:t>TDS</w:t>
            </w:r>
          </w:p>
        </w:tc>
        <w:tc>
          <w:tcPr>
            <w:tcW w:w="1632" w:type="dxa"/>
            <w:tcBorders>
              <w:tl2br w:val="nil"/>
              <w:tr2bl w:val="nil"/>
            </w:tcBorders>
            <w:shd w:val="clear" w:color="auto" w:fill="auto"/>
            <w:vAlign w:val="center"/>
          </w:tcPr>
          <w:p w14:paraId="756060D1">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50EB173">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3F7A2823">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A7A498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0.1034</w:t>
            </w:r>
          </w:p>
        </w:tc>
        <w:tc>
          <w:tcPr>
            <w:tcW w:w="1548" w:type="dxa"/>
            <w:tcBorders>
              <w:tl2br w:val="nil"/>
              <w:tr2bl w:val="nil"/>
            </w:tcBorders>
            <w:shd w:val="clear" w:color="auto" w:fill="auto"/>
            <w:vAlign w:val="center"/>
          </w:tcPr>
          <w:p w14:paraId="3BB55CD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68CE8EDD">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0.1034</w:t>
            </w:r>
          </w:p>
        </w:tc>
        <w:tc>
          <w:tcPr>
            <w:tcW w:w="1049" w:type="dxa"/>
            <w:tcBorders>
              <w:tl2br w:val="nil"/>
              <w:tr2bl w:val="nil"/>
            </w:tcBorders>
            <w:shd w:val="clear" w:color="auto" w:fill="auto"/>
            <w:vAlign w:val="center"/>
          </w:tcPr>
          <w:p w14:paraId="3FF1A24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+0.1034</w:t>
            </w:r>
          </w:p>
        </w:tc>
      </w:tr>
      <w:tr w14:paraId="6D19BC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vAlign w:val="center"/>
          </w:tcPr>
          <w:p w14:paraId="094AE921">
            <w:pPr>
              <w:pStyle w:val="37"/>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一般工业</w:t>
            </w:r>
          </w:p>
          <w:p w14:paraId="1A1E17FB">
            <w:pPr>
              <w:pStyle w:val="37"/>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固体废物</w:t>
            </w:r>
          </w:p>
        </w:tc>
        <w:tc>
          <w:tcPr>
            <w:tcW w:w="1332" w:type="dxa"/>
            <w:tcBorders>
              <w:tl2br w:val="nil"/>
              <w:tr2bl w:val="nil"/>
            </w:tcBorders>
            <w:shd w:val="clear" w:color="auto" w:fill="auto"/>
            <w:vAlign w:val="center"/>
          </w:tcPr>
          <w:p w14:paraId="19478CE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废离子交换树脂</w:t>
            </w:r>
          </w:p>
        </w:tc>
        <w:tc>
          <w:tcPr>
            <w:tcW w:w="1632" w:type="dxa"/>
            <w:tcBorders>
              <w:tl2br w:val="nil"/>
              <w:tr2bl w:val="nil"/>
            </w:tcBorders>
            <w:shd w:val="clear" w:color="auto" w:fill="auto"/>
            <w:vAlign w:val="center"/>
          </w:tcPr>
          <w:p w14:paraId="4153438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66CDB07">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22706192">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792D0C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0.11</w:t>
            </w:r>
          </w:p>
        </w:tc>
        <w:tc>
          <w:tcPr>
            <w:tcW w:w="1548" w:type="dxa"/>
            <w:tcBorders>
              <w:tl2br w:val="nil"/>
              <w:tr2bl w:val="nil"/>
            </w:tcBorders>
            <w:shd w:val="clear" w:color="auto" w:fill="auto"/>
            <w:vAlign w:val="center"/>
          </w:tcPr>
          <w:p w14:paraId="1889D5F2">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34FAC99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t/a</w:t>
            </w:r>
          </w:p>
        </w:tc>
        <w:tc>
          <w:tcPr>
            <w:tcW w:w="1049" w:type="dxa"/>
            <w:tcBorders>
              <w:tl2br w:val="nil"/>
              <w:tr2bl w:val="nil"/>
            </w:tcBorders>
            <w:shd w:val="clear" w:color="auto" w:fill="auto"/>
            <w:vAlign w:val="center"/>
          </w:tcPr>
          <w:p w14:paraId="40370C56">
            <w:pPr>
              <w:pStyle w:val="37"/>
              <w:widowControl/>
              <w:spacing w:beforeLines="10" w:beforeAutospacing="0" w:after="0" w:afterAutospacing="0" w:line="240" w:lineRule="auto"/>
              <w:ind w:left="0" w:leftChars="0" w:right="0" w:rightChars="0"/>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+0.11</w:t>
            </w:r>
          </w:p>
        </w:tc>
      </w:tr>
      <w:tr w14:paraId="1A9E3B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vAlign w:val="center"/>
          </w:tcPr>
          <w:p w14:paraId="75FCDC8D">
            <w:pPr>
              <w:pStyle w:val="37"/>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生活垃圾</w:t>
            </w:r>
          </w:p>
        </w:tc>
        <w:tc>
          <w:tcPr>
            <w:tcW w:w="1332" w:type="dxa"/>
            <w:tcBorders>
              <w:tl2br w:val="nil"/>
              <w:tr2bl w:val="nil"/>
            </w:tcBorders>
            <w:shd w:val="clear" w:color="auto" w:fill="auto"/>
            <w:vAlign w:val="center"/>
          </w:tcPr>
          <w:p w14:paraId="4296C781">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生活垃圾</w:t>
            </w:r>
          </w:p>
        </w:tc>
        <w:tc>
          <w:tcPr>
            <w:tcW w:w="1632" w:type="dxa"/>
            <w:tcBorders>
              <w:tl2br w:val="nil"/>
              <w:tr2bl w:val="nil"/>
            </w:tcBorders>
            <w:shd w:val="clear" w:color="auto" w:fill="auto"/>
            <w:vAlign w:val="center"/>
          </w:tcPr>
          <w:p w14:paraId="5B002BDF">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AC862B6">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6783AE52">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C2EAA61">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548" w:type="dxa"/>
            <w:tcBorders>
              <w:tl2br w:val="nil"/>
              <w:tr2bl w:val="nil"/>
            </w:tcBorders>
            <w:shd w:val="clear" w:color="auto" w:fill="auto"/>
            <w:vAlign w:val="center"/>
          </w:tcPr>
          <w:p w14:paraId="6ADBB68F">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5DCC2EDE">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049" w:type="dxa"/>
            <w:tcBorders>
              <w:tl2br w:val="nil"/>
              <w:tr2bl w:val="nil"/>
            </w:tcBorders>
            <w:shd w:val="clear" w:color="auto" w:fill="auto"/>
            <w:vAlign w:val="center"/>
          </w:tcPr>
          <w:p w14:paraId="6B24D24E">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r>
    </w:tbl>
    <w:p w14:paraId="2A2B98EF">
      <w:pPr>
        <w:pStyle w:val="37"/>
        <w:widowControl/>
        <w:spacing w:before="192" w:beforeLines="80" w:beforeAutospacing="0" w:after="24" w:afterAutospacing="0"/>
        <w:ind w:left="0" w:right="0"/>
        <w:jc w:val="left"/>
        <w:rPr>
          <w:rFonts w:hAnsi="宋体"/>
          <w:color w:val="000000" w:themeColor="text1"/>
          <w:spacing w:val="-6"/>
          <w:kern w:val="21"/>
          <w:szCs w:val="21"/>
          <w:lang w:val="en-US"/>
          <w14:textFill>
            <w14:solidFill>
              <w14:schemeClr w14:val="tx1"/>
            </w14:solidFill>
          </w14:textFill>
        </w:rPr>
      </w:pPr>
      <w:r>
        <w:rPr>
          <w:rFonts w:hAnsi="宋体"/>
          <w:snapToGrid w:val="0"/>
          <w:color w:val="000000" w:themeColor="text1"/>
          <w:kern w:val="21"/>
          <w:szCs w:val="21"/>
          <w:lang w:eastAsia="zh-CN"/>
          <w14:textFill>
            <w14:solidFill>
              <w14:schemeClr w14:val="tx1"/>
            </w14:solidFill>
          </w14:textFill>
        </w:rPr>
        <w:t>注：</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6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⑥</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1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①</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3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③</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4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④</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5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⑤</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eastAsia="zh-CN"/>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7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⑦</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6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⑥</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1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①</w:t>
      </w:r>
      <w:r>
        <w:rPr>
          <w:rFonts w:hAnsi="宋体"/>
          <w:color w:val="000000" w:themeColor="text1"/>
          <w:spacing w:val="-6"/>
          <w:kern w:val="21"/>
          <w:szCs w:val="21"/>
          <w:lang w:val="en-US"/>
          <w14:textFill>
            <w14:solidFill>
              <w14:schemeClr w14:val="tx1"/>
            </w14:solidFill>
          </w14:textFill>
        </w:rPr>
        <w:fldChar w:fldCharType="end"/>
      </w:r>
    </w:p>
    <w:p w14:paraId="2AF42E00">
      <w:pPr>
        <w:tabs>
          <w:tab w:val="left" w:pos="8920"/>
        </w:tabs>
        <w:bidi w:val="0"/>
        <w:jc w:val="left"/>
        <w:rPr>
          <w:rFonts w:hint="eastAsia" w:eastAsiaTheme="minorEastAsia"/>
          <w:color w:val="000000" w:themeColor="text1"/>
          <w:lang w:eastAsia="zh-CN"/>
          <w14:textFill>
            <w14:solidFill>
              <w14:schemeClr w14:val="tx1"/>
            </w14:solidFill>
          </w14:textFill>
        </w:rPr>
      </w:pPr>
    </w:p>
    <w:sectPr>
      <w:pgSz w:w="16838" w:h="11906" w:orient="landscape"/>
      <w:pgMar w:top="1440" w:right="1803" w:bottom="1440" w:left="1803" w:header="851" w:footer="851"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47EAD">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24A1BA">
                          <w:pPr>
                            <w:pStyle w:val="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924A1BA">
                    <w:pPr>
                      <w:pStyle w:val="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238BD4"/>
    <w:multiLevelType w:val="singleLevel"/>
    <w:tmpl w:val="52238BD4"/>
    <w:lvl w:ilvl="0" w:tentative="0">
      <w:start w:val="1"/>
      <w:numFmt w:val="bullet"/>
      <w:pStyle w:val="17"/>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mMxNjVlMzBkOTI2YTRmYjMzMDY3OTg4YzM2N2UifQ=="/>
    <w:docVar w:name="KSO_WPS_MARK_KEY" w:val="5bc4eae3-496b-4d96-9985-75d6e1f33fa5"/>
  </w:docVars>
  <w:rsids>
    <w:rsidRoot w:val="37A81943"/>
    <w:rsid w:val="00586FEC"/>
    <w:rsid w:val="00814795"/>
    <w:rsid w:val="011078C7"/>
    <w:rsid w:val="011571CC"/>
    <w:rsid w:val="011F09A1"/>
    <w:rsid w:val="012F2D4E"/>
    <w:rsid w:val="014A102B"/>
    <w:rsid w:val="0173376C"/>
    <w:rsid w:val="019602A9"/>
    <w:rsid w:val="01AB5CA3"/>
    <w:rsid w:val="01DD1E9F"/>
    <w:rsid w:val="026003DA"/>
    <w:rsid w:val="026E5A21"/>
    <w:rsid w:val="027124EB"/>
    <w:rsid w:val="02A14EBF"/>
    <w:rsid w:val="02AC44A6"/>
    <w:rsid w:val="02B0221F"/>
    <w:rsid w:val="02B07DB2"/>
    <w:rsid w:val="02BE10A1"/>
    <w:rsid w:val="02D52B5A"/>
    <w:rsid w:val="02E37041"/>
    <w:rsid w:val="030D4FD2"/>
    <w:rsid w:val="0329549E"/>
    <w:rsid w:val="033A18A1"/>
    <w:rsid w:val="037C7496"/>
    <w:rsid w:val="038350C3"/>
    <w:rsid w:val="03E60DF3"/>
    <w:rsid w:val="040D2898"/>
    <w:rsid w:val="04301335"/>
    <w:rsid w:val="04A40A52"/>
    <w:rsid w:val="04D34844"/>
    <w:rsid w:val="05665D07"/>
    <w:rsid w:val="057528B6"/>
    <w:rsid w:val="05934F42"/>
    <w:rsid w:val="05A635C6"/>
    <w:rsid w:val="05DF4020"/>
    <w:rsid w:val="06046313"/>
    <w:rsid w:val="061D0250"/>
    <w:rsid w:val="06293905"/>
    <w:rsid w:val="06736DB3"/>
    <w:rsid w:val="068723D9"/>
    <w:rsid w:val="06B32BB9"/>
    <w:rsid w:val="06C5032E"/>
    <w:rsid w:val="06D53145"/>
    <w:rsid w:val="071E355A"/>
    <w:rsid w:val="07630BCC"/>
    <w:rsid w:val="079808BF"/>
    <w:rsid w:val="07AA60E2"/>
    <w:rsid w:val="07AA637F"/>
    <w:rsid w:val="07B14900"/>
    <w:rsid w:val="07DB478B"/>
    <w:rsid w:val="08064EF2"/>
    <w:rsid w:val="082223BA"/>
    <w:rsid w:val="08493DEA"/>
    <w:rsid w:val="0897031F"/>
    <w:rsid w:val="089E3A0A"/>
    <w:rsid w:val="08B82D1E"/>
    <w:rsid w:val="08F33D56"/>
    <w:rsid w:val="090C10E5"/>
    <w:rsid w:val="09364CAC"/>
    <w:rsid w:val="09582C7D"/>
    <w:rsid w:val="09EA2E32"/>
    <w:rsid w:val="0A1B17B6"/>
    <w:rsid w:val="0A1E6F46"/>
    <w:rsid w:val="0A37100B"/>
    <w:rsid w:val="0A750366"/>
    <w:rsid w:val="0A8F3F52"/>
    <w:rsid w:val="0AAC0660"/>
    <w:rsid w:val="0AB95674"/>
    <w:rsid w:val="0AD22BB6"/>
    <w:rsid w:val="0AE24F4C"/>
    <w:rsid w:val="0AE47377"/>
    <w:rsid w:val="0AF85654"/>
    <w:rsid w:val="0B00278E"/>
    <w:rsid w:val="0B5B3DB8"/>
    <w:rsid w:val="0B9C2483"/>
    <w:rsid w:val="0B9C4DBF"/>
    <w:rsid w:val="0BA13F3D"/>
    <w:rsid w:val="0BB92D4D"/>
    <w:rsid w:val="0BC639A4"/>
    <w:rsid w:val="0C000495"/>
    <w:rsid w:val="0C1E733C"/>
    <w:rsid w:val="0C43510B"/>
    <w:rsid w:val="0C982640"/>
    <w:rsid w:val="0CF02CDD"/>
    <w:rsid w:val="0D160F6F"/>
    <w:rsid w:val="0D3E400A"/>
    <w:rsid w:val="0D5C45C0"/>
    <w:rsid w:val="0DF94721"/>
    <w:rsid w:val="0E1B7FD7"/>
    <w:rsid w:val="0E6701EA"/>
    <w:rsid w:val="0ED91C40"/>
    <w:rsid w:val="0EE52393"/>
    <w:rsid w:val="0EF25AC9"/>
    <w:rsid w:val="0F31382A"/>
    <w:rsid w:val="0F4F7A9A"/>
    <w:rsid w:val="0F71353E"/>
    <w:rsid w:val="0F745187"/>
    <w:rsid w:val="0FFC5BF5"/>
    <w:rsid w:val="102E38C6"/>
    <w:rsid w:val="10482BD9"/>
    <w:rsid w:val="10596B94"/>
    <w:rsid w:val="10841ADC"/>
    <w:rsid w:val="10BA0731"/>
    <w:rsid w:val="112847B9"/>
    <w:rsid w:val="115B75E1"/>
    <w:rsid w:val="1185212E"/>
    <w:rsid w:val="11E95591"/>
    <w:rsid w:val="11FE6E01"/>
    <w:rsid w:val="12553177"/>
    <w:rsid w:val="12CB126D"/>
    <w:rsid w:val="12D91EC4"/>
    <w:rsid w:val="12F86B39"/>
    <w:rsid w:val="13001549"/>
    <w:rsid w:val="13157522"/>
    <w:rsid w:val="1356717C"/>
    <w:rsid w:val="13963FB4"/>
    <w:rsid w:val="13C56811"/>
    <w:rsid w:val="146855F8"/>
    <w:rsid w:val="146B7EA1"/>
    <w:rsid w:val="14706888"/>
    <w:rsid w:val="14E207CE"/>
    <w:rsid w:val="1512148A"/>
    <w:rsid w:val="15465D5E"/>
    <w:rsid w:val="156C64C9"/>
    <w:rsid w:val="157F52EF"/>
    <w:rsid w:val="15A45BE9"/>
    <w:rsid w:val="15CF16A7"/>
    <w:rsid w:val="15E11B06"/>
    <w:rsid w:val="15E321B7"/>
    <w:rsid w:val="15F32B90"/>
    <w:rsid w:val="161D0BF4"/>
    <w:rsid w:val="162D335F"/>
    <w:rsid w:val="16370343"/>
    <w:rsid w:val="16783AEC"/>
    <w:rsid w:val="169052DA"/>
    <w:rsid w:val="169326D4"/>
    <w:rsid w:val="16B26FFE"/>
    <w:rsid w:val="16EB75BF"/>
    <w:rsid w:val="17366F69"/>
    <w:rsid w:val="17622EA4"/>
    <w:rsid w:val="176D5E03"/>
    <w:rsid w:val="17872239"/>
    <w:rsid w:val="17D31922"/>
    <w:rsid w:val="181810E3"/>
    <w:rsid w:val="18522F76"/>
    <w:rsid w:val="187327BD"/>
    <w:rsid w:val="18786643"/>
    <w:rsid w:val="188350F6"/>
    <w:rsid w:val="18DA0A8E"/>
    <w:rsid w:val="18E23DD7"/>
    <w:rsid w:val="18FB7CA2"/>
    <w:rsid w:val="191C3575"/>
    <w:rsid w:val="19484E1E"/>
    <w:rsid w:val="194E2B04"/>
    <w:rsid w:val="19614B26"/>
    <w:rsid w:val="19793E03"/>
    <w:rsid w:val="19795AEE"/>
    <w:rsid w:val="19995A3C"/>
    <w:rsid w:val="19FD67E3"/>
    <w:rsid w:val="1ADC7A6E"/>
    <w:rsid w:val="1AE45795"/>
    <w:rsid w:val="1AE814A8"/>
    <w:rsid w:val="1AEB2ADF"/>
    <w:rsid w:val="1B2E4EB8"/>
    <w:rsid w:val="1B4406B6"/>
    <w:rsid w:val="1B901D16"/>
    <w:rsid w:val="1BAF0290"/>
    <w:rsid w:val="1BE87977"/>
    <w:rsid w:val="1BEC2FB3"/>
    <w:rsid w:val="1C2E7D30"/>
    <w:rsid w:val="1C6C413F"/>
    <w:rsid w:val="1C80194D"/>
    <w:rsid w:val="1CAB0BC1"/>
    <w:rsid w:val="1CE95744"/>
    <w:rsid w:val="1CFE0CFB"/>
    <w:rsid w:val="1D2D73DF"/>
    <w:rsid w:val="1D3A645D"/>
    <w:rsid w:val="1D4F4BF7"/>
    <w:rsid w:val="1DBE7C4D"/>
    <w:rsid w:val="1DF225F8"/>
    <w:rsid w:val="1E63236E"/>
    <w:rsid w:val="1E6A3D8C"/>
    <w:rsid w:val="1E8311C4"/>
    <w:rsid w:val="1E9E60BA"/>
    <w:rsid w:val="1EA23DFC"/>
    <w:rsid w:val="1F0B1ED8"/>
    <w:rsid w:val="1F43738D"/>
    <w:rsid w:val="1F4C6803"/>
    <w:rsid w:val="1FAA63F5"/>
    <w:rsid w:val="1FB3473A"/>
    <w:rsid w:val="1FCE2F6A"/>
    <w:rsid w:val="1FEA7809"/>
    <w:rsid w:val="1FEB4106"/>
    <w:rsid w:val="200308CB"/>
    <w:rsid w:val="201C7BDE"/>
    <w:rsid w:val="207C7310"/>
    <w:rsid w:val="208732AA"/>
    <w:rsid w:val="20924AF0"/>
    <w:rsid w:val="20AF4A56"/>
    <w:rsid w:val="20B00CFA"/>
    <w:rsid w:val="20BF1CB4"/>
    <w:rsid w:val="20CB544E"/>
    <w:rsid w:val="20D7775D"/>
    <w:rsid w:val="21C67E02"/>
    <w:rsid w:val="21DF1A4E"/>
    <w:rsid w:val="220E023D"/>
    <w:rsid w:val="223700F7"/>
    <w:rsid w:val="22462CF1"/>
    <w:rsid w:val="22616807"/>
    <w:rsid w:val="22867B03"/>
    <w:rsid w:val="229762A6"/>
    <w:rsid w:val="22AF6AE8"/>
    <w:rsid w:val="22BD2FB3"/>
    <w:rsid w:val="22FC5D86"/>
    <w:rsid w:val="230C63BD"/>
    <w:rsid w:val="230F5C34"/>
    <w:rsid w:val="23640DBF"/>
    <w:rsid w:val="23831D3F"/>
    <w:rsid w:val="23893D86"/>
    <w:rsid w:val="23D700A4"/>
    <w:rsid w:val="23E447B6"/>
    <w:rsid w:val="23FE7D27"/>
    <w:rsid w:val="24036116"/>
    <w:rsid w:val="2410368F"/>
    <w:rsid w:val="242D5F16"/>
    <w:rsid w:val="248F4841"/>
    <w:rsid w:val="24A26AE2"/>
    <w:rsid w:val="24A43A9F"/>
    <w:rsid w:val="24BD2214"/>
    <w:rsid w:val="24EE3520"/>
    <w:rsid w:val="24F00A0A"/>
    <w:rsid w:val="251946ED"/>
    <w:rsid w:val="2536529E"/>
    <w:rsid w:val="255A0F8D"/>
    <w:rsid w:val="25783B09"/>
    <w:rsid w:val="257D33AA"/>
    <w:rsid w:val="25C8374D"/>
    <w:rsid w:val="25FA61EA"/>
    <w:rsid w:val="26B96228"/>
    <w:rsid w:val="26D539DB"/>
    <w:rsid w:val="26FB054E"/>
    <w:rsid w:val="272730F1"/>
    <w:rsid w:val="27517631"/>
    <w:rsid w:val="27577AEE"/>
    <w:rsid w:val="27925B8A"/>
    <w:rsid w:val="27F8481C"/>
    <w:rsid w:val="2814644B"/>
    <w:rsid w:val="284063F2"/>
    <w:rsid w:val="284127A6"/>
    <w:rsid w:val="285717B4"/>
    <w:rsid w:val="285B549E"/>
    <w:rsid w:val="28700AC7"/>
    <w:rsid w:val="287A7BDF"/>
    <w:rsid w:val="288514E2"/>
    <w:rsid w:val="288E0F4E"/>
    <w:rsid w:val="289139DD"/>
    <w:rsid w:val="28B9421C"/>
    <w:rsid w:val="291319B7"/>
    <w:rsid w:val="297E7214"/>
    <w:rsid w:val="29903603"/>
    <w:rsid w:val="299C0217"/>
    <w:rsid w:val="29BA004D"/>
    <w:rsid w:val="29CA4CEC"/>
    <w:rsid w:val="2A247DBB"/>
    <w:rsid w:val="2A4100AB"/>
    <w:rsid w:val="2A9C5BA4"/>
    <w:rsid w:val="2AE0592B"/>
    <w:rsid w:val="2AF946BB"/>
    <w:rsid w:val="2B074BBE"/>
    <w:rsid w:val="2B110137"/>
    <w:rsid w:val="2B405DD5"/>
    <w:rsid w:val="2B440A96"/>
    <w:rsid w:val="2B4B6429"/>
    <w:rsid w:val="2B53594F"/>
    <w:rsid w:val="2B5C661A"/>
    <w:rsid w:val="2B7C5FD3"/>
    <w:rsid w:val="2BFE27CA"/>
    <w:rsid w:val="2C2916B9"/>
    <w:rsid w:val="2C637CCD"/>
    <w:rsid w:val="2C8132A3"/>
    <w:rsid w:val="2CD37BCC"/>
    <w:rsid w:val="2CDE06F5"/>
    <w:rsid w:val="2CEA0DC9"/>
    <w:rsid w:val="2CF9552F"/>
    <w:rsid w:val="2CFF4730"/>
    <w:rsid w:val="2D9C3532"/>
    <w:rsid w:val="2DA33F8B"/>
    <w:rsid w:val="2DFA3447"/>
    <w:rsid w:val="2E026666"/>
    <w:rsid w:val="2E027ECE"/>
    <w:rsid w:val="2E284AAB"/>
    <w:rsid w:val="2E5F1724"/>
    <w:rsid w:val="2E983AC1"/>
    <w:rsid w:val="2EFE1A21"/>
    <w:rsid w:val="2EFF6A0E"/>
    <w:rsid w:val="2F0E360A"/>
    <w:rsid w:val="2F146650"/>
    <w:rsid w:val="2F5D4FC3"/>
    <w:rsid w:val="2F6A2714"/>
    <w:rsid w:val="2FDF3BF7"/>
    <w:rsid w:val="2FEF1B35"/>
    <w:rsid w:val="2FFE70E2"/>
    <w:rsid w:val="30364244"/>
    <w:rsid w:val="307355F9"/>
    <w:rsid w:val="308E41E1"/>
    <w:rsid w:val="30CB2D3F"/>
    <w:rsid w:val="30FC55EE"/>
    <w:rsid w:val="31102E48"/>
    <w:rsid w:val="313A55BD"/>
    <w:rsid w:val="314B0324"/>
    <w:rsid w:val="316F5D05"/>
    <w:rsid w:val="319B4492"/>
    <w:rsid w:val="31AE5FF4"/>
    <w:rsid w:val="31BA63AD"/>
    <w:rsid w:val="324A2389"/>
    <w:rsid w:val="33022C64"/>
    <w:rsid w:val="332350B4"/>
    <w:rsid w:val="33361C1F"/>
    <w:rsid w:val="33446DD8"/>
    <w:rsid w:val="336D0D24"/>
    <w:rsid w:val="339E7648"/>
    <w:rsid w:val="33E60818"/>
    <w:rsid w:val="34670FD0"/>
    <w:rsid w:val="34BE6B3A"/>
    <w:rsid w:val="34F32864"/>
    <w:rsid w:val="353C464F"/>
    <w:rsid w:val="35473A7B"/>
    <w:rsid w:val="356E47C4"/>
    <w:rsid w:val="35812566"/>
    <w:rsid w:val="35A607D6"/>
    <w:rsid w:val="35A66712"/>
    <w:rsid w:val="35DC59EE"/>
    <w:rsid w:val="36251143"/>
    <w:rsid w:val="36396648"/>
    <w:rsid w:val="36A44AD0"/>
    <w:rsid w:val="36B57766"/>
    <w:rsid w:val="36F37961"/>
    <w:rsid w:val="373158C6"/>
    <w:rsid w:val="37465815"/>
    <w:rsid w:val="37A12A4B"/>
    <w:rsid w:val="37A81943"/>
    <w:rsid w:val="37C4498C"/>
    <w:rsid w:val="37CD55EE"/>
    <w:rsid w:val="380940FC"/>
    <w:rsid w:val="3854076F"/>
    <w:rsid w:val="388F123F"/>
    <w:rsid w:val="38914E68"/>
    <w:rsid w:val="38D62422"/>
    <w:rsid w:val="391F4B95"/>
    <w:rsid w:val="39205BF2"/>
    <w:rsid w:val="39491E4B"/>
    <w:rsid w:val="395543E0"/>
    <w:rsid w:val="39A86313"/>
    <w:rsid w:val="39D37CA0"/>
    <w:rsid w:val="39D569DC"/>
    <w:rsid w:val="3A693DE3"/>
    <w:rsid w:val="3A8A77C7"/>
    <w:rsid w:val="3A8F0B5D"/>
    <w:rsid w:val="3AB039E2"/>
    <w:rsid w:val="3B802B90"/>
    <w:rsid w:val="3C184533"/>
    <w:rsid w:val="3C471A2E"/>
    <w:rsid w:val="3C69666E"/>
    <w:rsid w:val="3C8D7A42"/>
    <w:rsid w:val="3C8F6EBE"/>
    <w:rsid w:val="3CBA4CE5"/>
    <w:rsid w:val="3CE84C78"/>
    <w:rsid w:val="3D3B6D94"/>
    <w:rsid w:val="3D443DED"/>
    <w:rsid w:val="3D714C6E"/>
    <w:rsid w:val="3E0E02DB"/>
    <w:rsid w:val="3E614CE2"/>
    <w:rsid w:val="3E61503D"/>
    <w:rsid w:val="3E6350CC"/>
    <w:rsid w:val="3E8808DA"/>
    <w:rsid w:val="3EB7242B"/>
    <w:rsid w:val="3EDC1496"/>
    <w:rsid w:val="3F0F0BE2"/>
    <w:rsid w:val="3F141D55"/>
    <w:rsid w:val="3F267E2A"/>
    <w:rsid w:val="3F3917BB"/>
    <w:rsid w:val="3F880EB0"/>
    <w:rsid w:val="3FC87E68"/>
    <w:rsid w:val="406D5BC1"/>
    <w:rsid w:val="40784BB9"/>
    <w:rsid w:val="40B261A2"/>
    <w:rsid w:val="40B40B54"/>
    <w:rsid w:val="40C357E1"/>
    <w:rsid w:val="40CC6C33"/>
    <w:rsid w:val="40DF73F7"/>
    <w:rsid w:val="40F260C6"/>
    <w:rsid w:val="414254C8"/>
    <w:rsid w:val="41491C56"/>
    <w:rsid w:val="419F1A85"/>
    <w:rsid w:val="41AC096A"/>
    <w:rsid w:val="41D91034"/>
    <w:rsid w:val="41F45E6E"/>
    <w:rsid w:val="41F563AA"/>
    <w:rsid w:val="42022CDA"/>
    <w:rsid w:val="42042555"/>
    <w:rsid w:val="421F2EEA"/>
    <w:rsid w:val="4233384B"/>
    <w:rsid w:val="42813BA5"/>
    <w:rsid w:val="428454B1"/>
    <w:rsid w:val="42C67F20"/>
    <w:rsid w:val="42D56E6D"/>
    <w:rsid w:val="42DD518D"/>
    <w:rsid w:val="42E760A6"/>
    <w:rsid w:val="4391606A"/>
    <w:rsid w:val="43947557"/>
    <w:rsid w:val="43E42415"/>
    <w:rsid w:val="44366E09"/>
    <w:rsid w:val="44421112"/>
    <w:rsid w:val="44A61A6E"/>
    <w:rsid w:val="44DA576B"/>
    <w:rsid w:val="44F13035"/>
    <w:rsid w:val="450F12FD"/>
    <w:rsid w:val="45140D01"/>
    <w:rsid w:val="456D4B1C"/>
    <w:rsid w:val="457A4B71"/>
    <w:rsid w:val="45841FCF"/>
    <w:rsid w:val="45CA13BF"/>
    <w:rsid w:val="45E52A9B"/>
    <w:rsid w:val="469A6FE4"/>
    <w:rsid w:val="469B2D40"/>
    <w:rsid w:val="46A37DE4"/>
    <w:rsid w:val="46BB28CA"/>
    <w:rsid w:val="46F74436"/>
    <w:rsid w:val="47432B68"/>
    <w:rsid w:val="47510A8C"/>
    <w:rsid w:val="475A5A2C"/>
    <w:rsid w:val="4780267D"/>
    <w:rsid w:val="47AA02B5"/>
    <w:rsid w:val="483643E9"/>
    <w:rsid w:val="4888072C"/>
    <w:rsid w:val="488954D9"/>
    <w:rsid w:val="48A76E42"/>
    <w:rsid w:val="48B63E7D"/>
    <w:rsid w:val="48CA7928"/>
    <w:rsid w:val="48D34D81"/>
    <w:rsid w:val="49A168DB"/>
    <w:rsid w:val="49C170FE"/>
    <w:rsid w:val="49F7299F"/>
    <w:rsid w:val="4A915FE5"/>
    <w:rsid w:val="4A934476"/>
    <w:rsid w:val="4AFF7D5D"/>
    <w:rsid w:val="4B2A21AB"/>
    <w:rsid w:val="4B2D16DD"/>
    <w:rsid w:val="4B875D6D"/>
    <w:rsid w:val="4BC15423"/>
    <w:rsid w:val="4BCF5D5C"/>
    <w:rsid w:val="4C416B67"/>
    <w:rsid w:val="4C4A42B7"/>
    <w:rsid w:val="4C59524B"/>
    <w:rsid w:val="4CB515BB"/>
    <w:rsid w:val="4CE773D3"/>
    <w:rsid w:val="4CF40F7E"/>
    <w:rsid w:val="4D0D6132"/>
    <w:rsid w:val="4D4B4639"/>
    <w:rsid w:val="4D5F35F5"/>
    <w:rsid w:val="4E0D453F"/>
    <w:rsid w:val="4E711080"/>
    <w:rsid w:val="4E8F48C7"/>
    <w:rsid w:val="4EC02F88"/>
    <w:rsid w:val="4ECA0682"/>
    <w:rsid w:val="4ED64A39"/>
    <w:rsid w:val="4F496B0B"/>
    <w:rsid w:val="4F6B59C1"/>
    <w:rsid w:val="4F7A27E2"/>
    <w:rsid w:val="4FA26F09"/>
    <w:rsid w:val="4FCA4767"/>
    <w:rsid w:val="504F2B1C"/>
    <w:rsid w:val="50A87D75"/>
    <w:rsid w:val="50F276A6"/>
    <w:rsid w:val="50FC245E"/>
    <w:rsid w:val="51024103"/>
    <w:rsid w:val="510A7533"/>
    <w:rsid w:val="5122316F"/>
    <w:rsid w:val="512A365A"/>
    <w:rsid w:val="518445E4"/>
    <w:rsid w:val="51953466"/>
    <w:rsid w:val="51F4596B"/>
    <w:rsid w:val="522A08FB"/>
    <w:rsid w:val="522D3402"/>
    <w:rsid w:val="524644C3"/>
    <w:rsid w:val="52497B10"/>
    <w:rsid w:val="52541511"/>
    <w:rsid w:val="528A2602"/>
    <w:rsid w:val="52C06F3B"/>
    <w:rsid w:val="532A492E"/>
    <w:rsid w:val="532A7941"/>
    <w:rsid w:val="535F3A8F"/>
    <w:rsid w:val="538F59F6"/>
    <w:rsid w:val="54045FAB"/>
    <w:rsid w:val="541F321E"/>
    <w:rsid w:val="54317D37"/>
    <w:rsid w:val="543D1153"/>
    <w:rsid w:val="546B6463"/>
    <w:rsid w:val="548117E3"/>
    <w:rsid w:val="54A95B25"/>
    <w:rsid w:val="54BD6C7C"/>
    <w:rsid w:val="54C25A6E"/>
    <w:rsid w:val="54E5147F"/>
    <w:rsid w:val="55121E25"/>
    <w:rsid w:val="55894DF3"/>
    <w:rsid w:val="55990DAE"/>
    <w:rsid w:val="55F91210"/>
    <w:rsid w:val="56377EAC"/>
    <w:rsid w:val="56B51C18"/>
    <w:rsid w:val="56FE35BF"/>
    <w:rsid w:val="571357E3"/>
    <w:rsid w:val="571C4C48"/>
    <w:rsid w:val="57B857AF"/>
    <w:rsid w:val="57EB7472"/>
    <w:rsid w:val="58242BB1"/>
    <w:rsid w:val="58984C2D"/>
    <w:rsid w:val="58D74625"/>
    <w:rsid w:val="58F0632F"/>
    <w:rsid w:val="58FD3402"/>
    <w:rsid w:val="591310FB"/>
    <w:rsid w:val="596A0854"/>
    <w:rsid w:val="598A2EE8"/>
    <w:rsid w:val="598D0C2A"/>
    <w:rsid w:val="598D4786"/>
    <w:rsid w:val="59E71DE7"/>
    <w:rsid w:val="59F8493C"/>
    <w:rsid w:val="5A3A6175"/>
    <w:rsid w:val="5A7937E6"/>
    <w:rsid w:val="5A8738CB"/>
    <w:rsid w:val="5A920F10"/>
    <w:rsid w:val="5AAF5A0D"/>
    <w:rsid w:val="5AD3266C"/>
    <w:rsid w:val="5B306BC9"/>
    <w:rsid w:val="5B5F7DE8"/>
    <w:rsid w:val="5B637E94"/>
    <w:rsid w:val="5B6C68D1"/>
    <w:rsid w:val="5BA30291"/>
    <w:rsid w:val="5BA54009"/>
    <w:rsid w:val="5BB866C1"/>
    <w:rsid w:val="5BCD355F"/>
    <w:rsid w:val="5BE74621"/>
    <w:rsid w:val="5C2A09B2"/>
    <w:rsid w:val="5C6940FD"/>
    <w:rsid w:val="5C7B114E"/>
    <w:rsid w:val="5C8878C8"/>
    <w:rsid w:val="5CCC7E0C"/>
    <w:rsid w:val="5CE71579"/>
    <w:rsid w:val="5CEA0C21"/>
    <w:rsid w:val="5CF54345"/>
    <w:rsid w:val="5D017965"/>
    <w:rsid w:val="5D042FB1"/>
    <w:rsid w:val="5D1A27D4"/>
    <w:rsid w:val="5D59154F"/>
    <w:rsid w:val="5D59645A"/>
    <w:rsid w:val="5D706898"/>
    <w:rsid w:val="5DCA244C"/>
    <w:rsid w:val="5DD40BD5"/>
    <w:rsid w:val="5DDF7048"/>
    <w:rsid w:val="5DE84EAC"/>
    <w:rsid w:val="5E1E6DFA"/>
    <w:rsid w:val="5E251431"/>
    <w:rsid w:val="5E99215D"/>
    <w:rsid w:val="5E9D22DE"/>
    <w:rsid w:val="5EA507C4"/>
    <w:rsid w:val="5F3964DF"/>
    <w:rsid w:val="5F627B89"/>
    <w:rsid w:val="5F973121"/>
    <w:rsid w:val="5F9B6840"/>
    <w:rsid w:val="5FBC558D"/>
    <w:rsid w:val="5FDA5115"/>
    <w:rsid w:val="603040BD"/>
    <w:rsid w:val="6035383C"/>
    <w:rsid w:val="60427493"/>
    <w:rsid w:val="60663274"/>
    <w:rsid w:val="606F1089"/>
    <w:rsid w:val="60AC2D80"/>
    <w:rsid w:val="60AC735D"/>
    <w:rsid w:val="60BB607C"/>
    <w:rsid w:val="60C03231"/>
    <w:rsid w:val="60CB67E2"/>
    <w:rsid w:val="60D40EEC"/>
    <w:rsid w:val="612D5BFA"/>
    <w:rsid w:val="618B3CA1"/>
    <w:rsid w:val="61A83151"/>
    <w:rsid w:val="61B46E5E"/>
    <w:rsid w:val="61EA6C19"/>
    <w:rsid w:val="62662018"/>
    <w:rsid w:val="626E3570"/>
    <w:rsid w:val="631B35B5"/>
    <w:rsid w:val="63305655"/>
    <w:rsid w:val="638B53AA"/>
    <w:rsid w:val="63BC542C"/>
    <w:rsid w:val="63C65464"/>
    <w:rsid w:val="63E8362C"/>
    <w:rsid w:val="64296C4C"/>
    <w:rsid w:val="64584F96"/>
    <w:rsid w:val="64C8508E"/>
    <w:rsid w:val="6538385B"/>
    <w:rsid w:val="653D00DB"/>
    <w:rsid w:val="65786B89"/>
    <w:rsid w:val="65956E9C"/>
    <w:rsid w:val="65C226DB"/>
    <w:rsid w:val="65DD759E"/>
    <w:rsid w:val="65DF280D"/>
    <w:rsid w:val="66427ECE"/>
    <w:rsid w:val="66482160"/>
    <w:rsid w:val="66661D60"/>
    <w:rsid w:val="666B22F3"/>
    <w:rsid w:val="668075A8"/>
    <w:rsid w:val="66D575FD"/>
    <w:rsid w:val="66D87988"/>
    <w:rsid w:val="66DB1226"/>
    <w:rsid w:val="66FC04B4"/>
    <w:rsid w:val="672171A5"/>
    <w:rsid w:val="674B6351"/>
    <w:rsid w:val="67636D7C"/>
    <w:rsid w:val="676F196F"/>
    <w:rsid w:val="678B2E77"/>
    <w:rsid w:val="67A57E01"/>
    <w:rsid w:val="67B245E1"/>
    <w:rsid w:val="67B4219D"/>
    <w:rsid w:val="67D92FC1"/>
    <w:rsid w:val="67E97973"/>
    <w:rsid w:val="67FF7197"/>
    <w:rsid w:val="68297D70"/>
    <w:rsid w:val="682D5AB2"/>
    <w:rsid w:val="683B0EAD"/>
    <w:rsid w:val="68A1024E"/>
    <w:rsid w:val="69266558"/>
    <w:rsid w:val="69496F06"/>
    <w:rsid w:val="69B6580B"/>
    <w:rsid w:val="69D00DEB"/>
    <w:rsid w:val="69F63CAC"/>
    <w:rsid w:val="6A7C4ACE"/>
    <w:rsid w:val="6A995680"/>
    <w:rsid w:val="6AD761A9"/>
    <w:rsid w:val="6AEA7C8A"/>
    <w:rsid w:val="6B1E16E2"/>
    <w:rsid w:val="6B2A452A"/>
    <w:rsid w:val="6B3042FF"/>
    <w:rsid w:val="6B396E41"/>
    <w:rsid w:val="6B6970BF"/>
    <w:rsid w:val="6BAF1A6B"/>
    <w:rsid w:val="6BD10E4A"/>
    <w:rsid w:val="6BF2444B"/>
    <w:rsid w:val="6C2545B5"/>
    <w:rsid w:val="6C6B240E"/>
    <w:rsid w:val="6CA50EF1"/>
    <w:rsid w:val="6CB2396C"/>
    <w:rsid w:val="6CC2448C"/>
    <w:rsid w:val="6CC32475"/>
    <w:rsid w:val="6D30394E"/>
    <w:rsid w:val="6D3B2A1F"/>
    <w:rsid w:val="6D7B72BF"/>
    <w:rsid w:val="6D7D31C6"/>
    <w:rsid w:val="6D91263F"/>
    <w:rsid w:val="6DB84625"/>
    <w:rsid w:val="6DCA5B51"/>
    <w:rsid w:val="6DD8201C"/>
    <w:rsid w:val="6E677226"/>
    <w:rsid w:val="6E8E1982"/>
    <w:rsid w:val="6EA77C40"/>
    <w:rsid w:val="6EAE7B90"/>
    <w:rsid w:val="6EB04043"/>
    <w:rsid w:val="6F443EC4"/>
    <w:rsid w:val="6F5F19C8"/>
    <w:rsid w:val="6FAB550E"/>
    <w:rsid w:val="6FC54822"/>
    <w:rsid w:val="6FD32218"/>
    <w:rsid w:val="70182BA3"/>
    <w:rsid w:val="703F0774"/>
    <w:rsid w:val="704C2C7F"/>
    <w:rsid w:val="70DD2513"/>
    <w:rsid w:val="70E27682"/>
    <w:rsid w:val="710C47A1"/>
    <w:rsid w:val="711710AD"/>
    <w:rsid w:val="711A254E"/>
    <w:rsid w:val="712A185C"/>
    <w:rsid w:val="71AF1374"/>
    <w:rsid w:val="71B37514"/>
    <w:rsid w:val="71E74F23"/>
    <w:rsid w:val="727B1B10"/>
    <w:rsid w:val="72916C3D"/>
    <w:rsid w:val="7294672D"/>
    <w:rsid w:val="72FF7DBD"/>
    <w:rsid w:val="73321ED6"/>
    <w:rsid w:val="73590534"/>
    <w:rsid w:val="736B56E0"/>
    <w:rsid w:val="737A366E"/>
    <w:rsid w:val="738F5872"/>
    <w:rsid w:val="73E17A3F"/>
    <w:rsid w:val="740A1C05"/>
    <w:rsid w:val="742A559B"/>
    <w:rsid w:val="752B519A"/>
    <w:rsid w:val="754C1BDD"/>
    <w:rsid w:val="7577122F"/>
    <w:rsid w:val="760A030B"/>
    <w:rsid w:val="762229CE"/>
    <w:rsid w:val="76642244"/>
    <w:rsid w:val="76740D50"/>
    <w:rsid w:val="769D2054"/>
    <w:rsid w:val="76A51716"/>
    <w:rsid w:val="76C17268"/>
    <w:rsid w:val="77204A34"/>
    <w:rsid w:val="77B54E6A"/>
    <w:rsid w:val="783B2409"/>
    <w:rsid w:val="78A65503"/>
    <w:rsid w:val="78A94B7B"/>
    <w:rsid w:val="78C22246"/>
    <w:rsid w:val="78DF1D7D"/>
    <w:rsid w:val="78FA5C7A"/>
    <w:rsid w:val="793946E6"/>
    <w:rsid w:val="79701690"/>
    <w:rsid w:val="79BA4CCB"/>
    <w:rsid w:val="79EE2BC7"/>
    <w:rsid w:val="79F572B1"/>
    <w:rsid w:val="7A8F7F06"/>
    <w:rsid w:val="7AAA2F92"/>
    <w:rsid w:val="7AF518FB"/>
    <w:rsid w:val="7B424F78"/>
    <w:rsid w:val="7B467FF9"/>
    <w:rsid w:val="7B5376C0"/>
    <w:rsid w:val="7B566C76"/>
    <w:rsid w:val="7B9542DA"/>
    <w:rsid w:val="7C093CE8"/>
    <w:rsid w:val="7C9A4D45"/>
    <w:rsid w:val="7C9C0039"/>
    <w:rsid w:val="7CA3740E"/>
    <w:rsid w:val="7CB2107C"/>
    <w:rsid w:val="7CCC2A94"/>
    <w:rsid w:val="7CD40F80"/>
    <w:rsid w:val="7D1C7CD4"/>
    <w:rsid w:val="7D3C1A90"/>
    <w:rsid w:val="7E130E4E"/>
    <w:rsid w:val="7E5020A2"/>
    <w:rsid w:val="7E582DC9"/>
    <w:rsid w:val="7E590F57"/>
    <w:rsid w:val="7EB44B19"/>
    <w:rsid w:val="7EFC55E6"/>
    <w:rsid w:val="7F092664"/>
    <w:rsid w:val="7F42220A"/>
    <w:rsid w:val="7F737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autoSpaceDE w:val="0"/>
      <w:autoSpaceDN w:val="0"/>
      <w:adjustRightInd w:val="0"/>
      <w:jc w:val="center"/>
      <w:outlineLvl w:val="0"/>
    </w:pPr>
    <w:rPr>
      <w:kern w:val="0"/>
      <w:sz w:val="44"/>
      <w:lang w:val="zh-CN"/>
    </w:rPr>
  </w:style>
  <w:style w:type="paragraph" w:styleId="2">
    <w:name w:val="heading 2"/>
    <w:basedOn w:val="1"/>
    <w:next w:val="1"/>
    <w:autoRedefine/>
    <w:qFormat/>
    <w:uiPriority w:val="0"/>
    <w:pPr>
      <w:keepNext/>
      <w:keepLines/>
      <w:adjustRightInd w:val="0"/>
      <w:snapToGrid w:val="0"/>
      <w:spacing w:beforeLines="50" w:after="120" w:line="360" w:lineRule="auto"/>
      <w:ind w:firstLine="510"/>
      <w:textAlignment w:val="baseline"/>
      <w:outlineLvl w:val="1"/>
    </w:pPr>
    <w:rPr>
      <w:rFonts w:ascii="黑体" w:hAnsi="Arial" w:eastAsia="黑体"/>
      <w:b/>
      <w:snapToGrid w:val="0"/>
      <w:spacing w:val="4"/>
      <w:sz w:val="24"/>
    </w:rPr>
  </w:style>
  <w:style w:type="paragraph" w:styleId="4">
    <w:name w:val="heading 3"/>
    <w:basedOn w:val="1"/>
    <w:next w:val="1"/>
    <w:autoRedefine/>
    <w:qFormat/>
    <w:uiPriority w:val="0"/>
    <w:pPr>
      <w:keepNext/>
      <w:keepLines/>
      <w:spacing w:before="260" w:after="260" w:line="413" w:lineRule="auto"/>
      <w:outlineLvl w:val="2"/>
    </w:pPr>
    <w:rPr>
      <w:rFonts w:ascii="宋体"/>
      <w:snapToGrid w:val="0"/>
      <w:spacing w:val="4"/>
      <w:sz w:val="24"/>
    </w:rPr>
  </w:style>
  <w:style w:type="paragraph" w:styleId="5">
    <w:name w:val="heading 4"/>
    <w:basedOn w:val="1"/>
    <w:next w:val="1"/>
    <w:autoRedefine/>
    <w:qFormat/>
    <w:uiPriority w:val="0"/>
    <w:pPr>
      <w:keepNext/>
      <w:keepLines/>
      <w:spacing w:line="360" w:lineRule="auto"/>
      <w:outlineLvl w:val="3"/>
    </w:pPr>
    <w:rPr>
      <w:rFonts w:hint="eastAsia" w:ascii="宋体" w:hAnsi="Arial" w:eastAsia="仿宋_GB2312"/>
      <w:kern w:val="21"/>
      <w:sz w:val="28"/>
    </w:rPr>
  </w:style>
  <w:style w:type="character" w:default="1" w:styleId="28">
    <w:name w:val="Default Paragraph Font"/>
    <w:autoRedefine/>
    <w:semiHidden/>
    <w:qFormat/>
    <w:uiPriority w:val="0"/>
  </w:style>
  <w:style w:type="table" w:default="1" w:styleId="26">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6">
    <w:name w:val="table of authorities"/>
    <w:basedOn w:val="1"/>
    <w:next w:val="1"/>
    <w:autoRedefine/>
    <w:unhideWhenUsed/>
    <w:qFormat/>
    <w:uiPriority w:val="99"/>
    <w:pPr>
      <w:ind w:left="420" w:leftChars="200"/>
    </w:pPr>
  </w:style>
  <w:style w:type="paragraph" w:styleId="7">
    <w:name w:val="Normal Indent"/>
    <w:basedOn w:val="1"/>
    <w:next w:val="1"/>
    <w:autoRedefine/>
    <w:qFormat/>
    <w:uiPriority w:val="0"/>
    <w:pPr>
      <w:spacing w:before="120" w:line="500" w:lineRule="exact"/>
      <w:ind w:firstLine="420"/>
    </w:pPr>
    <w:rPr>
      <w:sz w:val="24"/>
    </w:rPr>
  </w:style>
  <w:style w:type="paragraph" w:styleId="8">
    <w:name w:val="caption"/>
    <w:basedOn w:val="1"/>
    <w:next w:val="1"/>
    <w:autoRedefine/>
    <w:qFormat/>
    <w:uiPriority w:val="35"/>
    <w:pPr>
      <w:keepNext/>
      <w:spacing w:before="50" w:beforeLines="50"/>
      <w:jc w:val="center"/>
    </w:pPr>
    <w:rPr>
      <w:rFonts w:ascii="Times New Roman" w:hAnsi="Times New Roman" w:eastAsia="黑体" w:cs="Times New Roman"/>
      <w:szCs w:val="24"/>
    </w:rPr>
  </w:style>
  <w:style w:type="paragraph" w:styleId="9">
    <w:name w:val="annotation text"/>
    <w:basedOn w:val="1"/>
    <w:autoRedefine/>
    <w:semiHidden/>
    <w:qFormat/>
    <w:uiPriority w:val="0"/>
    <w:pPr>
      <w:jc w:val="left"/>
    </w:pPr>
    <w:rPr>
      <w:kern w:val="0"/>
      <w:sz w:val="24"/>
      <w:szCs w:val="20"/>
    </w:rPr>
  </w:style>
  <w:style w:type="paragraph" w:styleId="10">
    <w:name w:val="Body Text"/>
    <w:basedOn w:val="1"/>
    <w:next w:val="1"/>
    <w:autoRedefine/>
    <w:qFormat/>
    <w:uiPriority w:val="0"/>
    <w:pPr>
      <w:adjustRightInd w:val="0"/>
      <w:spacing w:line="360" w:lineRule="auto"/>
      <w:ind w:firstLine="510"/>
      <w:textAlignment w:val="baseline"/>
    </w:pPr>
    <w:rPr>
      <w:rFonts w:ascii="宋体"/>
      <w:snapToGrid w:val="0"/>
      <w:spacing w:val="4"/>
      <w:kern w:val="18"/>
      <w:sz w:val="24"/>
    </w:rPr>
  </w:style>
  <w:style w:type="paragraph" w:styleId="11">
    <w:name w:val="Body Text Indent"/>
    <w:basedOn w:val="1"/>
    <w:next w:val="12"/>
    <w:autoRedefine/>
    <w:qFormat/>
    <w:uiPriority w:val="0"/>
    <w:pPr>
      <w:spacing w:after="120" w:afterLines="0"/>
      <w:ind w:left="420" w:leftChars="200"/>
    </w:pPr>
  </w:style>
  <w:style w:type="paragraph" w:styleId="12">
    <w:name w:val="header"/>
    <w:basedOn w:val="1"/>
    <w:next w:val="13"/>
    <w:autoRedefine/>
    <w:qFormat/>
    <w:uiPriority w:val="99"/>
    <w:pPr>
      <w:pBdr>
        <w:bottom w:val="single" w:color="auto" w:sz="6" w:space="1"/>
      </w:pBdr>
      <w:tabs>
        <w:tab w:val="center" w:pos="4153"/>
        <w:tab w:val="right" w:pos="8306"/>
      </w:tabs>
      <w:snapToGrid w:val="0"/>
      <w:jc w:val="center"/>
    </w:pPr>
    <w:rPr>
      <w:sz w:val="18"/>
    </w:rPr>
  </w:style>
  <w:style w:type="paragraph" w:customStyle="1" w:styleId="13">
    <w:name w:val="样式5"/>
    <w:basedOn w:val="14"/>
    <w:autoRedefine/>
    <w:qFormat/>
    <w:uiPriority w:val="0"/>
    <w:pPr>
      <w:spacing w:line="380" w:lineRule="exact"/>
      <w:ind w:firstLine="566" w:firstLineChars="202"/>
    </w:pPr>
    <w:rPr>
      <w:rFonts w:eastAsia="华文行楷"/>
      <w:sz w:val="28"/>
    </w:rPr>
  </w:style>
  <w:style w:type="paragraph" w:customStyle="1" w:styleId="14">
    <w:name w:val="正文1"/>
    <w:basedOn w:val="1"/>
    <w:next w:val="1"/>
    <w:autoRedefine/>
    <w:qFormat/>
    <w:uiPriority w:val="0"/>
    <w:pPr>
      <w:spacing w:line="360" w:lineRule="auto"/>
    </w:pPr>
    <w:rPr>
      <w:rFonts w:ascii="仿宋_GB2312" w:eastAsia="仿宋_GB2312"/>
      <w:sz w:val="24"/>
    </w:rPr>
  </w:style>
  <w:style w:type="paragraph" w:styleId="15">
    <w:name w:val="Block Text"/>
    <w:basedOn w:val="1"/>
    <w:autoRedefine/>
    <w:qFormat/>
    <w:uiPriority w:val="0"/>
    <w:pPr>
      <w:ind w:left="113" w:right="113"/>
    </w:pPr>
    <w:rPr>
      <w:sz w:val="28"/>
    </w:rPr>
  </w:style>
  <w:style w:type="paragraph" w:styleId="16">
    <w:name w:val="Plain Text"/>
    <w:basedOn w:val="1"/>
    <w:autoRedefine/>
    <w:qFormat/>
    <w:uiPriority w:val="99"/>
    <w:rPr>
      <w:rFonts w:ascii="宋体" w:hAnsi="Courier New"/>
    </w:rPr>
  </w:style>
  <w:style w:type="paragraph" w:styleId="17">
    <w:name w:val="List Bullet 5"/>
    <w:basedOn w:val="1"/>
    <w:autoRedefine/>
    <w:qFormat/>
    <w:uiPriority w:val="0"/>
    <w:pPr>
      <w:numPr>
        <w:ilvl w:val="0"/>
        <w:numId w:val="1"/>
      </w:numPr>
    </w:pPr>
  </w:style>
  <w:style w:type="paragraph" w:styleId="18">
    <w:name w:val="Date"/>
    <w:basedOn w:val="1"/>
    <w:next w:val="1"/>
    <w:autoRedefine/>
    <w:qFormat/>
    <w:uiPriority w:val="0"/>
    <w:pPr>
      <w:autoSpaceDE w:val="0"/>
      <w:autoSpaceDN w:val="0"/>
      <w:adjustRightInd w:val="0"/>
    </w:pPr>
    <w:rPr>
      <w:spacing w:val="8"/>
      <w:kern w:val="0"/>
      <w:sz w:val="24"/>
      <w:szCs w:val="24"/>
    </w:rPr>
  </w:style>
  <w:style w:type="paragraph" w:styleId="19">
    <w:name w:val="Body Text Indent 2"/>
    <w:basedOn w:val="1"/>
    <w:autoRedefine/>
    <w:qFormat/>
    <w:uiPriority w:val="0"/>
    <w:pPr>
      <w:spacing w:line="360" w:lineRule="auto"/>
      <w:ind w:firstLine="447" w:firstLineChars="200"/>
    </w:pPr>
    <w:rPr>
      <w:rFonts w:ascii="宋体"/>
      <w:spacing w:val="4"/>
      <w:w w:val="90"/>
      <w:sz w:val="24"/>
    </w:rPr>
  </w:style>
  <w:style w:type="paragraph" w:styleId="20">
    <w:name w:val="footer"/>
    <w:basedOn w:val="1"/>
    <w:link w:val="35"/>
    <w:autoRedefine/>
    <w:qFormat/>
    <w:uiPriority w:val="0"/>
    <w:pPr>
      <w:tabs>
        <w:tab w:val="center" w:pos="4153"/>
        <w:tab w:val="right" w:pos="8306"/>
      </w:tabs>
      <w:snapToGrid w:val="0"/>
      <w:jc w:val="left"/>
    </w:pPr>
    <w:rPr>
      <w:sz w:val="18"/>
    </w:rPr>
  </w:style>
  <w:style w:type="paragraph" w:styleId="21">
    <w:name w:val="table of figures"/>
    <w:basedOn w:val="1"/>
    <w:next w:val="1"/>
    <w:autoRedefine/>
    <w:qFormat/>
    <w:uiPriority w:val="0"/>
    <w:pPr>
      <w:ind w:leftChars="200" w:hanging="200" w:hangingChars="200"/>
    </w:pPr>
  </w:style>
  <w:style w:type="paragraph" w:styleId="22">
    <w:name w:val="toc 2"/>
    <w:basedOn w:val="1"/>
    <w:next w:val="1"/>
    <w:autoRedefine/>
    <w:qFormat/>
    <w:uiPriority w:val="39"/>
    <w:pPr>
      <w:ind w:left="210"/>
    </w:pPr>
    <w:rPr>
      <w:smallCaps/>
      <w:sz w:val="20"/>
      <w:szCs w:val="20"/>
    </w:rPr>
  </w:style>
  <w:style w:type="paragraph" w:styleId="23">
    <w:name w:val="Normal (Web)"/>
    <w:basedOn w:val="1"/>
    <w:link w:val="34"/>
    <w:autoRedefine/>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Times New Roman"/>
      <w:kern w:val="0"/>
      <w:sz w:val="24"/>
      <w:szCs w:val="20"/>
      <w:lang w:val="en-US" w:eastAsia="zh-CN" w:bidi="ar"/>
    </w:rPr>
  </w:style>
  <w:style w:type="paragraph" w:styleId="24">
    <w:name w:val="Body Text First Indent"/>
    <w:basedOn w:val="1"/>
    <w:next w:val="1"/>
    <w:autoRedefine/>
    <w:unhideWhenUsed/>
    <w:qFormat/>
    <w:uiPriority w:val="0"/>
    <w:pPr>
      <w:spacing w:after="120" w:line="240" w:lineRule="auto"/>
      <w:ind w:firstLine="420" w:firstLineChars="100"/>
    </w:pPr>
    <w:rPr>
      <w:sz w:val="21"/>
    </w:rPr>
  </w:style>
  <w:style w:type="paragraph" w:styleId="25">
    <w:name w:val="Body Text First Indent 2"/>
    <w:basedOn w:val="11"/>
    <w:next w:val="1"/>
    <w:autoRedefine/>
    <w:qFormat/>
    <w:uiPriority w:val="0"/>
    <w:pPr>
      <w:spacing w:after="120" w:line="240" w:lineRule="auto"/>
      <w:ind w:left="420" w:leftChars="200" w:firstLine="420"/>
    </w:pPr>
    <w:rPr>
      <w:rFonts w:ascii="Times New Roman" w:hAnsi="Times New Roman"/>
      <w:color w:val="auto"/>
      <w:sz w:val="21"/>
    </w:rPr>
  </w:style>
  <w:style w:type="table" w:styleId="27">
    <w:name w:val="Table Grid"/>
    <w:basedOn w:val="26"/>
    <w:autoRedefine/>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9">
    <w:name w:val="Strong"/>
    <w:basedOn w:val="28"/>
    <w:qFormat/>
    <w:uiPriority w:val="0"/>
    <w:rPr>
      <w:b/>
    </w:rPr>
  </w:style>
  <w:style w:type="character" w:styleId="30">
    <w:name w:val="page number"/>
    <w:basedOn w:val="28"/>
    <w:autoRedefine/>
    <w:qFormat/>
    <w:uiPriority w:val="0"/>
  </w:style>
  <w:style w:type="character" w:styleId="31">
    <w:name w:val="Hyperlink"/>
    <w:basedOn w:val="28"/>
    <w:autoRedefine/>
    <w:qFormat/>
    <w:uiPriority w:val="0"/>
    <w:rPr>
      <w:color w:val="0000FF"/>
      <w:u w:val="single"/>
    </w:rPr>
  </w:style>
  <w:style w:type="character" w:styleId="32">
    <w:name w:val="annotation reference"/>
    <w:autoRedefine/>
    <w:qFormat/>
    <w:uiPriority w:val="0"/>
    <w:rPr>
      <w:sz w:val="21"/>
    </w:rPr>
  </w:style>
  <w:style w:type="character" w:customStyle="1" w:styleId="33">
    <w:name w:val="页脚 Char"/>
    <w:basedOn w:val="28"/>
    <w:link w:val="20"/>
    <w:autoRedefine/>
    <w:qFormat/>
    <w:uiPriority w:val="0"/>
    <w:rPr>
      <w:sz w:val="18"/>
    </w:rPr>
  </w:style>
  <w:style w:type="character" w:customStyle="1" w:styleId="34">
    <w:name w:val="普通(网站) Char"/>
    <w:basedOn w:val="28"/>
    <w:link w:val="23"/>
    <w:autoRedefine/>
    <w:qFormat/>
    <w:uiPriority w:val="0"/>
    <w:rPr>
      <w:rFonts w:hint="eastAsia" w:ascii="宋体" w:hAnsi="宋体" w:eastAsia="宋体" w:cs="宋体"/>
      <w:sz w:val="24"/>
    </w:rPr>
  </w:style>
  <w:style w:type="character" w:customStyle="1" w:styleId="35">
    <w:name w:val="页脚 Char1"/>
    <w:basedOn w:val="28"/>
    <w:link w:val="20"/>
    <w:autoRedefine/>
    <w:qFormat/>
    <w:uiPriority w:val="0"/>
    <w:rPr>
      <w:kern w:val="2"/>
      <w:sz w:val="18"/>
      <w:szCs w:val="18"/>
    </w:rPr>
  </w:style>
  <w:style w:type="character" w:customStyle="1" w:styleId="36">
    <w:name w:val="表格 Char"/>
    <w:basedOn w:val="28"/>
    <w:link w:val="37"/>
    <w:autoRedefine/>
    <w:qFormat/>
    <w:uiPriority w:val="0"/>
    <w:rPr>
      <w:rFonts w:hint="eastAsia" w:ascii="宋体" w:hAnsi="宋体" w:eastAsia="宋体" w:cs="宋体"/>
      <w:sz w:val="21"/>
    </w:rPr>
  </w:style>
  <w:style w:type="paragraph" w:customStyle="1" w:styleId="37">
    <w:name w:val="表格"/>
    <w:basedOn w:val="1"/>
    <w:next w:val="1"/>
    <w:link w:val="36"/>
    <w:autoRedefine/>
    <w:qFormat/>
    <w:uiPriority w:val="0"/>
    <w:pPr>
      <w:keepNext w:val="0"/>
      <w:keepLines w:val="0"/>
      <w:widowControl w:val="0"/>
      <w:suppressLineNumbers w:val="0"/>
      <w:adjustRightInd w:val="0"/>
      <w:snapToGrid w:val="0"/>
      <w:spacing w:before="0" w:beforeLines="10" w:beforeAutospacing="0" w:after="0" w:afterAutospacing="0" w:line="256" w:lineRule="auto"/>
      <w:ind w:left="0" w:right="0"/>
      <w:jc w:val="center"/>
    </w:pPr>
    <w:rPr>
      <w:rFonts w:hint="eastAsia" w:ascii="宋体" w:hAnsi="Times New Roman" w:eastAsia="宋体" w:cs="Times New Roman"/>
      <w:kern w:val="0"/>
      <w:sz w:val="21"/>
      <w:szCs w:val="20"/>
      <w:lang w:val="en-US" w:eastAsia="zh-CN" w:bidi="ar"/>
    </w:rPr>
  </w:style>
  <w:style w:type="paragraph" w:customStyle="1" w:styleId="38">
    <w:name w:val="Table Paragraph"/>
    <w:basedOn w:val="1"/>
    <w:autoRedefine/>
    <w:qFormat/>
    <w:uiPriority w:val="1"/>
    <w:rPr>
      <w:rFonts w:ascii="仿宋" w:hAnsi="仿宋" w:eastAsia="仿宋" w:cs="仿宋"/>
      <w:lang w:val="zh-CN" w:eastAsia="zh-CN" w:bidi="zh-CN"/>
    </w:rPr>
  </w:style>
  <w:style w:type="paragraph" w:customStyle="1" w:styleId="39">
    <w:name w:val="Default"/>
    <w:basedOn w:val="40"/>
    <w:next w:val="1"/>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40">
    <w:name w:val="纯文本1"/>
    <w:basedOn w:val="1"/>
    <w:autoRedefine/>
    <w:qFormat/>
    <w:uiPriority w:val="0"/>
    <w:pPr>
      <w:autoSpaceDE w:val="0"/>
      <w:autoSpaceDN w:val="0"/>
      <w:adjustRightInd w:val="0"/>
      <w:textAlignment w:val="baseline"/>
    </w:pPr>
    <w:rPr>
      <w:rFonts w:ascii="Courier New" w:hAnsi="Courier New"/>
      <w:sz w:val="15"/>
    </w:rPr>
  </w:style>
  <w:style w:type="paragraph" w:customStyle="1" w:styleId="41">
    <w:name w:val="报告书三级标题"/>
    <w:basedOn w:val="1"/>
    <w:autoRedefine/>
    <w:qFormat/>
    <w:uiPriority w:val="0"/>
    <w:pPr>
      <w:spacing w:line="420" w:lineRule="exact"/>
      <w:jc w:val="left"/>
    </w:pPr>
    <w:rPr>
      <w:b/>
      <w:sz w:val="24"/>
      <w:szCs w:val="21"/>
    </w:rPr>
  </w:style>
  <w:style w:type="paragraph" w:customStyle="1" w:styleId="42">
    <w:name w:val="正文 New"/>
    <w:autoRedefine/>
    <w:qFormat/>
    <w:uiPriority w:val="0"/>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43">
    <w:name w:val="6表内容"/>
    <w:basedOn w:val="1"/>
    <w:autoRedefine/>
    <w:qFormat/>
    <w:uiPriority w:val="0"/>
    <w:pPr>
      <w:spacing w:line="340" w:lineRule="exact"/>
      <w:jc w:val="center"/>
    </w:pPr>
    <w:rPr>
      <w:rFonts w:cs="宋体"/>
      <w:color w:val="000000"/>
    </w:rPr>
  </w:style>
  <w:style w:type="paragraph" w:customStyle="1" w:styleId="44">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45">
    <w:name w:val="正文环评赵"/>
    <w:basedOn w:val="1"/>
    <w:autoRedefine/>
    <w:qFormat/>
    <w:uiPriority w:val="0"/>
    <w:pPr>
      <w:spacing w:after="40" w:line="360" w:lineRule="auto"/>
      <w:ind w:firstLine="560" w:firstLineChars="200"/>
    </w:pPr>
    <w:rPr>
      <w:sz w:val="24"/>
    </w:rPr>
  </w:style>
  <w:style w:type="paragraph" w:customStyle="1" w:styleId="46">
    <w:name w:val="样式1"/>
    <w:basedOn w:val="1"/>
    <w:autoRedefine/>
    <w:qFormat/>
    <w:uiPriority w:val="0"/>
    <w:pPr>
      <w:spacing w:line="360" w:lineRule="auto"/>
      <w:ind w:firstLine="425"/>
    </w:pPr>
    <w:rPr>
      <w:kern w:val="44"/>
    </w:rPr>
  </w:style>
  <w:style w:type="paragraph" w:customStyle="1" w:styleId="47">
    <w:name w:val="正文-RED"/>
    <w:autoRedefine/>
    <w:qFormat/>
    <w:uiPriority w:val="0"/>
    <w:pPr>
      <w:spacing w:line="360" w:lineRule="auto"/>
      <w:ind w:firstLine="420"/>
      <w:jc w:val="both"/>
    </w:pPr>
    <w:rPr>
      <w:rFonts w:ascii="Times New Roman" w:hAnsi="Times New Roman" w:eastAsia="宋体" w:cs="Times New Roman"/>
      <w:sz w:val="24"/>
      <w:lang w:val="en-US" w:eastAsia="zh-CN" w:bidi="ar-SA"/>
    </w:rPr>
  </w:style>
  <w:style w:type="paragraph" w:customStyle="1" w:styleId="48">
    <w:name w:val="1正文"/>
    <w:basedOn w:val="1"/>
    <w:autoRedefine/>
    <w:qFormat/>
    <w:uiPriority w:val="0"/>
    <w:pPr>
      <w:widowControl/>
      <w:spacing w:line="360" w:lineRule="auto"/>
      <w:ind w:firstLine="200" w:firstLineChars="200"/>
    </w:pPr>
    <w:rPr>
      <w:kern w:val="0"/>
      <w:sz w:val="24"/>
      <w:lang w:val="en-GB"/>
    </w:rPr>
  </w:style>
  <w:style w:type="paragraph" w:customStyle="1" w:styleId="49">
    <w:name w:val="p0"/>
    <w:basedOn w:val="1"/>
    <w:autoRedefine/>
    <w:qFormat/>
    <w:uiPriority w:val="0"/>
    <w:pPr>
      <w:widowControl/>
    </w:pPr>
    <w:rPr>
      <w:kern w:val="0"/>
    </w:rPr>
  </w:style>
  <w:style w:type="paragraph" w:customStyle="1" w:styleId="50">
    <w:name w:val="表内容"/>
    <w:autoRedefine/>
    <w:qFormat/>
    <w:uiPriority w:val="0"/>
    <w:pPr>
      <w:widowControl w:val="0"/>
      <w:ind w:left="-30" w:leftChars="-30" w:right="-30" w:rightChars="-30"/>
      <w:jc w:val="center"/>
    </w:pPr>
    <w:rPr>
      <w:rFonts w:ascii="Times New Roman" w:hAnsi="Times New Roman" w:eastAsia="宋体" w:cs="Times New Roman"/>
      <w:kern w:val="2"/>
      <w:sz w:val="21"/>
      <w:szCs w:val="21"/>
      <w:lang w:val="en-US" w:eastAsia="zh-CN" w:bidi="ar-SA"/>
    </w:rPr>
  </w:style>
  <w:style w:type="paragraph" w:customStyle="1" w:styleId="51">
    <w:name w:val="3"/>
    <w:basedOn w:val="1"/>
    <w:next w:val="19"/>
    <w:autoRedefine/>
    <w:qFormat/>
    <w:uiPriority w:val="0"/>
    <w:pPr>
      <w:tabs>
        <w:tab w:val="left" w:pos="6855"/>
      </w:tabs>
      <w:ind w:firstLine="560" w:firstLineChars="200"/>
    </w:pPr>
    <w:rPr>
      <w:rFonts w:eastAsia="仿宋_GB2312"/>
      <w:sz w:val="28"/>
    </w:rPr>
  </w:style>
  <w:style w:type="paragraph" w:customStyle="1" w:styleId="52">
    <w:name w:val="表格1"/>
    <w:basedOn w:val="1"/>
    <w:autoRedefine/>
    <w:qFormat/>
    <w:uiPriority w:val="0"/>
    <w:pPr>
      <w:adjustRightInd w:val="0"/>
      <w:snapToGrid w:val="0"/>
      <w:jc w:val="center"/>
    </w:pPr>
    <w:rPr>
      <w:rFonts w:ascii="Times New Roman" w:hAnsi="Times New Roman" w:eastAsia="方正仿宋_GBK"/>
      <w:color w:val="000000"/>
      <w:kern w:val="0"/>
      <w:szCs w:val="24"/>
    </w:rPr>
  </w:style>
  <w:style w:type="paragraph" w:styleId="53">
    <w:name w:val="List Paragraph"/>
    <w:basedOn w:val="1"/>
    <w:autoRedefine/>
    <w:qFormat/>
    <w:uiPriority w:val="99"/>
    <w:pPr>
      <w:ind w:firstLine="420" w:firstLineChars="200"/>
    </w:pPr>
  </w:style>
  <w:style w:type="paragraph" w:customStyle="1" w:styleId="54">
    <w:name w:val="正文首行缩进 2 Char Char"/>
    <w:basedOn w:val="55"/>
    <w:autoRedefine/>
    <w:qFormat/>
    <w:uiPriority w:val="99"/>
    <w:pPr>
      <w:ind w:firstLine="420"/>
    </w:pPr>
  </w:style>
  <w:style w:type="paragraph" w:customStyle="1" w:styleId="55">
    <w:name w:val="正文文本缩进 Char Char"/>
    <w:basedOn w:val="1"/>
    <w:autoRedefine/>
    <w:qFormat/>
    <w:uiPriority w:val="99"/>
    <w:pPr>
      <w:spacing w:after="120"/>
      <w:ind w:left="420" w:leftChars="200"/>
    </w:pPr>
  </w:style>
  <w:style w:type="paragraph" w:customStyle="1" w:styleId="56">
    <w:name w:val="小四正文格式"/>
    <w:basedOn w:val="1"/>
    <w:autoRedefine/>
    <w:qFormat/>
    <w:uiPriority w:val="0"/>
    <w:pPr>
      <w:spacing w:line="360" w:lineRule="auto"/>
      <w:ind w:firstLine="200" w:firstLineChars="200"/>
    </w:pPr>
    <w:rPr>
      <w:rFonts w:ascii="宋体" w:hAnsi="宋体"/>
      <w:szCs w:val="24"/>
    </w:rPr>
  </w:style>
  <w:style w:type="paragraph" w:customStyle="1" w:styleId="57">
    <w:name w:val="表格内"/>
    <w:basedOn w:val="1"/>
    <w:autoRedefine/>
    <w:qFormat/>
    <w:uiPriority w:val="0"/>
    <w:pPr>
      <w:widowControl/>
      <w:adjustRightInd w:val="0"/>
      <w:snapToGrid w:val="0"/>
      <w:spacing w:after="200" w:line="360" w:lineRule="exact"/>
      <w:jc w:val="center"/>
    </w:pPr>
    <w:rPr>
      <w:rFonts w:eastAsia="微软雅黑"/>
      <w:snapToGrid w:val="0"/>
      <w:kern w:val="0"/>
      <w:sz w:val="22"/>
      <w:szCs w:val="21"/>
    </w:rPr>
  </w:style>
  <w:style w:type="paragraph" w:customStyle="1" w:styleId="58">
    <w:name w:val="样式 正文首行缩进 + 首行缩进:  2 字符1"/>
    <w:basedOn w:val="24"/>
    <w:autoRedefine/>
    <w:qFormat/>
    <w:uiPriority w:val="0"/>
    <w:pPr>
      <w:spacing w:after="0" w:line="360" w:lineRule="auto"/>
      <w:ind w:firstLine="480" w:firstLineChars="200"/>
    </w:pPr>
    <w:rPr>
      <w:sz w:val="24"/>
      <w:szCs w:val="24"/>
    </w:rPr>
  </w:style>
  <w:style w:type="paragraph" w:customStyle="1" w:styleId="59">
    <w:name w:val="正文样式"/>
    <w:autoRedefine/>
    <w:qFormat/>
    <w:uiPriority w:val="0"/>
    <w:pPr>
      <w:adjustRightInd w:val="0"/>
      <w:snapToGrid w:val="0"/>
      <w:spacing w:line="360" w:lineRule="auto"/>
      <w:ind w:firstLine="420" w:firstLineChars="200"/>
      <w:jc w:val="both"/>
    </w:pPr>
    <w:rPr>
      <w:rFonts w:hint="default" w:ascii="Times New Roman" w:hAnsi="Times New Roman" w:eastAsia="宋体" w:cs="宋体"/>
      <w:bCs/>
      <w:sz w:val="21"/>
      <w:szCs w:val="21"/>
    </w:rPr>
  </w:style>
  <w:style w:type="paragraph" w:customStyle="1" w:styleId="60">
    <w:name w:val="报告书表格"/>
    <w:basedOn w:val="1"/>
    <w:autoRedefine/>
    <w:qFormat/>
    <w:uiPriority w:val="0"/>
    <w:pPr>
      <w:widowControl/>
      <w:adjustRightInd w:val="0"/>
      <w:spacing w:before="60" w:after="60" w:line="240" w:lineRule="atLeast"/>
      <w:jc w:val="center"/>
      <w:textAlignment w:val="baseline"/>
    </w:pPr>
    <w:rPr>
      <w:rFonts w:ascii="宋体" w:hAnsi="宋体" w:cs="宋体"/>
      <w:kern w:val="0"/>
      <w:sz w:val="24"/>
      <w:szCs w:val="20"/>
    </w:rPr>
  </w:style>
  <w:style w:type="paragraph" w:customStyle="1" w:styleId="61">
    <w:name w:val="六表内容"/>
    <w:basedOn w:val="1"/>
    <w:autoRedefine/>
    <w:qFormat/>
    <w:uiPriority w:val="0"/>
    <w:pPr>
      <w:widowControl/>
      <w:spacing w:line="340" w:lineRule="exact"/>
      <w:jc w:val="center"/>
    </w:pPr>
    <w:rPr>
      <w:kern w:val="0"/>
      <w:sz w:val="20"/>
      <w:szCs w:val="21"/>
    </w:rPr>
  </w:style>
  <w:style w:type="paragraph" w:customStyle="1" w:styleId="62">
    <w:name w:val="表格内容（合）"/>
    <w:basedOn w:val="1"/>
    <w:autoRedefine/>
    <w:qFormat/>
    <w:uiPriority w:val="0"/>
    <w:pPr>
      <w:tabs>
        <w:tab w:val="left" w:pos="2340"/>
      </w:tabs>
      <w:snapToGrid w:val="0"/>
      <w:jc w:val="center"/>
    </w:pPr>
    <w:rPr>
      <w:kern w:val="0"/>
      <w:szCs w:val="20"/>
    </w:rPr>
  </w:style>
  <w:style w:type="character" w:customStyle="1" w:styleId="63">
    <w:name w:val="font11"/>
    <w:basedOn w:val="28"/>
    <w:autoRedefine/>
    <w:qFormat/>
    <w:uiPriority w:val="0"/>
    <w:rPr>
      <w:rFonts w:hint="eastAsia" w:ascii="宋体" w:hAnsi="宋体" w:eastAsia="宋体" w:cs="宋体"/>
      <w:color w:val="000000"/>
      <w:sz w:val="22"/>
      <w:szCs w:val="22"/>
      <w:u w:val="none"/>
    </w:rPr>
  </w:style>
  <w:style w:type="character" w:customStyle="1" w:styleId="64">
    <w:name w:val="font01"/>
    <w:basedOn w:val="28"/>
    <w:autoRedefine/>
    <w:qFormat/>
    <w:uiPriority w:val="0"/>
    <w:rPr>
      <w:rFonts w:hint="default" w:ascii="Arial" w:hAnsi="Arial" w:cs="Arial"/>
      <w:color w:val="000000"/>
      <w:sz w:val="22"/>
      <w:szCs w:val="22"/>
      <w:u w:val="none"/>
    </w:rPr>
  </w:style>
  <w:style w:type="paragraph" w:customStyle="1" w:styleId="65">
    <w:name w:val="1-正文"/>
    <w:basedOn w:val="1"/>
    <w:autoRedefine/>
    <w:qFormat/>
    <w:uiPriority w:val="0"/>
    <w:pPr>
      <w:adjustRightInd/>
      <w:snapToGrid/>
      <w:ind w:firstLine="480"/>
    </w:pPr>
    <w:rPr>
      <w:rFonts w:ascii="宋体" w:hAnsi="宋体" w:cs="宋体"/>
      <w:szCs w:val="24"/>
    </w:rPr>
  </w:style>
  <w:style w:type="paragraph" w:customStyle="1" w:styleId="66">
    <w:name w:val="表格文字"/>
    <w:basedOn w:val="10"/>
    <w:next w:val="1"/>
    <w:autoRedefine/>
    <w:qFormat/>
    <w:uiPriority w:val="0"/>
    <w:pPr>
      <w:tabs>
        <w:tab w:val="center" w:pos="1053"/>
      </w:tabs>
      <w:adjustRightInd/>
      <w:spacing w:line="360" w:lineRule="exact"/>
      <w:ind w:firstLine="0" w:firstLineChars="0"/>
      <w:jc w:val="center"/>
    </w:pPr>
    <w:rPr>
      <w:rFonts w:ascii="宋体" w:hAnsi="宋体"/>
      <w:kern w:val="21"/>
      <w:sz w:val="21"/>
      <w:szCs w:val="21"/>
    </w:rPr>
  </w:style>
  <w:style w:type="paragraph" w:customStyle="1" w:styleId="67">
    <w:name w:val="列出段落1"/>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customStyle="1" w:styleId="68">
    <w:name w:val="正文(首行缩进)"/>
    <w:basedOn w:val="1"/>
    <w:autoRedefine/>
    <w:qFormat/>
    <w:uiPriority w:val="0"/>
    <w:pPr>
      <w:tabs>
        <w:tab w:val="left" w:pos="4584"/>
      </w:tabs>
      <w:adjustRightInd w:val="0"/>
      <w:snapToGrid w:val="0"/>
      <w:spacing w:line="360" w:lineRule="auto"/>
      <w:ind w:firstLine="200" w:firstLineChars="200"/>
    </w:pPr>
    <w:rPr>
      <w:bCs/>
      <w:snapToGrid w:val="0"/>
      <w:kern w:val="0"/>
      <w:sz w:val="24"/>
    </w:rPr>
  </w:style>
  <w:style w:type="paragraph" w:customStyle="1" w:styleId="69">
    <w:name w:val="4表格内容"/>
    <w:basedOn w:val="1"/>
    <w:autoRedefine/>
    <w:qFormat/>
    <w:uiPriority w:val="0"/>
    <w:pPr>
      <w:adjustRightInd w:val="0"/>
      <w:snapToGrid w:val="0"/>
      <w:jc w:val="center"/>
    </w:pPr>
    <w:rPr>
      <w:rFonts w:ascii="Times New Roman" w:hAnsi="Times New Roman" w:eastAsia="宋体"/>
      <w:bCs/>
      <w:kern w:val="44"/>
      <w:szCs w:val="24"/>
    </w:rPr>
  </w:style>
  <w:style w:type="paragraph" w:customStyle="1" w:styleId="70">
    <w:name w:val="表格内容"/>
    <w:autoRedefine/>
    <w:qFormat/>
    <w:uiPriority w:val="0"/>
    <w:pPr>
      <w:adjustRightInd w:val="0"/>
      <w:snapToGrid w:val="0"/>
      <w:spacing w:line="240" w:lineRule="atLeast"/>
      <w:jc w:val="center"/>
    </w:pPr>
    <w:rPr>
      <w:rFonts w:ascii="Times New Roman" w:hAnsi="Times New Roman" w:eastAsia="宋体" w:cs="宋体"/>
      <w:bCs/>
      <w:sz w:val="21"/>
      <w:szCs w:val="21"/>
      <w:lang w:val="en-US" w:eastAsia="zh-CN" w:bidi="ar-SA"/>
    </w:rPr>
  </w:style>
  <w:style w:type="paragraph" w:customStyle="1" w:styleId="71">
    <w:name w:val="表文"/>
    <w:basedOn w:val="10"/>
    <w:next w:val="7"/>
    <w:autoRedefine/>
    <w:qFormat/>
    <w:uiPriority w:val="0"/>
    <w:pPr>
      <w:spacing w:after="0"/>
      <w:jc w:val="center"/>
    </w:pPr>
    <w:rPr>
      <w:rFonts w:ascii="宋体"/>
      <w:sz w:val="24"/>
    </w:rPr>
  </w:style>
  <w:style w:type="paragraph" w:customStyle="1" w:styleId="72">
    <w:name w:val="Default1"/>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3">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4">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5">
    <w:name w:val="正文（缩进）"/>
    <w:basedOn w:val="68"/>
    <w:next w:val="1"/>
    <w:autoRedefine/>
    <w:qFormat/>
    <w:uiPriority w:val="99"/>
    <w:pPr>
      <w:spacing w:line="360" w:lineRule="auto"/>
      <w:ind w:firstLine="480" w:firstLineChars="200"/>
    </w:pPr>
    <w:rPr>
      <w:sz w:val="24"/>
      <w:szCs w:val="24"/>
    </w:rPr>
  </w:style>
  <w:style w:type="character" w:customStyle="1" w:styleId="76">
    <w:name w:val="fontstyle01"/>
    <w:basedOn w:val="28"/>
    <w:autoRedefine/>
    <w:qFormat/>
    <w:uiPriority w:val="0"/>
    <w:rPr>
      <w:rFonts w:hint="eastAsia" w:ascii="宋体" w:hAnsi="宋体" w:eastAsia="宋体" w:cs="宋体"/>
      <w:color w:val="000000"/>
      <w:sz w:val="24"/>
      <w:szCs w:val="24"/>
    </w:rPr>
  </w:style>
  <w:style w:type="paragraph" w:customStyle="1" w:styleId="77">
    <w:name w:val="表 正文"/>
    <w:basedOn w:val="1"/>
    <w:autoRedefine/>
    <w:qFormat/>
    <w:uiPriority w:val="0"/>
    <w:pPr>
      <w:snapToGrid w:val="0"/>
      <w:spacing w:line="360" w:lineRule="auto"/>
      <w:ind w:firstLine="200" w:firstLineChars="200"/>
    </w:pPr>
    <w:rPr>
      <w:kern w:val="44"/>
      <w:sz w:val="24"/>
      <w:szCs w:val="24"/>
    </w:rPr>
  </w:style>
  <w:style w:type="paragraph" w:customStyle="1" w:styleId="78">
    <w:name w:val="default"/>
    <w:basedOn w:val="1"/>
    <w:qFormat/>
    <w:uiPriority w:val="99"/>
    <w:pPr>
      <w:widowControl/>
      <w:spacing w:beforeAutospacing="1" w:afterAutospacing="1" w:line="408" w:lineRule="auto"/>
      <w:jc w:val="left"/>
    </w:pPr>
    <w:rPr>
      <w:rFonts w:ascii="宋体" w:hAnsi="宋体" w:eastAsia="微软雅黑"/>
      <w:kern w:val="0"/>
      <w:sz w:val="28"/>
    </w:rPr>
  </w:style>
  <w:style w:type="paragraph" w:customStyle="1" w:styleId="79">
    <w:name w:val="表头"/>
    <w:basedOn w:val="1"/>
    <w:qFormat/>
    <w:uiPriority w:val="0"/>
    <w:pPr>
      <w:jc w:val="center"/>
    </w:pPr>
    <w:rPr>
      <w:b/>
    </w:rPr>
  </w:style>
  <w:style w:type="table" w:customStyle="1" w:styleId="80">
    <w:name w:val="Table Normal"/>
    <w:unhideWhenUsed/>
    <w:qFormat/>
    <w:uiPriority w:val="0"/>
    <w:rPr>
      <w:rFonts w:ascii="Arial" w:hAnsi="Arial" w:cs="Arial"/>
      <w:snapToGrid w:val="0"/>
      <w:color w:val="000000"/>
      <w:sz w:val="21"/>
      <w:szCs w:val="21"/>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9233</Words>
  <Characters>9660</Characters>
  <Lines>0</Lines>
  <Paragraphs>0</Paragraphs>
  <TotalTime>5</TotalTime>
  <ScaleCrop>false</ScaleCrop>
  <LinksUpToDate>false</LinksUpToDate>
  <CharactersWithSpaces>9707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2021-01-04T05:56:00Z</dcterms:created>
  <dc:creator>Administrator</dc:creator>
  <cp:lastModifiedBy>冬眠只为等你</cp:lastModifiedBy>
  <cp:lastPrinted>2023-11-28T03:23:00Z</cp:lastPrinted>
  <dcterms:modified xsi:type="dcterms:W3CDTF">2024-12-24T02:23:56Z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06A8CDCCE7264B60AC3FBA92300CE4BC_13</vt:lpwstr>
  </property>
</Properties>
</file>