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D8A38">
      <w:pPr>
        <w:adjustRightInd/>
        <w:snapToGrid/>
        <w:spacing w:line="240" w:lineRule="auto"/>
        <w:ind w:firstLine="0" w:firstLineChars="0"/>
        <w:rPr>
          <w:rFonts w:hint="default" w:ascii="Times New Roman" w:hAnsi="Times New Roman" w:eastAsia="仿宋_GB2312" w:cs="Times New Roman"/>
          <w:color w:val="auto"/>
          <w:kern w:val="21"/>
          <w:sz w:val="36"/>
          <w:szCs w:val="36"/>
        </w:rPr>
      </w:pPr>
    </w:p>
    <w:p w14:paraId="213BFD4E">
      <w:pPr>
        <w:adjustRightInd/>
        <w:snapToGrid/>
        <w:spacing w:line="240" w:lineRule="auto"/>
        <w:ind w:firstLine="0" w:firstLineChars="0"/>
        <w:rPr>
          <w:rFonts w:hint="default" w:ascii="Times New Roman" w:hAnsi="Times New Roman" w:eastAsia="仿宋_GB2312" w:cs="Times New Roman"/>
          <w:color w:val="auto"/>
          <w:kern w:val="21"/>
          <w:sz w:val="36"/>
          <w:szCs w:val="36"/>
        </w:rPr>
      </w:pPr>
    </w:p>
    <w:p w14:paraId="0B495701">
      <w:pPr>
        <w:adjustRightInd/>
        <w:snapToGrid/>
        <w:spacing w:line="240" w:lineRule="auto"/>
        <w:ind w:firstLine="0" w:firstLineChars="0"/>
        <w:rPr>
          <w:rFonts w:hint="default" w:ascii="Times New Roman" w:hAnsi="Times New Roman" w:eastAsia="仿宋_GB2312" w:cs="Times New Roman"/>
          <w:color w:val="auto"/>
          <w:kern w:val="21"/>
          <w:sz w:val="36"/>
          <w:szCs w:val="36"/>
        </w:rPr>
      </w:pPr>
    </w:p>
    <w:p w14:paraId="2166A601">
      <w:pPr>
        <w:adjustRightInd/>
        <w:snapToGrid/>
        <w:spacing w:line="240" w:lineRule="auto"/>
        <w:ind w:firstLine="0" w:firstLineChars="0"/>
        <w:rPr>
          <w:rFonts w:hint="default" w:ascii="Times New Roman" w:hAnsi="Times New Roman" w:eastAsia="仿宋_GB2312" w:cs="Times New Roman"/>
          <w:color w:val="auto"/>
          <w:kern w:val="21"/>
          <w:sz w:val="36"/>
          <w:szCs w:val="36"/>
        </w:rPr>
      </w:pPr>
    </w:p>
    <w:p w14:paraId="3534A0E3">
      <w:pPr>
        <w:adjustRightInd/>
        <w:snapToGrid/>
        <w:spacing w:line="240" w:lineRule="auto"/>
        <w:ind w:firstLine="0" w:firstLineChars="0"/>
        <w:rPr>
          <w:rFonts w:hint="default" w:ascii="Times New Roman" w:hAnsi="Times New Roman" w:eastAsia="仿宋_GB2312" w:cs="Times New Roman"/>
          <w:color w:val="auto"/>
          <w:kern w:val="21"/>
          <w:sz w:val="36"/>
          <w:szCs w:val="36"/>
        </w:rPr>
      </w:pPr>
    </w:p>
    <w:p w14:paraId="48FBF872">
      <w:pPr>
        <w:spacing w:line="240" w:lineRule="auto"/>
        <w:ind w:firstLine="0" w:firstLineChars="0"/>
        <w:jc w:val="center"/>
        <w:outlineLvl w:val="0"/>
        <w:rPr>
          <w:rFonts w:hint="default" w:ascii="Times New Roman" w:hAnsi="Times New Roman" w:eastAsia="方正小标宋_GBK" w:cs="Times New Roman"/>
          <w:bCs/>
          <w:color w:val="auto"/>
          <w:kern w:val="21"/>
          <w:sz w:val="72"/>
          <w:szCs w:val="72"/>
        </w:rPr>
      </w:pPr>
      <w:r>
        <w:rPr>
          <w:rFonts w:hint="default" w:ascii="Times New Roman" w:hAnsi="Times New Roman" w:eastAsia="方正小标宋_GBK" w:cs="Times New Roman"/>
          <w:bCs/>
          <w:color w:val="auto"/>
          <w:kern w:val="21"/>
          <w:sz w:val="72"/>
          <w:szCs w:val="72"/>
        </w:rPr>
        <w:t>建设项目环境影响报告表</w:t>
      </w:r>
    </w:p>
    <w:p w14:paraId="5EA99F62">
      <w:pPr>
        <w:spacing w:before="192" w:beforeLines="80" w:line="240" w:lineRule="auto"/>
        <w:ind w:firstLine="0" w:firstLineChars="0"/>
        <w:jc w:val="center"/>
        <w:rPr>
          <w:rFonts w:hint="default" w:ascii="Times New Roman" w:hAnsi="Times New Roman" w:eastAsia="楷体_GB2312" w:cs="Times New Roman"/>
          <w:bCs/>
          <w:color w:val="auto"/>
          <w:kern w:val="21"/>
          <w:sz w:val="48"/>
          <w:szCs w:val="48"/>
        </w:rPr>
      </w:pPr>
      <w:r>
        <w:rPr>
          <w:rFonts w:hint="default" w:ascii="Times New Roman" w:hAnsi="Times New Roman" w:eastAsia="楷体_GB2312" w:cs="Times New Roman"/>
          <w:bCs/>
          <w:color w:val="auto"/>
          <w:kern w:val="21"/>
          <w:sz w:val="48"/>
          <w:szCs w:val="48"/>
        </w:rPr>
        <w:t>（污染影响类）</w:t>
      </w:r>
    </w:p>
    <w:p w14:paraId="6B8CEF84">
      <w:pPr>
        <w:spacing w:line="288" w:lineRule="auto"/>
        <w:ind w:firstLine="0" w:firstLineChars="0"/>
        <w:jc w:val="center"/>
        <w:outlineLvl w:val="0"/>
        <w:rPr>
          <w:rFonts w:hint="default" w:ascii="Times New Roman" w:hAnsi="Times New Roman" w:eastAsia="华文仿宋" w:cs="Times New Roman"/>
          <w:color w:val="auto"/>
          <w:kern w:val="21"/>
          <w:sz w:val="44"/>
          <w:szCs w:val="44"/>
        </w:rPr>
      </w:pPr>
    </w:p>
    <w:p w14:paraId="62A2B3C6">
      <w:pPr>
        <w:adjustRightInd/>
        <w:snapToGrid/>
        <w:spacing w:line="240" w:lineRule="auto"/>
        <w:ind w:firstLine="1040" w:firstLineChars="0"/>
        <w:rPr>
          <w:rFonts w:hint="default" w:ascii="Times New Roman" w:hAnsi="Times New Roman" w:eastAsia="仿宋" w:cs="Times New Roman"/>
          <w:color w:val="auto"/>
          <w:kern w:val="21"/>
          <w:sz w:val="44"/>
          <w:szCs w:val="44"/>
        </w:rPr>
      </w:pPr>
    </w:p>
    <w:p w14:paraId="5500267A">
      <w:pPr>
        <w:adjustRightInd/>
        <w:snapToGrid/>
        <w:spacing w:line="240" w:lineRule="auto"/>
        <w:ind w:firstLine="1040" w:firstLineChars="0"/>
        <w:rPr>
          <w:rFonts w:hint="default" w:ascii="Times New Roman" w:hAnsi="Times New Roman" w:eastAsia="仿宋" w:cs="Times New Roman"/>
          <w:color w:val="auto"/>
          <w:kern w:val="21"/>
          <w:sz w:val="44"/>
          <w:szCs w:val="44"/>
        </w:rPr>
      </w:pPr>
    </w:p>
    <w:p w14:paraId="46558129">
      <w:pPr>
        <w:adjustRightInd/>
        <w:snapToGrid/>
        <w:spacing w:line="240" w:lineRule="auto"/>
        <w:ind w:firstLine="1040" w:firstLineChars="0"/>
        <w:rPr>
          <w:rFonts w:hint="default" w:ascii="Times New Roman" w:hAnsi="Times New Roman" w:eastAsia="仿宋" w:cs="Times New Roman"/>
          <w:color w:val="auto"/>
          <w:kern w:val="21"/>
          <w:sz w:val="44"/>
          <w:szCs w:val="44"/>
        </w:rPr>
      </w:pPr>
    </w:p>
    <w:p w14:paraId="5EE7C088">
      <w:pPr>
        <w:adjustRightInd/>
        <w:snapToGrid/>
        <w:spacing w:line="240" w:lineRule="auto"/>
        <w:ind w:firstLine="1040" w:firstLineChars="0"/>
        <w:rPr>
          <w:rFonts w:hint="default" w:ascii="Times New Roman" w:hAnsi="Times New Roman" w:eastAsia="仿宋" w:cs="Times New Roman"/>
          <w:color w:val="auto"/>
          <w:kern w:val="21"/>
          <w:sz w:val="44"/>
          <w:szCs w:val="44"/>
        </w:rPr>
      </w:pPr>
    </w:p>
    <w:p w14:paraId="4C97A214">
      <w:pPr>
        <w:adjustRightInd/>
        <w:snapToGrid/>
        <w:spacing w:line="240" w:lineRule="auto"/>
        <w:ind w:firstLine="1040" w:firstLineChars="0"/>
        <w:rPr>
          <w:rFonts w:hint="default" w:ascii="Times New Roman" w:hAnsi="Times New Roman" w:eastAsia="仿宋" w:cs="Times New Roman"/>
          <w:color w:val="auto"/>
          <w:kern w:val="21"/>
          <w:sz w:val="44"/>
          <w:szCs w:val="44"/>
        </w:rPr>
      </w:pPr>
    </w:p>
    <w:p w14:paraId="7B420511">
      <w:pPr>
        <w:adjustRightInd/>
        <w:snapToGrid/>
        <w:spacing w:line="240" w:lineRule="auto"/>
        <w:ind w:firstLine="1040" w:firstLineChars="0"/>
        <w:rPr>
          <w:rFonts w:hint="default" w:ascii="Times New Roman" w:hAnsi="Times New Roman" w:eastAsia="仿宋" w:cs="Times New Roman"/>
          <w:color w:val="auto"/>
          <w:kern w:val="21"/>
          <w:sz w:val="44"/>
          <w:szCs w:val="44"/>
        </w:rPr>
      </w:pPr>
    </w:p>
    <w:p w14:paraId="6D4A7E77">
      <w:pPr>
        <w:adjustRightInd/>
        <w:snapToGrid/>
        <w:spacing w:line="240" w:lineRule="auto"/>
        <w:ind w:firstLine="1040" w:firstLineChars="0"/>
        <w:rPr>
          <w:rFonts w:hint="default" w:ascii="Times New Roman" w:hAnsi="Times New Roman" w:eastAsia="仿宋" w:cs="Times New Roman"/>
          <w:color w:val="auto"/>
          <w:kern w:val="21"/>
          <w:sz w:val="44"/>
          <w:szCs w:val="44"/>
        </w:rPr>
      </w:pPr>
    </w:p>
    <w:p w14:paraId="3284DDB4">
      <w:pPr>
        <w:spacing w:line="288" w:lineRule="auto"/>
        <w:ind w:firstLine="0" w:firstLineChars="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pacing w:val="180"/>
          <w:kern w:val="0"/>
          <w:sz w:val="36"/>
          <w:szCs w:val="36"/>
          <w:fitText w:val="3240" w:id="1642742869"/>
        </w:rPr>
        <w:t>项目名称</w:t>
      </w:r>
      <w:r>
        <w:rPr>
          <w:rFonts w:hint="default" w:ascii="Times New Roman" w:hAnsi="Times New Roman" w:eastAsia="仿宋_GB2312" w:cs="Times New Roman"/>
          <w:color w:val="auto"/>
          <w:spacing w:val="0"/>
          <w:kern w:val="0"/>
          <w:sz w:val="36"/>
          <w:szCs w:val="36"/>
          <w:fitText w:val="3240" w:id="1642742869"/>
        </w:rPr>
        <w:t>：</w:t>
      </w:r>
      <w:r>
        <w:rPr>
          <w:rFonts w:hint="default" w:ascii="Times New Roman" w:hAnsi="Times New Roman" w:eastAsia="仿宋_GB2312" w:cs="Times New Roman"/>
          <w:color w:val="auto"/>
          <w:kern w:val="0"/>
          <w:sz w:val="36"/>
          <w:szCs w:val="36"/>
          <w:u w:val="single"/>
        </w:rPr>
        <w:t xml:space="preserve"> </w:t>
      </w:r>
      <w:r>
        <w:rPr>
          <w:rFonts w:hint="default" w:ascii="Times New Roman" w:hAnsi="Times New Roman" w:eastAsia="仿宋_GB2312" w:cs="Times New Roman"/>
          <w:color w:val="auto"/>
          <w:sz w:val="36"/>
          <w:szCs w:val="36"/>
          <w:u w:val="single"/>
        </w:rPr>
        <w:t xml:space="preserve">陕西沣汇明阳包装材料有限公司 </w:t>
      </w:r>
    </w:p>
    <w:p w14:paraId="6E5C8FB4">
      <w:pPr>
        <w:spacing w:line="288" w:lineRule="auto"/>
        <w:ind w:firstLine="3240" w:firstLineChars="90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u w:val="single"/>
        </w:rPr>
        <w:t xml:space="preserve">    珍珠棉包装材料生产项目    </w:t>
      </w:r>
    </w:p>
    <w:p w14:paraId="1F894A18">
      <w:pPr>
        <w:spacing w:line="288" w:lineRule="auto"/>
        <w:ind w:firstLine="0" w:firstLineChars="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建设单位（盖章）：</w:t>
      </w:r>
      <w:r>
        <w:rPr>
          <w:rFonts w:hint="default" w:ascii="Times New Roman" w:hAnsi="Times New Roman" w:eastAsia="仿宋_GB2312" w:cs="Times New Roman"/>
          <w:color w:val="auto"/>
          <w:sz w:val="36"/>
          <w:szCs w:val="36"/>
          <w:u w:val="single"/>
        </w:rPr>
        <w:t xml:space="preserve"> 陕西沣汇明阳包装材料有限公司 </w:t>
      </w:r>
    </w:p>
    <w:p w14:paraId="5018DEC2">
      <w:pPr>
        <w:spacing w:line="288" w:lineRule="auto"/>
        <w:ind w:firstLine="0" w:firstLineChars="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pacing w:val="180"/>
          <w:kern w:val="0"/>
          <w:sz w:val="36"/>
          <w:szCs w:val="36"/>
          <w:fitText w:val="3240" w:id="1100497694"/>
        </w:rPr>
        <w:t>编制日期</w:t>
      </w:r>
      <w:r>
        <w:rPr>
          <w:rFonts w:hint="default" w:ascii="Times New Roman" w:hAnsi="Times New Roman" w:eastAsia="仿宋_GB2312" w:cs="Times New Roman"/>
          <w:color w:val="auto"/>
          <w:spacing w:val="0"/>
          <w:kern w:val="0"/>
          <w:sz w:val="36"/>
          <w:szCs w:val="36"/>
          <w:fitText w:val="3240" w:id="1100497694"/>
        </w:rPr>
        <w:t>：</w:t>
      </w:r>
      <w:r>
        <w:rPr>
          <w:rFonts w:hint="default" w:ascii="Times New Roman" w:hAnsi="Times New Roman" w:eastAsia="仿宋_GB2312" w:cs="Times New Roman"/>
          <w:color w:val="auto"/>
          <w:spacing w:val="1"/>
          <w:kern w:val="0"/>
          <w:sz w:val="36"/>
          <w:szCs w:val="36"/>
          <w:u w:val="single"/>
          <w:fitText w:val="5400" w:id="1984114711"/>
        </w:rPr>
        <w:t xml:space="preserve">         2025年1月         </w:t>
      </w:r>
      <w:r>
        <w:rPr>
          <w:rFonts w:hint="default" w:ascii="Times New Roman" w:hAnsi="Times New Roman" w:eastAsia="仿宋_GB2312" w:cs="Times New Roman"/>
          <w:color w:val="auto"/>
          <w:spacing w:val="21"/>
          <w:kern w:val="0"/>
          <w:sz w:val="36"/>
          <w:szCs w:val="36"/>
          <w:u w:val="single"/>
          <w:fitText w:val="5400" w:id="1984114711"/>
        </w:rPr>
        <w:t xml:space="preserve"> </w:t>
      </w:r>
    </w:p>
    <w:p w14:paraId="48857583">
      <w:pPr>
        <w:ind w:firstLine="480"/>
        <w:rPr>
          <w:rFonts w:hint="default" w:ascii="Times New Roman" w:hAnsi="Times New Roman" w:cs="Times New Roman"/>
          <w:color w:val="auto"/>
        </w:rPr>
      </w:pPr>
    </w:p>
    <w:p w14:paraId="4856BFA9">
      <w:pPr>
        <w:ind w:firstLine="480"/>
        <w:rPr>
          <w:rFonts w:hint="default" w:ascii="Times New Roman" w:hAnsi="Times New Roman" w:cs="Times New Roman"/>
          <w:color w:val="auto"/>
        </w:rPr>
      </w:pPr>
    </w:p>
    <w:p w14:paraId="468E0C35">
      <w:pPr>
        <w:ind w:firstLine="480"/>
        <w:rPr>
          <w:rFonts w:hint="default" w:ascii="Times New Roman" w:hAnsi="Times New Roman" w:cs="Times New Roman"/>
          <w:color w:val="auto"/>
        </w:rPr>
      </w:pPr>
    </w:p>
    <w:p w14:paraId="608BA9C1">
      <w:pPr>
        <w:ind w:firstLine="480"/>
        <w:rPr>
          <w:rFonts w:hint="default" w:ascii="Times New Roman" w:hAnsi="Times New Roman" w:cs="Times New Roman"/>
          <w:color w:val="auto"/>
        </w:rPr>
      </w:pPr>
    </w:p>
    <w:p w14:paraId="41B38AF7">
      <w:pPr>
        <w:ind w:firstLine="480"/>
        <w:rPr>
          <w:rFonts w:hint="default" w:ascii="Times New Roman" w:hAnsi="Times New Roman" w:cs="Times New Roman"/>
          <w:color w:val="auto"/>
        </w:rPr>
      </w:pPr>
    </w:p>
    <w:p w14:paraId="77CD7A07">
      <w:pPr>
        <w:spacing w:line="288" w:lineRule="auto"/>
        <w:ind w:firstLine="0" w:firstLineChars="0"/>
        <w:jc w:val="center"/>
        <w:rPr>
          <w:rFonts w:hint="default" w:ascii="Times New Roman" w:hAnsi="Times New Roman" w:eastAsia="仿宋_GB2312" w:cs="Times New Roman"/>
          <w:color w:val="auto"/>
          <w:kern w:val="21"/>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701" w:right="1531" w:bottom="1701" w:left="1531" w:header="851" w:footer="1077" w:gutter="0"/>
          <w:pgNumType w:start="3"/>
          <w:cols w:space="720" w:num="1"/>
          <w:docGrid w:linePitch="312" w:charSpace="0"/>
        </w:sectPr>
      </w:pPr>
      <w:r>
        <w:rPr>
          <w:rFonts w:hint="default" w:ascii="Times New Roman" w:hAnsi="Times New Roman" w:eastAsia="楷体_GB2312" w:cs="Times New Roman"/>
          <w:color w:val="auto"/>
          <w:kern w:val="21"/>
          <w:sz w:val="36"/>
          <w:szCs w:val="36"/>
        </w:rPr>
        <w:t>中华人民共和国生态环境部制</w:t>
      </w:r>
    </w:p>
    <w:p w14:paraId="4A7269E5">
      <w:pPr>
        <w:adjustRightInd/>
        <w:snapToGrid/>
        <w:ind w:firstLine="482"/>
        <w:rPr>
          <w:rFonts w:hint="default" w:ascii="Times New Roman" w:hAnsi="Times New Roman" w:cs="Times New Roman"/>
          <w:b/>
          <w:bCs/>
          <w:color w:val="auto"/>
          <w:kern w:val="21"/>
        </w:rPr>
      </w:pPr>
    </w:p>
    <w:p w14:paraId="402999B4">
      <w:pPr>
        <w:adjustRightInd/>
        <w:snapToGrid/>
        <w:ind w:firstLine="482"/>
        <w:rPr>
          <w:rFonts w:hint="default" w:ascii="Times New Roman" w:hAnsi="Times New Roman" w:cs="Times New Roman"/>
          <w:b/>
          <w:bCs/>
          <w:color w:val="auto"/>
          <w:kern w:val="21"/>
        </w:rPr>
        <w:sectPr>
          <w:footerReference r:id="rId11" w:type="default"/>
          <w:footerReference r:id="rId12" w:type="even"/>
          <w:pgSz w:w="11906" w:h="16838"/>
          <w:pgMar w:top="1701" w:right="1531" w:bottom="1701" w:left="1531" w:header="851" w:footer="1077" w:gutter="0"/>
          <w:pgNumType w:start="1"/>
          <w:cols w:space="720" w:num="1"/>
          <w:docGrid w:linePitch="312" w:charSpace="0"/>
        </w:sectPr>
      </w:pPr>
    </w:p>
    <w:p w14:paraId="62025AAC">
      <w:pPr>
        <w:pStyle w:val="23"/>
        <w:spacing w:line="240" w:lineRule="auto"/>
        <w:ind w:firstLine="0" w:firstLineChars="0"/>
        <w:jc w:val="center"/>
        <w:outlineLvl w:val="0"/>
        <w:rPr>
          <w:rFonts w:hint="default" w:ascii="Times New Roman" w:hAnsi="Times New Roman" w:eastAsia="黑体" w:cs="Times New Roman"/>
          <w:snapToGrid w:val="0"/>
          <w:color w:val="auto"/>
          <w:kern w:val="21"/>
          <w:sz w:val="30"/>
          <w:szCs w:val="30"/>
        </w:rPr>
      </w:pPr>
      <w:r>
        <w:rPr>
          <w:rFonts w:hint="default" w:ascii="Times New Roman" w:hAnsi="Times New Roman" w:eastAsia="黑体" w:cs="Times New Roman"/>
          <w:snapToGrid w:val="0"/>
          <w:color w:val="auto"/>
          <w:kern w:val="21"/>
          <w:sz w:val="30"/>
          <w:szCs w:val="30"/>
        </w:rPr>
        <w:t>一、建设项目基</w:t>
      </w:r>
      <w:bookmarkStart w:id="6" w:name="_GoBack"/>
      <w:bookmarkEnd w:id="6"/>
      <w:r>
        <w:rPr>
          <w:rFonts w:hint="default" w:ascii="Times New Roman" w:hAnsi="Times New Roman" w:eastAsia="黑体" w:cs="Times New Roman"/>
          <w:snapToGrid w:val="0"/>
          <w:color w:val="auto"/>
          <w:kern w:val="21"/>
          <w:sz w:val="30"/>
          <w:szCs w:val="30"/>
        </w:rPr>
        <w:t>本情况</w:t>
      </w:r>
    </w:p>
    <w:tbl>
      <w:tblPr>
        <w:tblStyle w:val="28"/>
        <w:tblW w:w="491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205"/>
        <w:gridCol w:w="3312"/>
        <w:gridCol w:w="1327"/>
        <w:gridCol w:w="2870"/>
      </w:tblGrid>
      <w:tr w14:paraId="56623E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30EF6077">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建设项目名称</w:t>
            </w:r>
          </w:p>
        </w:tc>
        <w:tc>
          <w:tcPr>
            <w:tcW w:w="4308" w:type="pct"/>
            <w:gridSpan w:val="3"/>
            <w:vAlign w:val="center"/>
          </w:tcPr>
          <w:p w14:paraId="62E28D29">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陕西沣汇明阳包装材料有限公司珍珠棉包装材料生产项目</w:t>
            </w:r>
          </w:p>
        </w:tc>
      </w:tr>
      <w:tr w14:paraId="0F9760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3E40575B">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项目代码</w:t>
            </w:r>
          </w:p>
        </w:tc>
        <w:tc>
          <w:tcPr>
            <w:tcW w:w="4308" w:type="pct"/>
            <w:gridSpan w:val="3"/>
            <w:vAlign w:val="center"/>
          </w:tcPr>
          <w:p w14:paraId="06109665">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w:t>
            </w:r>
          </w:p>
        </w:tc>
      </w:tr>
      <w:tr w14:paraId="69E24C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591FAB12">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rPr>
              <w:t>建设单位联系人</w:t>
            </w:r>
          </w:p>
        </w:tc>
        <w:tc>
          <w:tcPr>
            <w:tcW w:w="1900" w:type="pct"/>
            <w:vAlign w:val="center"/>
          </w:tcPr>
          <w:p w14:paraId="5C6E8B92">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李强</w:t>
            </w:r>
          </w:p>
        </w:tc>
        <w:tc>
          <w:tcPr>
            <w:tcW w:w="761" w:type="pct"/>
            <w:vAlign w:val="center"/>
          </w:tcPr>
          <w:p w14:paraId="047A838C">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联系电话</w:t>
            </w:r>
          </w:p>
        </w:tc>
        <w:tc>
          <w:tcPr>
            <w:tcW w:w="1646" w:type="pct"/>
            <w:vAlign w:val="center"/>
          </w:tcPr>
          <w:p w14:paraId="3A9DC496">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15809296737</w:t>
            </w:r>
          </w:p>
        </w:tc>
      </w:tr>
      <w:tr w14:paraId="4D230E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0C16BA2B">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建设地点</w:t>
            </w:r>
          </w:p>
        </w:tc>
        <w:tc>
          <w:tcPr>
            <w:tcW w:w="4308" w:type="pct"/>
            <w:gridSpan w:val="3"/>
            <w:vAlign w:val="center"/>
          </w:tcPr>
          <w:p w14:paraId="14166635">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陕西省西咸新区沣东新城斗门街办沣惠渠南岸15号</w:t>
            </w:r>
          </w:p>
        </w:tc>
      </w:tr>
      <w:tr w14:paraId="3E2001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18BF705F">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地理坐标</w:t>
            </w:r>
          </w:p>
        </w:tc>
        <w:tc>
          <w:tcPr>
            <w:tcW w:w="4308" w:type="pct"/>
            <w:gridSpan w:val="3"/>
            <w:vAlign w:val="center"/>
          </w:tcPr>
          <w:p w14:paraId="34A6FF73">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（E 108 度 48 分 21.977 秒，N 34 度 11 分 15.277 秒）</w:t>
            </w:r>
          </w:p>
        </w:tc>
      </w:tr>
      <w:tr w14:paraId="7936DB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91" w:type="pct"/>
            <w:tcMar>
              <w:top w:w="16" w:type="dxa"/>
              <w:left w:w="16" w:type="dxa"/>
              <w:right w:w="16" w:type="dxa"/>
            </w:tcMar>
            <w:vAlign w:val="center"/>
          </w:tcPr>
          <w:p w14:paraId="03DA3F7A">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国民经济</w:t>
            </w:r>
          </w:p>
          <w:p w14:paraId="1CE43457">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行业类别</w:t>
            </w:r>
          </w:p>
        </w:tc>
        <w:tc>
          <w:tcPr>
            <w:tcW w:w="1900" w:type="pct"/>
            <w:vAlign w:val="center"/>
          </w:tcPr>
          <w:p w14:paraId="4053C0A9">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C2924泡沫塑料制造</w:t>
            </w:r>
          </w:p>
        </w:tc>
        <w:tc>
          <w:tcPr>
            <w:tcW w:w="761" w:type="pct"/>
            <w:vAlign w:val="center"/>
          </w:tcPr>
          <w:p w14:paraId="241A0B68">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建设项目</w:t>
            </w:r>
          </w:p>
          <w:p w14:paraId="02DA1647">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行业类别</w:t>
            </w:r>
          </w:p>
        </w:tc>
        <w:tc>
          <w:tcPr>
            <w:tcW w:w="1646" w:type="pct"/>
            <w:vAlign w:val="center"/>
          </w:tcPr>
          <w:p w14:paraId="6FCD87F1">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二十六、橡胶和塑料制品业53.塑料制品业292-其他</w:t>
            </w:r>
          </w:p>
        </w:tc>
      </w:tr>
      <w:tr w14:paraId="76D8EE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54370DA5">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建设性质</w:t>
            </w:r>
          </w:p>
        </w:tc>
        <w:tc>
          <w:tcPr>
            <w:tcW w:w="1900" w:type="pct"/>
            <w:vAlign w:val="center"/>
          </w:tcPr>
          <w:p w14:paraId="4968EA28">
            <w:pPr>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52"/>
            </w:r>
            <w:r>
              <w:rPr>
                <w:rFonts w:hint="default" w:ascii="Times New Roman" w:hAnsi="Times New Roman" w:cs="Times New Roman"/>
                <w:color w:val="auto"/>
                <w:kern w:val="21"/>
              </w:rPr>
              <w:t>新建</w:t>
            </w:r>
          </w:p>
          <w:p w14:paraId="7F87EE03">
            <w:pPr>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A3"/>
            </w:r>
            <w:r>
              <w:rPr>
                <w:rFonts w:hint="default" w:ascii="Times New Roman" w:hAnsi="Times New Roman" w:cs="Times New Roman"/>
                <w:color w:val="auto"/>
                <w:kern w:val="21"/>
              </w:rPr>
              <w:t>改建</w:t>
            </w:r>
          </w:p>
          <w:p w14:paraId="528ECCE5">
            <w:pPr>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A3"/>
            </w:r>
            <w:r>
              <w:rPr>
                <w:rFonts w:hint="default" w:ascii="Times New Roman" w:hAnsi="Times New Roman" w:cs="Times New Roman"/>
                <w:color w:val="auto"/>
                <w:kern w:val="21"/>
              </w:rPr>
              <w:t>扩建</w:t>
            </w:r>
          </w:p>
          <w:p w14:paraId="3BE8039B">
            <w:pPr>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A3"/>
            </w:r>
            <w:r>
              <w:rPr>
                <w:rFonts w:hint="default" w:ascii="Times New Roman" w:hAnsi="Times New Roman" w:cs="Times New Roman"/>
                <w:color w:val="auto"/>
                <w:kern w:val="21"/>
              </w:rPr>
              <w:t>技术改造</w:t>
            </w:r>
          </w:p>
        </w:tc>
        <w:tc>
          <w:tcPr>
            <w:tcW w:w="761" w:type="pct"/>
            <w:vAlign w:val="center"/>
          </w:tcPr>
          <w:p w14:paraId="59CD6DA0">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建设项目</w:t>
            </w:r>
          </w:p>
          <w:p w14:paraId="4B44D816">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申报情形</w:t>
            </w:r>
          </w:p>
        </w:tc>
        <w:tc>
          <w:tcPr>
            <w:tcW w:w="1646" w:type="pct"/>
            <w:vAlign w:val="center"/>
          </w:tcPr>
          <w:p w14:paraId="20464B53">
            <w:pPr>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52"/>
            </w:r>
            <w:r>
              <w:rPr>
                <w:rFonts w:hint="default" w:ascii="Times New Roman" w:hAnsi="Times New Roman" w:cs="Times New Roman"/>
                <w:color w:val="auto"/>
                <w:kern w:val="21"/>
              </w:rPr>
              <w:t>首次申报项目</w:t>
            </w:r>
          </w:p>
          <w:p w14:paraId="4B2E7A3E">
            <w:pPr>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A3"/>
            </w:r>
            <w:r>
              <w:rPr>
                <w:rFonts w:hint="default" w:ascii="Times New Roman" w:hAnsi="Times New Roman" w:cs="Times New Roman"/>
                <w:color w:val="auto"/>
                <w:kern w:val="21"/>
              </w:rPr>
              <w:t>不予批准后再次申报项目</w:t>
            </w:r>
          </w:p>
          <w:p w14:paraId="7B75E4BB">
            <w:pPr>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A3"/>
            </w:r>
            <w:r>
              <w:rPr>
                <w:rFonts w:hint="default" w:ascii="Times New Roman" w:hAnsi="Times New Roman" w:cs="Times New Roman"/>
                <w:color w:val="auto"/>
                <w:kern w:val="21"/>
              </w:rPr>
              <w:t xml:space="preserve">超五年重新审核项目 </w:t>
            </w:r>
          </w:p>
          <w:p w14:paraId="242145FB">
            <w:pPr>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A3"/>
            </w:r>
            <w:r>
              <w:rPr>
                <w:rFonts w:hint="default" w:ascii="Times New Roman" w:hAnsi="Times New Roman" w:cs="Times New Roman"/>
                <w:color w:val="auto"/>
                <w:kern w:val="21"/>
              </w:rPr>
              <w:t>重大变动重新报批项目</w:t>
            </w:r>
          </w:p>
        </w:tc>
      </w:tr>
      <w:tr w14:paraId="43F34D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49A27246">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项目审批（核准/备案）部门</w:t>
            </w:r>
          </w:p>
        </w:tc>
        <w:tc>
          <w:tcPr>
            <w:tcW w:w="1900" w:type="pct"/>
            <w:vAlign w:val="center"/>
          </w:tcPr>
          <w:p w14:paraId="35651493">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w:t>
            </w:r>
          </w:p>
        </w:tc>
        <w:tc>
          <w:tcPr>
            <w:tcW w:w="761" w:type="pct"/>
            <w:vAlign w:val="center"/>
          </w:tcPr>
          <w:p w14:paraId="56638A03">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项目审批（核准/备案）文号</w:t>
            </w:r>
          </w:p>
        </w:tc>
        <w:tc>
          <w:tcPr>
            <w:tcW w:w="1646" w:type="pct"/>
            <w:vAlign w:val="center"/>
          </w:tcPr>
          <w:p w14:paraId="2DBC5848">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w:t>
            </w:r>
          </w:p>
        </w:tc>
      </w:tr>
      <w:tr w14:paraId="3E0289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2A211C49">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总投资</w:t>
            </w:r>
          </w:p>
          <w:p w14:paraId="338DB4E3">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（万元）</w:t>
            </w:r>
          </w:p>
        </w:tc>
        <w:tc>
          <w:tcPr>
            <w:tcW w:w="1900" w:type="pct"/>
            <w:shd w:val="clear" w:color="auto" w:fill="auto"/>
            <w:vAlign w:val="center"/>
          </w:tcPr>
          <w:p w14:paraId="667CF8DD">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100</w:t>
            </w:r>
          </w:p>
        </w:tc>
        <w:tc>
          <w:tcPr>
            <w:tcW w:w="761" w:type="pct"/>
            <w:shd w:val="clear" w:color="auto" w:fill="auto"/>
            <w:tcMar>
              <w:top w:w="16" w:type="dxa"/>
              <w:left w:w="16" w:type="dxa"/>
              <w:right w:w="16" w:type="dxa"/>
            </w:tcMar>
            <w:vAlign w:val="center"/>
          </w:tcPr>
          <w:p w14:paraId="4C20459D">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环保投资</w:t>
            </w:r>
          </w:p>
          <w:p w14:paraId="73CDB881">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（万元）</w:t>
            </w:r>
          </w:p>
        </w:tc>
        <w:tc>
          <w:tcPr>
            <w:tcW w:w="1646" w:type="pct"/>
            <w:shd w:val="clear" w:color="auto" w:fill="auto"/>
            <w:vAlign w:val="center"/>
          </w:tcPr>
          <w:p w14:paraId="372D08D3">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32</w:t>
            </w:r>
          </w:p>
        </w:tc>
      </w:tr>
      <w:tr w14:paraId="76A09E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58783395">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环保投资占比（%）</w:t>
            </w:r>
          </w:p>
        </w:tc>
        <w:tc>
          <w:tcPr>
            <w:tcW w:w="1900" w:type="pct"/>
            <w:shd w:val="clear" w:color="auto" w:fill="auto"/>
            <w:vAlign w:val="center"/>
          </w:tcPr>
          <w:p w14:paraId="510A6171">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32</w:t>
            </w:r>
          </w:p>
        </w:tc>
        <w:tc>
          <w:tcPr>
            <w:tcW w:w="761" w:type="pct"/>
            <w:shd w:val="clear" w:color="auto" w:fill="auto"/>
            <w:tcMar>
              <w:top w:w="16" w:type="dxa"/>
              <w:left w:w="16" w:type="dxa"/>
              <w:right w:w="16" w:type="dxa"/>
            </w:tcMar>
            <w:vAlign w:val="center"/>
          </w:tcPr>
          <w:p w14:paraId="1EBECABB">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施工工期</w:t>
            </w:r>
          </w:p>
        </w:tc>
        <w:tc>
          <w:tcPr>
            <w:tcW w:w="1646" w:type="pct"/>
            <w:shd w:val="clear" w:color="auto" w:fill="auto"/>
            <w:vAlign w:val="center"/>
          </w:tcPr>
          <w:p w14:paraId="3A56F3AA">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1个月（2025.3.1-2025.4.1）</w:t>
            </w:r>
          </w:p>
        </w:tc>
      </w:tr>
      <w:tr w14:paraId="142F54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91" w:type="pct"/>
            <w:tcMar>
              <w:top w:w="16" w:type="dxa"/>
              <w:left w:w="16" w:type="dxa"/>
              <w:right w:w="16" w:type="dxa"/>
            </w:tcMar>
            <w:vAlign w:val="center"/>
          </w:tcPr>
          <w:p w14:paraId="6A523597">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是否开工建设</w:t>
            </w:r>
          </w:p>
        </w:tc>
        <w:tc>
          <w:tcPr>
            <w:tcW w:w="1900" w:type="pct"/>
            <w:vAlign w:val="center"/>
          </w:tcPr>
          <w:p w14:paraId="17DF5C56">
            <w:pPr>
              <w:spacing w:line="240" w:lineRule="auto"/>
              <w:ind w:firstLine="0" w:firstLineChars="0"/>
              <w:jc w:val="left"/>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A3"/>
            </w:r>
            <w:r>
              <w:rPr>
                <w:rFonts w:hint="default" w:ascii="Times New Roman" w:hAnsi="Times New Roman" w:cs="Times New Roman"/>
                <w:color w:val="auto"/>
                <w:kern w:val="21"/>
              </w:rPr>
              <w:t>否</w:t>
            </w:r>
          </w:p>
          <w:p w14:paraId="14C163FC">
            <w:pPr>
              <w:spacing w:line="240" w:lineRule="auto"/>
              <w:ind w:firstLine="0" w:firstLineChars="0"/>
              <w:jc w:val="left"/>
              <w:rPr>
                <w:rFonts w:hint="default" w:ascii="Times New Roman" w:hAnsi="Times New Roman" w:cs="Times New Roman"/>
                <w:color w:val="auto"/>
                <w:kern w:val="21"/>
              </w:rPr>
            </w:pPr>
            <w:r>
              <w:rPr>
                <w:rFonts w:hint="default" w:ascii="Times New Roman" w:hAnsi="Times New Roman" w:cs="Times New Roman"/>
                <w:color w:val="auto"/>
                <w:kern w:val="21"/>
              </w:rPr>
              <w:sym w:font="Wingdings 2" w:char="0052"/>
            </w:r>
            <w:r>
              <w:rPr>
                <w:rFonts w:hint="default" w:ascii="Times New Roman" w:hAnsi="Times New Roman" w:cs="Times New Roman"/>
                <w:color w:val="auto"/>
                <w:kern w:val="21"/>
              </w:rPr>
              <w:t>是：本项目接手陕西双夏包装材料有限公司所有生产设备进行珍珠棉包装材料生产项目建设，接手时项目已建成，2023年7月11日西安市生态环境局出具了关于陕西双夏包装材料有限公司未批先建的《责令改正违法行为决定书》（陕A西咸沣东环违改〔2023〕64号），陕西双夏包装材料有限公司于2023年8月22日缴清罚款。</w:t>
            </w:r>
          </w:p>
        </w:tc>
        <w:tc>
          <w:tcPr>
            <w:tcW w:w="761" w:type="pct"/>
            <w:tcMar>
              <w:top w:w="16" w:type="dxa"/>
              <w:left w:w="16" w:type="dxa"/>
              <w:right w:w="16" w:type="dxa"/>
            </w:tcMar>
            <w:vAlign w:val="center"/>
          </w:tcPr>
          <w:p w14:paraId="5D1208A9">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用地面积（m</w:t>
            </w:r>
            <w:r>
              <w:rPr>
                <w:rFonts w:hint="default" w:ascii="Times New Roman" w:hAnsi="Times New Roman" w:cs="Times New Roman"/>
                <w:color w:val="auto"/>
                <w:kern w:val="21"/>
                <w:vertAlign w:val="superscript"/>
              </w:rPr>
              <w:t>2</w:t>
            </w:r>
            <w:r>
              <w:rPr>
                <w:rFonts w:hint="default" w:ascii="Times New Roman" w:hAnsi="Times New Roman" w:cs="Times New Roman"/>
                <w:color w:val="auto"/>
                <w:kern w:val="21"/>
              </w:rPr>
              <w:t>）</w:t>
            </w:r>
          </w:p>
        </w:tc>
        <w:tc>
          <w:tcPr>
            <w:tcW w:w="1646" w:type="pct"/>
            <w:vAlign w:val="center"/>
          </w:tcPr>
          <w:p w14:paraId="5E1C21DC">
            <w:pPr>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12966.7</w:t>
            </w:r>
          </w:p>
        </w:tc>
      </w:tr>
      <w:tr w14:paraId="59154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pct"/>
            <w:vAlign w:val="center"/>
          </w:tcPr>
          <w:p w14:paraId="5AABBEEE">
            <w:pPr>
              <w:autoSpaceDE w:val="0"/>
              <w:autoSpaceDN w:val="0"/>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专项评价设置情况</w:t>
            </w:r>
          </w:p>
        </w:tc>
        <w:tc>
          <w:tcPr>
            <w:tcW w:w="4308" w:type="pct"/>
            <w:gridSpan w:val="3"/>
            <w:vAlign w:val="center"/>
          </w:tcPr>
          <w:p w14:paraId="3A58750E">
            <w:pPr>
              <w:autoSpaceDE w:val="0"/>
              <w:autoSpaceDN w:val="0"/>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无</w:t>
            </w:r>
          </w:p>
        </w:tc>
      </w:tr>
      <w:tr w14:paraId="472A86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pct"/>
            <w:vAlign w:val="center"/>
          </w:tcPr>
          <w:p w14:paraId="2EBC55AC">
            <w:pPr>
              <w:autoSpaceDE w:val="0"/>
              <w:autoSpaceDN w:val="0"/>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规划情况</w:t>
            </w:r>
          </w:p>
        </w:tc>
        <w:tc>
          <w:tcPr>
            <w:tcW w:w="4308" w:type="pct"/>
            <w:gridSpan w:val="3"/>
            <w:shd w:val="clear" w:color="auto" w:fill="auto"/>
            <w:vAlign w:val="center"/>
          </w:tcPr>
          <w:p w14:paraId="26611F75">
            <w:pPr>
              <w:autoSpaceDE w:val="0"/>
              <w:autoSpaceDN w:val="0"/>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t>规划名称：《西咸新区-沣东新城分区规划（2010-2020）》</w:t>
            </w:r>
          </w:p>
          <w:p w14:paraId="77B73DC7">
            <w:pPr>
              <w:autoSpaceDE w:val="0"/>
              <w:autoSpaceDN w:val="0"/>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t>审查机关：陕西省人民政府</w:t>
            </w:r>
          </w:p>
          <w:p w14:paraId="001B4F5E">
            <w:pPr>
              <w:autoSpaceDE w:val="0"/>
              <w:autoSpaceDN w:val="0"/>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t>审查文件名称及文号：陕西省人民政府关于《西咸新区总体规划》的批复（陕政函（2011）110号）</w:t>
            </w:r>
          </w:p>
        </w:tc>
      </w:tr>
      <w:tr w14:paraId="7B8DB3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1" w:type="pct"/>
            <w:vAlign w:val="center"/>
          </w:tcPr>
          <w:p w14:paraId="741C2F4E">
            <w:pPr>
              <w:autoSpaceDE w:val="0"/>
              <w:autoSpaceDN w:val="0"/>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kern w:val="21"/>
              </w:rPr>
              <w:t>规划环境影响评价情况</w:t>
            </w:r>
          </w:p>
        </w:tc>
        <w:tc>
          <w:tcPr>
            <w:tcW w:w="4308" w:type="pct"/>
            <w:gridSpan w:val="3"/>
            <w:shd w:val="clear" w:color="auto" w:fill="auto"/>
            <w:vAlign w:val="center"/>
          </w:tcPr>
          <w:p w14:paraId="705F232A">
            <w:pPr>
              <w:autoSpaceDE w:val="0"/>
              <w:autoSpaceDN w:val="0"/>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t>《西咸新区-沣东新城分区规划（2010-2020）环境影响报告书》</w:t>
            </w:r>
          </w:p>
          <w:p w14:paraId="491F25AB">
            <w:pPr>
              <w:autoSpaceDE w:val="0"/>
              <w:autoSpaceDN w:val="0"/>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t>审查机关：原西安市环境保护局</w:t>
            </w:r>
          </w:p>
          <w:p w14:paraId="269B6FA5">
            <w:pPr>
              <w:autoSpaceDE w:val="0"/>
              <w:autoSpaceDN w:val="0"/>
              <w:spacing w:line="240" w:lineRule="auto"/>
              <w:ind w:firstLine="0" w:firstLineChars="0"/>
              <w:rPr>
                <w:rFonts w:hint="default" w:ascii="Times New Roman" w:hAnsi="Times New Roman" w:cs="Times New Roman"/>
                <w:color w:val="auto"/>
                <w:kern w:val="21"/>
              </w:rPr>
            </w:pPr>
            <w:r>
              <w:rPr>
                <w:rFonts w:hint="default" w:ascii="Times New Roman" w:hAnsi="Times New Roman" w:cs="Times New Roman"/>
                <w:color w:val="auto"/>
                <w:kern w:val="21"/>
              </w:rPr>
              <w:t>审查意见：关于《西咸新区-沣东新城分区规划（2010-2020）环境影响报告书》的审查意见（市环函[2014]20号）</w:t>
            </w:r>
          </w:p>
        </w:tc>
      </w:tr>
      <w:tr w14:paraId="001425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1" w:type="pct"/>
            <w:vAlign w:val="center"/>
          </w:tcPr>
          <w:p w14:paraId="0CC920CC">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规划及规划环境影响评价符合性分析</w:t>
            </w:r>
          </w:p>
        </w:tc>
        <w:tc>
          <w:tcPr>
            <w:tcW w:w="4308" w:type="pct"/>
            <w:gridSpan w:val="3"/>
            <w:vAlign w:val="center"/>
          </w:tcPr>
          <w:p w14:paraId="789A732E">
            <w:pPr>
              <w:autoSpaceDE w:val="0"/>
              <w:autoSpaceDN w:val="0"/>
              <w:spacing w:line="240" w:lineRule="auto"/>
              <w:ind w:firstLine="0" w:firstLineChars="0"/>
              <w:jc w:val="center"/>
              <w:rPr>
                <w:rFonts w:hint="default" w:ascii="Times New Roman" w:hAnsi="Times New Roman" w:cs="Times New Roman"/>
                <w:b/>
                <w:bCs/>
                <w:color w:val="auto"/>
                <w:kern w:val="0"/>
              </w:rPr>
            </w:pPr>
            <w:r>
              <w:rPr>
                <w:rFonts w:hint="default" w:ascii="Times New Roman" w:hAnsi="Times New Roman" w:cs="Times New Roman"/>
                <w:b/>
                <w:bCs/>
                <w:color w:val="auto"/>
                <w:kern w:val="0"/>
              </w:rPr>
              <w:t>表1-1  项目与相关规划及规划环评符合性分析</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1159"/>
              <w:gridCol w:w="2462"/>
              <w:gridCol w:w="2687"/>
              <w:gridCol w:w="985"/>
            </w:tblGrid>
            <w:tr w14:paraId="3F4326D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2482" w:type="pct"/>
                  <w:gridSpan w:val="2"/>
                  <w:vAlign w:val="center"/>
                </w:tcPr>
                <w:p w14:paraId="5D200449">
                  <w:pPr>
                    <w:adjustRightInd/>
                    <w:snapToGrid/>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分析判定内容</w:t>
                  </w:r>
                </w:p>
              </w:tc>
              <w:tc>
                <w:tcPr>
                  <w:tcW w:w="1842" w:type="pct"/>
                  <w:vAlign w:val="center"/>
                </w:tcPr>
                <w:p w14:paraId="1992FE62">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本项目情况</w:t>
                  </w:r>
                </w:p>
              </w:tc>
              <w:tc>
                <w:tcPr>
                  <w:tcW w:w="675" w:type="pct"/>
                  <w:vAlign w:val="center"/>
                </w:tcPr>
                <w:p w14:paraId="52E88F39">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判定</w:t>
                  </w:r>
                </w:p>
                <w:p w14:paraId="512340EF">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结论</w:t>
                  </w:r>
                </w:p>
              </w:tc>
            </w:tr>
            <w:tr w14:paraId="7AFF96D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Align w:val="center"/>
                </w:tcPr>
                <w:p w14:paraId="2EFD5D18">
                  <w:pPr>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《西咸新区-沣东新城分区规划（2010-2020）》</w:t>
                  </w:r>
                </w:p>
              </w:tc>
              <w:tc>
                <w:tcPr>
                  <w:tcW w:w="1687" w:type="pct"/>
                  <w:vAlign w:val="center"/>
                </w:tcPr>
                <w:p w14:paraId="0A64AB2D">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规划确定沣东新城定位为：西部地区统筹科技资源示范基地，高新技术研发和会展中心，大西安建设国际化大都市引领区，未来将建设成为具有东方人文特色的生态化国际新城。总体规划空间结构布局：“两带、七板块”，周秦汉历史文化景观带、沣河景观风貌带、沣河田园城市板块、六村堡现代产业板块、三桥现代商贸板块、科学城科技统筹板块、阿房宫人文旅游板块、昆明池生态文化板块、镐京立体城市板块</w:t>
                  </w:r>
                </w:p>
              </w:tc>
              <w:tc>
                <w:tcPr>
                  <w:tcW w:w="1842" w:type="pct"/>
                  <w:shd w:val="clear" w:color="auto" w:fill="auto"/>
                  <w:vAlign w:val="center"/>
                </w:tcPr>
                <w:p w14:paraId="473CF53D">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本项目位于陕西省西咸新区沣东新城斗门街办沣惠渠南岸15号，</w:t>
                  </w:r>
                  <w:r>
                    <w:rPr>
                      <w:rFonts w:hint="default" w:ascii="Times New Roman" w:hAnsi="Times New Roman" w:cs="Times New Roman"/>
                      <w:color w:val="auto"/>
                      <w:sz w:val="21"/>
                      <w:szCs w:val="21"/>
                      <w:lang w:val="en-US" w:eastAsia="zh-CN"/>
                    </w:rPr>
                    <w:t>根据</w:t>
                  </w:r>
                  <w:r>
                    <w:rPr>
                      <w:rFonts w:hint="default" w:ascii="Times New Roman" w:hAnsi="Times New Roman" w:cs="Times New Roman"/>
                      <w:color w:val="auto"/>
                      <w:sz w:val="21"/>
                      <w:szCs w:val="21"/>
                    </w:rPr>
                    <w:t>《西咸新区-沣东新城分区规划（2010-2020）</w:t>
                  </w:r>
                  <w:r>
                    <w:rPr>
                      <w:rFonts w:hint="default" w:ascii="Times New Roman" w:hAnsi="Times New Roman" w:cs="Times New Roman"/>
                      <w:color w:val="auto"/>
                      <w:sz w:val="21"/>
                      <w:szCs w:val="21"/>
                      <w:lang w:val="en-US" w:eastAsia="zh-CN"/>
                    </w:rPr>
                    <w:t>土地利用规划图</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及</w:t>
                  </w:r>
                  <w:r>
                    <w:rPr>
                      <w:rFonts w:hint="default" w:ascii="Times New Roman" w:hAnsi="Times New Roman" w:cs="Times New Roman"/>
                      <w:color w:val="auto"/>
                      <w:sz w:val="21"/>
                      <w:szCs w:val="21"/>
                    </w:rPr>
                    <w:t>《西咸新区-沣东新城分区规划（2010-2020）</w:t>
                  </w:r>
                  <w:r>
                    <w:rPr>
                      <w:rFonts w:hint="default" w:ascii="Times New Roman" w:hAnsi="Times New Roman" w:cs="Times New Roman"/>
                      <w:color w:val="auto"/>
                      <w:sz w:val="21"/>
                      <w:szCs w:val="21"/>
                      <w:lang w:val="en-US" w:eastAsia="zh-CN"/>
                    </w:rPr>
                    <w:t>说明书</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，本项目位于其</w:t>
                  </w:r>
                  <w:r>
                    <w:rPr>
                      <w:rFonts w:hint="default" w:ascii="Times New Roman" w:hAnsi="Times New Roman" w:cs="Times New Roman"/>
                      <w:color w:val="auto"/>
                      <w:sz w:val="21"/>
                      <w:szCs w:val="21"/>
                    </w:rPr>
                    <w:t>中的昆明池生态文化板块，</w:t>
                  </w:r>
                  <w:r>
                    <w:rPr>
                      <w:rFonts w:hint="default" w:ascii="Times New Roman" w:hAnsi="Times New Roman" w:cs="Times New Roman"/>
                      <w:color w:val="auto"/>
                      <w:sz w:val="21"/>
                      <w:szCs w:val="21"/>
                    </w:rPr>
                    <w:t>为</w:t>
                  </w:r>
                  <w:r>
                    <w:rPr>
                      <w:rFonts w:hint="default" w:ascii="Times New Roman" w:hAnsi="Times New Roman" w:cs="Times New Roman"/>
                      <w:color w:val="auto"/>
                      <w:sz w:val="21"/>
                      <w:szCs w:val="21"/>
                    </w:rPr>
                    <w:t>重点预留地区</w:t>
                  </w:r>
                  <w:r>
                    <w:rPr>
                      <w:rFonts w:hint="default" w:ascii="Times New Roman" w:hAnsi="Times New Roman" w:cs="Times New Roman"/>
                      <w:color w:val="auto"/>
                      <w:sz w:val="21"/>
                      <w:szCs w:val="21"/>
                    </w:rPr>
                    <w:t>，暂未进行详细规划</w:t>
                  </w:r>
                  <w:r>
                    <w:rPr>
                      <w:rFonts w:hint="default" w:ascii="Times New Roman" w:hAnsi="Times New Roman" w:cs="Times New Roman"/>
                      <w:color w:val="auto"/>
                      <w:sz w:val="21"/>
                      <w:szCs w:val="21"/>
                    </w:rPr>
                    <w:t>；根据西安市自然资源和规划局2024年7月26日发布的《西咸新区详细规划管控一张图公示》，本项目所在地规划为机关团体用地，与现状的集体建设用地不符；由于项目所在地暂未实施规划，本项目依托现有厂房建设，不涉及新增用地，项目建设符合现状用地性质，后期规划实施时，本项目无条件配合搬迁。</w:t>
                  </w:r>
                </w:p>
              </w:tc>
              <w:tc>
                <w:tcPr>
                  <w:tcW w:w="675" w:type="pct"/>
                  <w:vAlign w:val="center"/>
                </w:tcPr>
                <w:p w14:paraId="573B3FEB">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bidi="ar"/>
                    </w:rPr>
                    <w:t>符合</w:t>
                  </w:r>
                </w:p>
              </w:tc>
            </w:tr>
            <w:tr w14:paraId="56C173E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restart"/>
                  <w:vAlign w:val="center"/>
                </w:tcPr>
                <w:p w14:paraId="5511DC4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rPr>
                    <w:t>《</w:t>
                  </w:r>
                  <w:r>
                    <w:rPr>
                      <w:rFonts w:hint="default" w:ascii="Times New Roman" w:hAnsi="Times New Roman" w:cs="Times New Roman"/>
                      <w:color w:val="auto"/>
                      <w:sz w:val="21"/>
                      <w:szCs w:val="21"/>
                    </w:rPr>
                    <w:t>西咸新区-沣东新城分区规划（2010-2020）环境影响报告书</w:t>
                  </w:r>
                  <w:r>
                    <w:rPr>
                      <w:rFonts w:hint="default" w:ascii="Times New Roman" w:hAnsi="Times New Roman" w:cs="Times New Roman"/>
                      <w:color w:val="auto"/>
                      <w:sz w:val="21"/>
                    </w:rPr>
                    <w:t>》</w:t>
                  </w:r>
                  <w:r>
                    <w:rPr>
                      <w:rFonts w:hint="default" w:ascii="Times New Roman" w:hAnsi="Times New Roman" w:cs="Times New Roman"/>
                      <w:color w:val="auto"/>
                      <w:sz w:val="21"/>
                      <w:szCs w:val="21"/>
                    </w:rPr>
                    <w:t>及审查意见</w:t>
                  </w:r>
                </w:p>
              </w:tc>
              <w:tc>
                <w:tcPr>
                  <w:tcW w:w="1687" w:type="pct"/>
                  <w:vAlign w:val="center"/>
                </w:tcPr>
                <w:p w14:paraId="688B96C3">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入区企业清洁生产必须达到国内先进水平，严禁“三高一低”企业入区、由总量指标限制企业类型和规模、污染物排放指标等工业企业的准入条件。</w:t>
                  </w:r>
                </w:p>
              </w:tc>
              <w:tc>
                <w:tcPr>
                  <w:tcW w:w="1842" w:type="pct"/>
                  <w:vAlign w:val="center"/>
                </w:tcPr>
                <w:p w14:paraId="72CDD26D">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本项目行业类别属于泡沫塑料制造，不属于“三高一低”企业。</w:t>
                  </w:r>
                </w:p>
              </w:tc>
              <w:tc>
                <w:tcPr>
                  <w:tcW w:w="675" w:type="pct"/>
                  <w:vAlign w:val="center"/>
                </w:tcPr>
                <w:p w14:paraId="7CCE759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043C521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continue"/>
                  <w:vAlign w:val="center"/>
                </w:tcPr>
                <w:p w14:paraId="548E8A0D">
                  <w:pPr>
                    <w:spacing w:line="240" w:lineRule="auto"/>
                    <w:ind w:firstLine="0" w:firstLineChars="0"/>
                    <w:jc w:val="center"/>
                    <w:rPr>
                      <w:rFonts w:hint="default" w:ascii="Times New Roman" w:hAnsi="Times New Roman" w:cs="Times New Roman"/>
                      <w:color w:val="auto"/>
                      <w:sz w:val="21"/>
                      <w:szCs w:val="21"/>
                    </w:rPr>
                  </w:pPr>
                </w:p>
              </w:tc>
              <w:tc>
                <w:tcPr>
                  <w:tcW w:w="1687" w:type="pct"/>
                  <w:vAlign w:val="center"/>
                </w:tcPr>
                <w:p w14:paraId="4C847DBC">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水环境保护对策和措施：严格环境准入制度，防治企业污染排放。在规划建设中，要设置相应的环保准入门槛，限制造纸、化工、食品饮料加工、皮革、电镀等高耗水、重污染行业进入。</w:t>
                  </w:r>
                </w:p>
              </w:tc>
              <w:tc>
                <w:tcPr>
                  <w:tcW w:w="1842" w:type="pct"/>
                  <w:vAlign w:val="center"/>
                </w:tcPr>
                <w:p w14:paraId="5E816202">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本项目食堂废水经油水分离器处理后和生活污水进入厂区化粪池，处理后定期清掏肥田，不外排。项目不属于造纸、化工、食品饮料加工、皮革、电镀等高耗水、重污染行业。</w:t>
                  </w:r>
                </w:p>
              </w:tc>
              <w:tc>
                <w:tcPr>
                  <w:tcW w:w="675" w:type="pct"/>
                  <w:vAlign w:val="center"/>
                </w:tcPr>
                <w:p w14:paraId="54A26C0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50AF80E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continue"/>
                  <w:vAlign w:val="center"/>
                </w:tcPr>
                <w:p w14:paraId="12782B94">
                  <w:pPr>
                    <w:spacing w:line="240" w:lineRule="auto"/>
                    <w:ind w:firstLine="0" w:firstLineChars="0"/>
                    <w:jc w:val="center"/>
                    <w:rPr>
                      <w:rFonts w:hint="default" w:ascii="Times New Roman" w:hAnsi="Times New Roman" w:cs="Times New Roman"/>
                      <w:color w:val="auto"/>
                      <w:sz w:val="21"/>
                      <w:szCs w:val="21"/>
                    </w:rPr>
                  </w:pPr>
                </w:p>
              </w:tc>
              <w:tc>
                <w:tcPr>
                  <w:tcW w:w="1687" w:type="pct"/>
                  <w:vAlign w:val="center"/>
                </w:tcPr>
                <w:p w14:paraId="0A4FC06B">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大气环境保护对策和措施：严格产业准入制度，控制企业污染排放。设置新城产业准入大气环境标准，对排污量大的行业进行限制，防止对新城产生影响。</w:t>
                  </w:r>
                </w:p>
              </w:tc>
              <w:tc>
                <w:tcPr>
                  <w:tcW w:w="1842" w:type="pct"/>
                  <w:vAlign w:val="center"/>
                </w:tcPr>
                <w:p w14:paraId="0E47FD6C">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本项目产生的有机废气采用二级活性炭吸附装置处理后排放。不属于大气污染物排放量大的项目。</w:t>
                  </w:r>
                </w:p>
              </w:tc>
              <w:tc>
                <w:tcPr>
                  <w:tcW w:w="675" w:type="pct"/>
                  <w:vAlign w:val="center"/>
                </w:tcPr>
                <w:p w14:paraId="258F92C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BA2B426">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continue"/>
                  <w:vAlign w:val="center"/>
                </w:tcPr>
                <w:p w14:paraId="3E978521">
                  <w:pPr>
                    <w:spacing w:line="240" w:lineRule="auto"/>
                    <w:ind w:firstLine="0" w:firstLineChars="0"/>
                    <w:jc w:val="center"/>
                    <w:rPr>
                      <w:rFonts w:hint="default" w:ascii="Times New Roman" w:hAnsi="Times New Roman" w:cs="Times New Roman"/>
                      <w:color w:val="auto"/>
                      <w:sz w:val="21"/>
                      <w:szCs w:val="21"/>
                    </w:rPr>
                  </w:pPr>
                </w:p>
              </w:tc>
              <w:tc>
                <w:tcPr>
                  <w:tcW w:w="1687" w:type="pct"/>
                  <w:vAlign w:val="center"/>
                </w:tcPr>
                <w:p w14:paraId="1610D327">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842" w:type="pct"/>
                  <w:vAlign w:val="center"/>
                </w:tcPr>
                <w:p w14:paraId="68C02772">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本项目运营期设备采用低噪声设备，通过合理布局、厂房隔声等措施进行降噪。</w:t>
                  </w:r>
                </w:p>
              </w:tc>
              <w:tc>
                <w:tcPr>
                  <w:tcW w:w="675" w:type="pct"/>
                  <w:vAlign w:val="center"/>
                </w:tcPr>
                <w:p w14:paraId="001374E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01A5286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74" w:hRule="atLeast"/>
              </w:trPr>
              <w:tc>
                <w:tcPr>
                  <w:tcW w:w="794" w:type="pct"/>
                  <w:vMerge w:val="continue"/>
                  <w:vAlign w:val="center"/>
                </w:tcPr>
                <w:p w14:paraId="3CD2DB78">
                  <w:pPr>
                    <w:spacing w:line="240" w:lineRule="auto"/>
                    <w:ind w:firstLine="0" w:firstLineChars="0"/>
                    <w:jc w:val="center"/>
                    <w:rPr>
                      <w:rFonts w:hint="default" w:ascii="Times New Roman" w:hAnsi="Times New Roman" w:cs="Times New Roman"/>
                      <w:color w:val="auto"/>
                      <w:sz w:val="21"/>
                      <w:szCs w:val="21"/>
                    </w:rPr>
                  </w:pPr>
                </w:p>
              </w:tc>
              <w:tc>
                <w:tcPr>
                  <w:tcW w:w="1687" w:type="pct"/>
                  <w:vAlign w:val="center"/>
                </w:tcPr>
                <w:p w14:paraId="53996F4F">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建立危险废物和医疗废物的收集、运输、处置的全过程环境监督管理体系。</w:t>
                  </w:r>
                </w:p>
              </w:tc>
              <w:tc>
                <w:tcPr>
                  <w:tcW w:w="1842" w:type="pct"/>
                  <w:vAlign w:val="center"/>
                </w:tcPr>
                <w:p w14:paraId="34EBCD4A">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本项目产生的生活垃圾收集后由环卫部门处理；废机油、废机油桶、废含油抹布、手套、废活性炭，集中收集后暂存于危废贮存库，定期委托有资质单位处置。</w:t>
                  </w:r>
                </w:p>
              </w:tc>
              <w:tc>
                <w:tcPr>
                  <w:tcW w:w="675" w:type="pct"/>
                  <w:vAlign w:val="center"/>
                </w:tcPr>
                <w:p w14:paraId="15E7539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bl>
          <w:p w14:paraId="2AF1A994">
            <w:pPr>
              <w:ind w:firstLine="480"/>
              <w:rPr>
                <w:rFonts w:hint="default" w:ascii="Times New Roman" w:hAnsi="Times New Roman" w:cs="Times New Roman"/>
                <w:color w:val="auto"/>
              </w:rPr>
            </w:pPr>
          </w:p>
        </w:tc>
      </w:tr>
      <w:tr w14:paraId="423382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1" w:type="pct"/>
            <w:vAlign w:val="center"/>
          </w:tcPr>
          <w:p w14:paraId="28AF1C0E">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其他符合性分析</w:t>
            </w:r>
          </w:p>
        </w:tc>
        <w:tc>
          <w:tcPr>
            <w:tcW w:w="4308" w:type="pct"/>
            <w:gridSpan w:val="3"/>
            <w:vAlign w:val="center"/>
          </w:tcPr>
          <w:p w14:paraId="389540FA">
            <w:pPr>
              <w:numPr>
                <w:ilvl w:val="0"/>
                <w:numId w:val="1"/>
              </w:numPr>
              <w:autoSpaceDE w:val="0"/>
              <w:autoSpaceDN w:val="0"/>
              <w:ind w:firstLine="482"/>
              <w:rPr>
                <w:rFonts w:hint="default" w:ascii="Times New Roman" w:hAnsi="Times New Roman" w:cs="Times New Roman"/>
                <w:b/>
                <w:bCs/>
                <w:color w:val="auto"/>
              </w:rPr>
            </w:pPr>
            <w:r>
              <w:rPr>
                <w:rFonts w:hint="default" w:ascii="Times New Roman" w:hAnsi="Times New Roman" w:cs="Times New Roman"/>
                <w:b/>
                <w:bCs/>
                <w:color w:val="auto"/>
              </w:rPr>
              <w:t>“三线一单”符合性分析</w:t>
            </w:r>
          </w:p>
          <w:p w14:paraId="522C0700">
            <w:pPr>
              <w:pStyle w:val="34"/>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根据《陕西省人民政府关于加快实施“三线一单”生态环境分区管控的意见》（陕政发〔2020〕11号）、《陕西省“三线一单”生态环境分区管控应用技术指南：环境影响评价（试行）》（陕环办发〔2022〕76号），环评文件涉及“三线一单”生态环境分区管控符合性分析应采取“一图一表一说明”的表达方式，具体如下：</w:t>
            </w:r>
          </w:p>
          <w:p w14:paraId="43280A68">
            <w:pPr>
              <w:ind w:firstLine="480"/>
              <w:rPr>
                <w:rFonts w:hint="default" w:ascii="Times New Roman" w:hAnsi="Times New Roman" w:cs="Times New Roman"/>
                <w:color w:val="auto"/>
              </w:rPr>
            </w:pPr>
            <w:r>
              <w:rPr>
                <w:rFonts w:hint="default" w:ascii="Times New Roman" w:hAnsi="Times New Roman" w:cs="Times New Roman"/>
                <w:color w:val="auto"/>
              </w:rPr>
              <w:t>①一图：</w:t>
            </w:r>
          </w:p>
          <w:p w14:paraId="697B5A02">
            <w:pPr>
              <w:ind w:firstLine="480"/>
              <w:rPr>
                <w:rFonts w:hint="default" w:ascii="Times New Roman" w:hAnsi="Times New Roman" w:cs="Times New Roman"/>
                <w:color w:val="auto"/>
              </w:rPr>
            </w:pPr>
            <w:r>
              <w:rPr>
                <w:rFonts w:hint="default" w:ascii="Times New Roman" w:hAnsi="Times New Roman" w:cs="Times New Roman"/>
                <w:color w:val="auto"/>
              </w:rPr>
              <w:t>本项目位于陕西省西咸新区沣东新城斗门街办沣惠渠南岸15号，项目所在区域为重点管控单元，不涉及生态保护红线，项目与环境管控单元对照分析示意图见下图：</w:t>
            </w:r>
          </w:p>
          <w:p w14:paraId="325CC2CA">
            <w:pPr>
              <w:pStyle w:val="10"/>
              <w:spacing w:line="240" w:lineRule="auto"/>
              <w:ind w:left="0" w:right="0" w:firstLine="0" w:firstLineChars="0"/>
              <w:jc w:val="center"/>
              <w:rPr>
                <w:rFonts w:hint="default" w:ascii="Times New Roman" w:hAnsi="Times New Roman" w:cs="Times New Roman"/>
                <w:b w:val="0"/>
                <w:bCs/>
                <w:color w:val="auto"/>
              </w:rPr>
            </w:pPr>
            <w:r>
              <w:rPr>
                <w:rFonts w:hint="default" w:ascii="Times New Roman" w:hAnsi="Times New Roman" w:cs="Times New Roman"/>
                <w:b w:val="0"/>
                <w:bCs/>
                <w:color w:val="auto"/>
              </w:rPr>
              <w:drawing>
                <wp:inline distT="0" distB="0" distL="114300" distR="114300">
                  <wp:extent cx="4288790" cy="7082155"/>
                  <wp:effectExtent l="0" t="0" r="16510" b="444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6"/>
                          <a:stretch>
                            <a:fillRect/>
                          </a:stretch>
                        </pic:blipFill>
                        <pic:spPr>
                          <a:xfrm>
                            <a:off x="0" y="0"/>
                            <a:ext cx="4288790" cy="7082155"/>
                          </a:xfrm>
                          <a:prstGeom prst="rect">
                            <a:avLst/>
                          </a:prstGeom>
                          <a:noFill/>
                          <a:ln>
                            <a:noFill/>
                          </a:ln>
                        </pic:spPr>
                      </pic:pic>
                    </a:graphicData>
                  </a:graphic>
                </wp:inline>
              </w:drawing>
            </w:r>
          </w:p>
          <w:p w14:paraId="484AA398">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b/>
                <w:color w:val="auto"/>
              </w:rPr>
              <w:t>图1-1  本项目与环境管控单元对照分析图</w:t>
            </w:r>
          </w:p>
        </w:tc>
      </w:tr>
    </w:tbl>
    <w:p w14:paraId="6B1ED61C">
      <w:pPr>
        <w:ind w:firstLine="600"/>
        <w:outlineLvl w:val="0"/>
        <w:rPr>
          <w:rFonts w:hint="default" w:ascii="Times New Roman" w:hAnsi="Times New Roman" w:cs="Times New Roman"/>
          <w:color w:val="auto"/>
          <w:kern w:val="21"/>
          <w:sz w:val="30"/>
        </w:rPr>
        <w:sectPr>
          <w:footerReference r:id="rId13" w:type="default"/>
          <w:pgSz w:w="11906" w:h="16838"/>
          <w:pgMar w:top="1701" w:right="1531" w:bottom="1701" w:left="1531" w:header="851" w:footer="1077" w:gutter="0"/>
          <w:pgNumType w:start="1"/>
          <w:cols w:space="720" w:num="1"/>
          <w:docGrid w:linePitch="312" w:charSpace="0"/>
        </w:sectPr>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3002"/>
      </w:tblGrid>
      <w:tr w14:paraId="04064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atLeast"/>
        </w:trPr>
        <w:tc>
          <w:tcPr>
            <w:tcW w:w="238" w:type="pct"/>
            <w:vAlign w:val="center"/>
          </w:tcPr>
          <w:p w14:paraId="07F53B16">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其他符合性分析</w:t>
            </w:r>
          </w:p>
        </w:tc>
        <w:tc>
          <w:tcPr>
            <w:tcW w:w="4761" w:type="pct"/>
          </w:tcPr>
          <w:p w14:paraId="0795E9C2">
            <w:pPr>
              <w:ind w:firstLine="482"/>
              <w:rPr>
                <w:rFonts w:hint="default" w:ascii="Times New Roman" w:hAnsi="Times New Roman" w:cs="Times New Roman"/>
                <w:b/>
                <w:bCs/>
                <w:color w:val="auto"/>
              </w:rPr>
            </w:pPr>
            <w:r>
              <w:rPr>
                <w:rFonts w:hint="default" w:ascii="Times New Roman" w:hAnsi="Times New Roman" w:cs="Times New Roman"/>
                <w:b/>
                <w:bCs/>
                <w:color w:val="auto"/>
              </w:rPr>
              <w:t>②一表：</w:t>
            </w:r>
          </w:p>
          <w:p w14:paraId="192C807E">
            <w:pPr>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 1-2  项目与涉及的生态环境管控单元准入要求符合性分析</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3"/>
              <w:gridCol w:w="676"/>
              <w:gridCol w:w="435"/>
              <w:gridCol w:w="867"/>
              <w:gridCol w:w="920"/>
              <w:gridCol w:w="688"/>
              <w:gridCol w:w="4059"/>
              <w:gridCol w:w="3152"/>
              <w:gridCol w:w="450"/>
              <w:gridCol w:w="1091"/>
            </w:tblGrid>
            <w:tr w14:paraId="50D612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73" w:type="pct"/>
                  <w:tcBorders>
                    <w:tl2br w:val="nil"/>
                    <w:tr2bl w:val="nil"/>
                  </w:tcBorders>
                  <w:vAlign w:val="center"/>
                </w:tcPr>
                <w:p w14:paraId="08A83CCD">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264" w:type="pct"/>
                  <w:tcBorders>
                    <w:tl2br w:val="nil"/>
                    <w:tr2bl w:val="nil"/>
                  </w:tcBorders>
                  <w:vAlign w:val="center"/>
                </w:tcPr>
                <w:p w14:paraId="3698F83D">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环境管控单元名称</w:t>
                  </w:r>
                </w:p>
              </w:tc>
              <w:tc>
                <w:tcPr>
                  <w:tcW w:w="170" w:type="pct"/>
                  <w:tcBorders>
                    <w:tl2br w:val="nil"/>
                    <w:tr2bl w:val="nil"/>
                  </w:tcBorders>
                  <w:vAlign w:val="center"/>
                </w:tcPr>
                <w:p w14:paraId="150F70B6">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区县</w:t>
                  </w:r>
                </w:p>
              </w:tc>
              <w:tc>
                <w:tcPr>
                  <w:tcW w:w="339" w:type="pct"/>
                  <w:tcBorders>
                    <w:tl2br w:val="nil"/>
                    <w:tr2bl w:val="nil"/>
                  </w:tcBorders>
                  <w:shd w:val="clear" w:color="auto" w:fill="auto"/>
                  <w:vAlign w:val="center"/>
                </w:tcPr>
                <w:p w14:paraId="40637628">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市</w:t>
                  </w:r>
                </w:p>
                <w:p w14:paraId="133A7DDD">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（区）</w:t>
                  </w:r>
                </w:p>
              </w:tc>
              <w:tc>
                <w:tcPr>
                  <w:tcW w:w="360" w:type="pct"/>
                  <w:tcBorders>
                    <w:tl2br w:val="nil"/>
                    <w:tr2bl w:val="nil"/>
                  </w:tcBorders>
                  <w:vAlign w:val="center"/>
                </w:tcPr>
                <w:p w14:paraId="1C4C560B">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单元要素属性</w:t>
                  </w:r>
                </w:p>
              </w:tc>
              <w:tc>
                <w:tcPr>
                  <w:tcW w:w="269" w:type="pct"/>
                  <w:tcBorders>
                    <w:tl2br w:val="nil"/>
                    <w:tr2bl w:val="nil"/>
                  </w:tcBorders>
                  <w:shd w:val="clear" w:color="auto" w:fill="auto"/>
                  <w:vAlign w:val="center"/>
                </w:tcPr>
                <w:p w14:paraId="0FB856C8">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管控要求分类</w:t>
                  </w:r>
                </w:p>
              </w:tc>
              <w:tc>
                <w:tcPr>
                  <w:tcW w:w="1587" w:type="pct"/>
                  <w:tcBorders>
                    <w:tl2br w:val="nil"/>
                    <w:tr2bl w:val="nil"/>
                  </w:tcBorders>
                  <w:shd w:val="clear" w:color="auto" w:fill="auto"/>
                  <w:vAlign w:val="center"/>
                </w:tcPr>
                <w:p w14:paraId="50FB6406">
                  <w:pPr>
                    <w:pStyle w:val="8"/>
                    <w:spacing w:before="0" w:after="0" w:line="240" w:lineRule="auto"/>
                    <w:ind w:right="0"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管控要求</w:t>
                  </w:r>
                </w:p>
              </w:tc>
              <w:tc>
                <w:tcPr>
                  <w:tcW w:w="1232" w:type="pct"/>
                  <w:tcBorders>
                    <w:tl2br w:val="nil"/>
                    <w:tr2bl w:val="nil"/>
                  </w:tcBorders>
                  <w:vAlign w:val="center"/>
                </w:tcPr>
                <w:p w14:paraId="69A9DAA5">
                  <w:pPr>
                    <w:spacing w:line="240" w:lineRule="auto"/>
                    <w:ind w:firstLine="0" w:firstLineChars="0"/>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本项目</w:t>
                  </w:r>
                </w:p>
              </w:tc>
              <w:tc>
                <w:tcPr>
                  <w:tcW w:w="176" w:type="pct"/>
                  <w:tcBorders>
                    <w:tl2br w:val="nil"/>
                    <w:tr2bl w:val="nil"/>
                  </w:tcBorders>
                  <w:vAlign w:val="center"/>
                </w:tcPr>
                <w:p w14:paraId="65FFDC76">
                  <w:pPr>
                    <w:spacing w:line="240" w:lineRule="auto"/>
                    <w:ind w:firstLine="0" w:firstLineChars="0"/>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符合性</w:t>
                  </w:r>
                </w:p>
              </w:tc>
              <w:tc>
                <w:tcPr>
                  <w:tcW w:w="427" w:type="pct"/>
                  <w:tcBorders>
                    <w:tl2br w:val="nil"/>
                    <w:tr2bl w:val="nil"/>
                  </w:tcBorders>
                  <w:vAlign w:val="center"/>
                </w:tcPr>
                <w:p w14:paraId="33E105A6">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面积/长度（平方米/米）</w:t>
                  </w:r>
                </w:p>
              </w:tc>
            </w:tr>
            <w:tr w14:paraId="08E37E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 w:type="pct"/>
                  <w:vMerge w:val="restart"/>
                  <w:tcBorders>
                    <w:tl2br w:val="nil"/>
                    <w:tr2bl w:val="nil"/>
                  </w:tcBorders>
                  <w:vAlign w:val="center"/>
                </w:tcPr>
                <w:p w14:paraId="64B8718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264" w:type="pct"/>
                  <w:vMerge w:val="restart"/>
                  <w:tcBorders>
                    <w:tl2br w:val="nil"/>
                    <w:tr2bl w:val="nil"/>
                  </w:tcBorders>
                  <w:vAlign w:val="center"/>
                </w:tcPr>
                <w:p w14:paraId="5AD365B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陕西省西安市长安区重点管控单元4</w:t>
                  </w:r>
                </w:p>
              </w:tc>
              <w:tc>
                <w:tcPr>
                  <w:tcW w:w="170" w:type="pct"/>
                  <w:vMerge w:val="restart"/>
                  <w:tcBorders>
                    <w:tl2br w:val="nil"/>
                    <w:tr2bl w:val="nil"/>
                  </w:tcBorders>
                  <w:vAlign w:val="center"/>
                </w:tcPr>
                <w:p w14:paraId="03DC241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西安市</w:t>
                  </w:r>
                </w:p>
              </w:tc>
              <w:tc>
                <w:tcPr>
                  <w:tcW w:w="339" w:type="pct"/>
                  <w:vMerge w:val="restart"/>
                  <w:tcBorders>
                    <w:tl2br w:val="nil"/>
                    <w:tr2bl w:val="nil"/>
                  </w:tcBorders>
                  <w:shd w:val="clear" w:color="auto" w:fill="auto"/>
                  <w:vAlign w:val="center"/>
                </w:tcPr>
                <w:p w14:paraId="0A89BB66">
                  <w:pPr>
                    <w:spacing w:line="240" w:lineRule="auto"/>
                    <w:ind w:firstLine="0" w:firstLineChars="0"/>
                    <w:jc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长安区</w:t>
                  </w:r>
                </w:p>
              </w:tc>
              <w:tc>
                <w:tcPr>
                  <w:tcW w:w="360" w:type="pct"/>
                  <w:vMerge w:val="restart"/>
                  <w:tcBorders>
                    <w:tl2br w:val="nil"/>
                    <w:tr2bl w:val="nil"/>
                  </w:tcBorders>
                  <w:vAlign w:val="center"/>
                </w:tcPr>
                <w:p w14:paraId="7A1E7F3F">
                  <w:pPr>
                    <w:widowControl/>
                    <w:spacing w:line="240" w:lineRule="auto"/>
                    <w:ind w:firstLine="0" w:firstLineChars="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bCs/>
                      <w:color w:val="auto"/>
                      <w:kern w:val="0"/>
                      <w:sz w:val="21"/>
                      <w:szCs w:val="21"/>
                      <w:lang w:bidi="ar"/>
                    </w:rPr>
                    <w:t>大气环境布局敏感重点管控区、水环境城镇生活污染重点管控区、高污染燃料禁燃区</w:t>
                  </w:r>
                </w:p>
              </w:tc>
              <w:tc>
                <w:tcPr>
                  <w:tcW w:w="269" w:type="pct"/>
                  <w:tcBorders>
                    <w:tl2br w:val="nil"/>
                    <w:tr2bl w:val="nil"/>
                  </w:tcBorders>
                  <w:shd w:val="clear" w:color="auto" w:fill="auto"/>
                  <w:vAlign w:val="center"/>
                </w:tcPr>
                <w:p w14:paraId="76B35F95">
                  <w:pPr>
                    <w:widowControl/>
                    <w:spacing w:line="240" w:lineRule="auto"/>
                    <w:ind w:firstLine="0" w:firstLineChars="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bCs/>
                      <w:color w:val="auto"/>
                      <w:kern w:val="0"/>
                      <w:sz w:val="21"/>
                      <w:szCs w:val="21"/>
                      <w:lang w:bidi="ar"/>
                    </w:rPr>
                    <w:t>空间布局约束</w:t>
                  </w:r>
                </w:p>
              </w:tc>
              <w:tc>
                <w:tcPr>
                  <w:tcW w:w="1587" w:type="pct"/>
                  <w:tcBorders>
                    <w:tl2br w:val="nil"/>
                    <w:tr2bl w:val="nil"/>
                  </w:tcBorders>
                  <w:shd w:val="clear" w:color="auto" w:fill="auto"/>
                  <w:vAlign w:val="center"/>
                </w:tcPr>
                <w:p w14:paraId="0E74420E">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大气环境布局敏感重点管控区：</w:t>
                  </w:r>
                </w:p>
                <w:p w14:paraId="6C09BB7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1.严格控制新增《陕西省“两高”项目管理暂行目录》行业项目（民生等项目除外，后续对“两高”范围国家如有新规定的，从其规定）。</w:t>
                  </w:r>
                </w:p>
                <w:p w14:paraId="2A450E5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2.严禁新增钢铁、焦化、水泥熟料、平板玻璃、电解铝、氧化铝、煤化工产能。</w:t>
                  </w:r>
                </w:p>
                <w:p w14:paraId="5F938F2B">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3.推动重污染企业搬迁入园或依法关闭。</w:t>
                  </w:r>
                </w:p>
                <w:p w14:paraId="05A2F677">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水环境城镇生活污染重点管控区：</w:t>
                  </w:r>
                </w:p>
                <w:p w14:paraId="0CE25F3F">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1.持续推进城中村、老旧城区、城乡结合部污水截流、收集和城市雨污管道新建、改建。</w:t>
                  </w:r>
                </w:p>
              </w:tc>
              <w:tc>
                <w:tcPr>
                  <w:tcW w:w="1232" w:type="pct"/>
                  <w:tcBorders>
                    <w:tl2br w:val="nil"/>
                    <w:tr2bl w:val="nil"/>
                  </w:tcBorders>
                  <w:vAlign w:val="center"/>
                </w:tcPr>
                <w:p w14:paraId="2ABB4D3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大气环境布局敏感重点管控区：</w:t>
                  </w:r>
                </w:p>
                <w:p w14:paraId="1A8C6371">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1.本项目所属行业为泡沫塑料制造，不属于《陕西省“两高”项目管理暂行目录》中的高耗能、高排放项目。</w:t>
                  </w:r>
                </w:p>
                <w:p w14:paraId="0108366B">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2.本项目行业类别为泡沫塑料制造，不属于严禁新增产能行业。</w:t>
                  </w:r>
                </w:p>
                <w:p w14:paraId="4943A8C7">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3.本项目行业类别为泡沫塑料制造，不属于重污染企业。</w:t>
                  </w:r>
                </w:p>
                <w:p w14:paraId="6CC9AF05">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水环境城镇生活污染重点管控区：</w:t>
                  </w:r>
                </w:p>
                <w:p w14:paraId="0B9C8F5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1.不涉及。</w:t>
                  </w:r>
                </w:p>
              </w:tc>
              <w:tc>
                <w:tcPr>
                  <w:tcW w:w="176" w:type="pct"/>
                  <w:tcBorders>
                    <w:tl2br w:val="nil"/>
                    <w:tr2bl w:val="nil"/>
                  </w:tcBorders>
                  <w:vAlign w:val="center"/>
                </w:tcPr>
                <w:p w14:paraId="59E76B1B">
                  <w:pPr>
                    <w:widowControl/>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c>
                <w:tcPr>
                  <w:tcW w:w="427" w:type="pct"/>
                  <w:vMerge w:val="restart"/>
                  <w:tcBorders>
                    <w:tl2br w:val="nil"/>
                    <w:tr2bl w:val="nil"/>
                  </w:tcBorders>
                  <w:vAlign w:val="center"/>
                </w:tcPr>
                <w:p w14:paraId="64284AB5">
                  <w:pPr>
                    <w:widowControl/>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12966.29</w:t>
                  </w:r>
                </w:p>
              </w:tc>
            </w:tr>
            <w:tr w14:paraId="049059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 w:type="pct"/>
                  <w:vMerge w:val="continue"/>
                  <w:tcBorders>
                    <w:tl2br w:val="nil"/>
                    <w:tr2bl w:val="nil"/>
                  </w:tcBorders>
                  <w:vAlign w:val="center"/>
                </w:tcPr>
                <w:p w14:paraId="60782341">
                  <w:pPr>
                    <w:spacing w:line="240" w:lineRule="auto"/>
                    <w:ind w:firstLine="0" w:firstLineChars="0"/>
                    <w:jc w:val="center"/>
                    <w:rPr>
                      <w:rFonts w:hint="default" w:ascii="Times New Roman" w:hAnsi="Times New Roman" w:cs="Times New Roman"/>
                      <w:color w:val="auto"/>
                      <w:sz w:val="21"/>
                      <w:szCs w:val="21"/>
                    </w:rPr>
                  </w:pPr>
                </w:p>
              </w:tc>
              <w:tc>
                <w:tcPr>
                  <w:tcW w:w="264" w:type="pct"/>
                  <w:vMerge w:val="continue"/>
                  <w:tcBorders>
                    <w:tl2br w:val="nil"/>
                    <w:tr2bl w:val="nil"/>
                  </w:tcBorders>
                  <w:vAlign w:val="center"/>
                </w:tcPr>
                <w:p w14:paraId="3F7E29B0">
                  <w:pPr>
                    <w:spacing w:line="240" w:lineRule="auto"/>
                    <w:ind w:firstLine="0" w:firstLineChars="0"/>
                    <w:jc w:val="center"/>
                    <w:rPr>
                      <w:rFonts w:hint="default" w:ascii="Times New Roman" w:hAnsi="Times New Roman" w:cs="Times New Roman"/>
                      <w:color w:val="auto"/>
                      <w:sz w:val="21"/>
                      <w:szCs w:val="21"/>
                    </w:rPr>
                  </w:pPr>
                </w:p>
              </w:tc>
              <w:tc>
                <w:tcPr>
                  <w:tcW w:w="170" w:type="pct"/>
                  <w:vMerge w:val="continue"/>
                  <w:tcBorders>
                    <w:tl2br w:val="nil"/>
                    <w:tr2bl w:val="nil"/>
                  </w:tcBorders>
                  <w:vAlign w:val="center"/>
                </w:tcPr>
                <w:p w14:paraId="4AAEFFE6">
                  <w:pPr>
                    <w:spacing w:line="240" w:lineRule="auto"/>
                    <w:ind w:firstLine="0" w:firstLineChars="0"/>
                    <w:jc w:val="center"/>
                    <w:rPr>
                      <w:rFonts w:hint="default" w:ascii="Times New Roman" w:hAnsi="Times New Roman" w:cs="Times New Roman"/>
                      <w:color w:val="auto"/>
                      <w:sz w:val="21"/>
                      <w:szCs w:val="21"/>
                    </w:rPr>
                  </w:pPr>
                </w:p>
              </w:tc>
              <w:tc>
                <w:tcPr>
                  <w:tcW w:w="339" w:type="pct"/>
                  <w:vMerge w:val="continue"/>
                  <w:tcBorders>
                    <w:tl2br w:val="nil"/>
                    <w:tr2bl w:val="nil"/>
                  </w:tcBorders>
                  <w:shd w:val="clear" w:color="auto" w:fill="auto"/>
                  <w:vAlign w:val="center"/>
                </w:tcPr>
                <w:p w14:paraId="591DCEE1">
                  <w:pPr>
                    <w:spacing w:line="240" w:lineRule="auto"/>
                    <w:ind w:firstLine="0" w:firstLineChars="0"/>
                    <w:jc w:val="center"/>
                    <w:rPr>
                      <w:rFonts w:hint="default" w:ascii="Times New Roman" w:hAnsi="Times New Roman" w:cs="Times New Roman"/>
                      <w:bCs/>
                      <w:color w:val="auto"/>
                      <w:kern w:val="0"/>
                      <w:sz w:val="21"/>
                      <w:szCs w:val="21"/>
                      <w:lang w:bidi="ar"/>
                    </w:rPr>
                  </w:pPr>
                </w:p>
              </w:tc>
              <w:tc>
                <w:tcPr>
                  <w:tcW w:w="360" w:type="pct"/>
                  <w:vMerge w:val="continue"/>
                  <w:tcBorders>
                    <w:tl2br w:val="nil"/>
                    <w:tr2bl w:val="nil"/>
                  </w:tcBorders>
                  <w:vAlign w:val="center"/>
                </w:tcPr>
                <w:p w14:paraId="710A044B">
                  <w:pPr>
                    <w:widowControl/>
                    <w:spacing w:line="240" w:lineRule="auto"/>
                    <w:ind w:firstLine="0" w:firstLineChars="0"/>
                    <w:jc w:val="center"/>
                    <w:textAlignment w:val="center"/>
                    <w:rPr>
                      <w:rStyle w:val="70"/>
                      <w:rFonts w:hint="default" w:ascii="Times New Roman" w:hAnsi="Times New Roman" w:cs="Times New Roman"/>
                      <w:color w:val="auto"/>
                      <w:sz w:val="21"/>
                      <w:szCs w:val="21"/>
                      <w:lang w:bidi="ar"/>
                    </w:rPr>
                  </w:pPr>
                </w:p>
              </w:tc>
              <w:tc>
                <w:tcPr>
                  <w:tcW w:w="269" w:type="pct"/>
                  <w:tcBorders>
                    <w:tl2br w:val="nil"/>
                    <w:tr2bl w:val="nil"/>
                  </w:tcBorders>
                  <w:shd w:val="clear" w:color="auto" w:fill="auto"/>
                  <w:vAlign w:val="center"/>
                </w:tcPr>
                <w:p w14:paraId="54424F18">
                  <w:pPr>
                    <w:widowControl/>
                    <w:spacing w:line="240" w:lineRule="auto"/>
                    <w:ind w:firstLine="0" w:firstLineChars="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bCs/>
                      <w:color w:val="auto"/>
                      <w:kern w:val="0"/>
                      <w:sz w:val="21"/>
                      <w:szCs w:val="21"/>
                      <w:lang w:bidi="ar"/>
                    </w:rPr>
                    <w:t>污染物排放管控</w:t>
                  </w:r>
                </w:p>
              </w:tc>
              <w:tc>
                <w:tcPr>
                  <w:tcW w:w="1587" w:type="pct"/>
                  <w:tcBorders>
                    <w:tl2br w:val="nil"/>
                    <w:tr2bl w:val="nil"/>
                  </w:tcBorders>
                  <w:shd w:val="clear" w:color="auto" w:fill="auto"/>
                  <w:vAlign w:val="center"/>
                </w:tcPr>
                <w:p w14:paraId="2F39DAAF">
                  <w:pPr>
                    <w:widowControl/>
                    <w:numPr>
                      <w:ilvl w:val="255"/>
                      <w:numId w:val="0"/>
                    </w:numPr>
                    <w:spacing w:line="240" w:lineRule="auto"/>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大气环境布局敏感重点管控区：</w:t>
                  </w:r>
                </w:p>
                <w:p w14:paraId="31942783">
                  <w:pPr>
                    <w:widowControl/>
                    <w:numPr>
                      <w:ilvl w:val="255"/>
                      <w:numId w:val="0"/>
                    </w:numPr>
                    <w:spacing w:line="240" w:lineRule="auto"/>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1.鼓励将老旧车辆和非道路移动机械替换为清洁能源车辆。推进新能源或清洁能源汽车使用。</w:t>
                  </w:r>
                </w:p>
              </w:tc>
              <w:tc>
                <w:tcPr>
                  <w:tcW w:w="1232" w:type="pct"/>
                  <w:tcBorders>
                    <w:tl2br w:val="nil"/>
                    <w:tr2bl w:val="nil"/>
                  </w:tcBorders>
                  <w:vAlign w:val="center"/>
                </w:tcPr>
                <w:p w14:paraId="7FC7BC4E">
                  <w:pPr>
                    <w:widowControl/>
                    <w:numPr>
                      <w:ilvl w:val="255"/>
                      <w:numId w:val="0"/>
                    </w:numPr>
                    <w:spacing w:line="240" w:lineRule="auto"/>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大气环境布局敏感重点管控区：</w:t>
                  </w:r>
                </w:p>
                <w:p w14:paraId="5A94969F">
                  <w:pPr>
                    <w:widowControl/>
                    <w:numPr>
                      <w:ilvl w:val="255"/>
                      <w:numId w:val="0"/>
                    </w:numPr>
                    <w:spacing w:line="240" w:lineRule="auto"/>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1.本项目物料公路运输全部使用新能源或清洁能源车辆；</w:t>
                  </w:r>
                </w:p>
                <w:p w14:paraId="368EA6CE">
                  <w:pPr>
                    <w:widowControl/>
                    <w:numPr>
                      <w:ilvl w:val="255"/>
                      <w:numId w:val="0"/>
                    </w:numPr>
                    <w:spacing w:line="240" w:lineRule="auto"/>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厂内非道路移动机械全部使用新能源或清洁能源车辆。</w:t>
                  </w:r>
                </w:p>
              </w:tc>
              <w:tc>
                <w:tcPr>
                  <w:tcW w:w="176" w:type="pct"/>
                  <w:tcBorders>
                    <w:tl2br w:val="nil"/>
                    <w:tr2bl w:val="nil"/>
                  </w:tcBorders>
                  <w:vAlign w:val="center"/>
                </w:tcPr>
                <w:p w14:paraId="1EBD70E4">
                  <w:pPr>
                    <w:widowControl/>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c>
                <w:tcPr>
                  <w:tcW w:w="427" w:type="pct"/>
                  <w:vMerge w:val="continue"/>
                  <w:tcBorders>
                    <w:tl2br w:val="nil"/>
                    <w:tr2bl w:val="nil"/>
                  </w:tcBorders>
                  <w:vAlign w:val="center"/>
                </w:tcPr>
                <w:p w14:paraId="62CB52AA">
                  <w:pPr>
                    <w:widowControl/>
                    <w:spacing w:line="240" w:lineRule="auto"/>
                    <w:ind w:firstLine="0" w:firstLineChars="0"/>
                    <w:jc w:val="center"/>
                    <w:textAlignment w:val="center"/>
                    <w:rPr>
                      <w:rFonts w:hint="default" w:ascii="Times New Roman" w:hAnsi="Times New Roman" w:cs="Times New Roman"/>
                      <w:color w:val="auto"/>
                      <w:sz w:val="21"/>
                      <w:szCs w:val="21"/>
                    </w:rPr>
                  </w:pPr>
                </w:p>
              </w:tc>
            </w:tr>
            <w:tr w14:paraId="290F19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 w:type="pct"/>
                  <w:vMerge w:val="continue"/>
                  <w:tcBorders>
                    <w:tl2br w:val="nil"/>
                    <w:tr2bl w:val="nil"/>
                  </w:tcBorders>
                  <w:vAlign w:val="center"/>
                </w:tcPr>
                <w:p w14:paraId="10E1B64C">
                  <w:pPr>
                    <w:spacing w:line="240" w:lineRule="auto"/>
                    <w:ind w:firstLine="0" w:firstLineChars="0"/>
                    <w:jc w:val="center"/>
                    <w:rPr>
                      <w:rFonts w:hint="default" w:ascii="Times New Roman" w:hAnsi="Times New Roman" w:cs="Times New Roman"/>
                      <w:color w:val="auto"/>
                      <w:sz w:val="21"/>
                      <w:szCs w:val="21"/>
                    </w:rPr>
                  </w:pPr>
                </w:p>
              </w:tc>
              <w:tc>
                <w:tcPr>
                  <w:tcW w:w="264" w:type="pct"/>
                  <w:vMerge w:val="continue"/>
                  <w:tcBorders>
                    <w:tl2br w:val="nil"/>
                    <w:tr2bl w:val="nil"/>
                  </w:tcBorders>
                  <w:vAlign w:val="center"/>
                </w:tcPr>
                <w:p w14:paraId="6B93013E">
                  <w:pPr>
                    <w:spacing w:line="240" w:lineRule="auto"/>
                    <w:ind w:firstLine="0" w:firstLineChars="0"/>
                    <w:jc w:val="center"/>
                    <w:rPr>
                      <w:rFonts w:hint="default" w:ascii="Times New Roman" w:hAnsi="Times New Roman" w:cs="Times New Roman"/>
                      <w:color w:val="auto"/>
                      <w:sz w:val="21"/>
                      <w:szCs w:val="21"/>
                    </w:rPr>
                  </w:pPr>
                </w:p>
              </w:tc>
              <w:tc>
                <w:tcPr>
                  <w:tcW w:w="170" w:type="pct"/>
                  <w:vMerge w:val="continue"/>
                  <w:tcBorders>
                    <w:tl2br w:val="nil"/>
                    <w:tr2bl w:val="nil"/>
                  </w:tcBorders>
                  <w:vAlign w:val="center"/>
                </w:tcPr>
                <w:p w14:paraId="59C493AB">
                  <w:pPr>
                    <w:spacing w:line="240" w:lineRule="auto"/>
                    <w:ind w:firstLine="0" w:firstLineChars="0"/>
                    <w:jc w:val="center"/>
                    <w:rPr>
                      <w:rFonts w:hint="default" w:ascii="Times New Roman" w:hAnsi="Times New Roman" w:cs="Times New Roman"/>
                      <w:color w:val="auto"/>
                      <w:sz w:val="21"/>
                      <w:szCs w:val="21"/>
                    </w:rPr>
                  </w:pPr>
                </w:p>
              </w:tc>
              <w:tc>
                <w:tcPr>
                  <w:tcW w:w="339" w:type="pct"/>
                  <w:vMerge w:val="continue"/>
                  <w:tcBorders>
                    <w:tl2br w:val="nil"/>
                    <w:tr2bl w:val="nil"/>
                  </w:tcBorders>
                  <w:shd w:val="clear" w:color="auto" w:fill="auto"/>
                  <w:vAlign w:val="center"/>
                </w:tcPr>
                <w:p w14:paraId="4F1EE4BD">
                  <w:pPr>
                    <w:spacing w:line="240" w:lineRule="auto"/>
                    <w:ind w:firstLine="0" w:firstLineChars="0"/>
                    <w:jc w:val="center"/>
                    <w:rPr>
                      <w:rFonts w:hint="default" w:ascii="Times New Roman" w:hAnsi="Times New Roman" w:cs="Times New Roman"/>
                      <w:bCs/>
                      <w:color w:val="auto"/>
                      <w:kern w:val="0"/>
                      <w:sz w:val="21"/>
                      <w:szCs w:val="21"/>
                      <w:lang w:bidi="ar"/>
                    </w:rPr>
                  </w:pPr>
                </w:p>
              </w:tc>
              <w:tc>
                <w:tcPr>
                  <w:tcW w:w="360" w:type="pct"/>
                  <w:vMerge w:val="continue"/>
                  <w:tcBorders>
                    <w:tl2br w:val="nil"/>
                    <w:tr2bl w:val="nil"/>
                  </w:tcBorders>
                  <w:vAlign w:val="center"/>
                </w:tcPr>
                <w:p w14:paraId="24604868">
                  <w:pPr>
                    <w:widowControl/>
                    <w:spacing w:line="240" w:lineRule="auto"/>
                    <w:ind w:firstLine="0" w:firstLineChars="0"/>
                    <w:jc w:val="center"/>
                    <w:textAlignment w:val="center"/>
                    <w:rPr>
                      <w:rStyle w:val="70"/>
                      <w:rFonts w:hint="default" w:ascii="Times New Roman" w:hAnsi="Times New Roman" w:cs="Times New Roman"/>
                      <w:color w:val="auto"/>
                      <w:sz w:val="21"/>
                      <w:szCs w:val="21"/>
                      <w:lang w:bidi="ar"/>
                    </w:rPr>
                  </w:pPr>
                </w:p>
              </w:tc>
              <w:tc>
                <w:tcPr>
                  <w:tcW w:w="269" w:type="pct"/>
                  <w:tcBorders>
                    <w:tl2br w:val="nil"/>
                    <w:tr2bl w:val="nil"/>
                  </w:tcBorders>
                  <w:shd w:val="clear" w:color="auto" w:fill="auto"/>
                  <w:vAlign w:val="center"/>
                </w:tcPr>
                <w:p w14:paraId="6BA2DF88">
                  <w:pPr>
                    <w:widowControl/>
                    <w:spacing w:line="240" w:lineRule="auto"/>
                    <w:ind w:firstLine="0" w:firstLineChars="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cs="Times New Roman"/>
                      <w:bCs/>
                      <w:color w:val="auto"/>
                      <w:kern w:val="0"/>
                      <w:sz w:val="21"/>
                      <w:szCs w:val="21"/>
                      <w:lang w:bidi="ar"/>
                    </w:rPr>
                    <w:t>资源利用效率要求</w:t>
                  </w:r>
                </w:p>
              </w:tc>
              <w:tc>
                <w:tcPr>
                  <w:tcW w:w="1587" w:type="pct"/>
                  <w:tcBorders>
                    <w:tl2br w:val="nil"/>
                    <w:tr2bl w:val="nil"/>
                  </w:tcBorders>
                  <w:shd w:val="clear" w:color="auto" w:fill="auto"/>
                  <w:vAlign w:val="center"/>
                </w:tcPr>
                <w:p w14:paraId="32617401">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高污染燃料禁燃区：</w:t>
                  </w:r>
                </w:p>
                <w:p w14:paraId="699D20F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禁止销售、使用高污染燃料。禁止新建、扩建燃用高污染燃料的设施。已建成的，应当在市人民政府规定的期限内停止使用或者改用天然气、页岩气、煤层气、液化石油气、干热岩、电、太阳能或者其他清洁能源。</w:t>
                  </w:r>
                </w:p>
              </w:tc>
              <w:tc>
                <w:tcPr>
                  <w:tcW w:w="1232" w:type="pct"/>
                  <w:tcBorders>
                    <w:tl2br w:val="nil"/>
                    <w:tr2bl w:val="nil"/>
                  </w:tcBorders>
                  <w:vAlign w:val="center"/>
                </w:tcPr>
                <w:p w14:paraId="40F4446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高污染燃料禁燃区：</w:t>
                  </w:r>
                </w:p>
                <w:p w14:paraId="3A61A49D">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1.本项目厨房使用燃料为甲醇，为清洁能源，不涉及高污染燃料。</w:t>
                  </w:r>
                </w:p>
              </w:tc>
              <w:tc>
                <w:tcPr>
                  <w:tcW w:w="176" w:type="pct"/>
                  <w:tcBorders>
                    <w:tl2br w:val="nil"/>
                    <w:tr2bl w:val="nil"/>
                  </w:tcBorders>
                  <w:vAlign w:val="center"/>
                </w:tcPr>
                <w:p w14:paraId="0311E795">
                  <w:pPr>
                    <w:widowControl/>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c>
                <w:tcPr>
                  <w:tcW w:w="427" w:type="pct"/>
                  <w:vMerge w:val="continue"/>
                  <w:tcBorders>
                    <w:tl2br w:val="nil"/>
                    <w:tr2bl w:val="nil"/>
                  </w:tcBorders>
                  <w:vAlign w:val="center"/>
                </w:tcPr>
                <w:p w14:paraId="3CDA4A57">
                  <w:pPr>
                    <w:widowControl/>
                    <w:spacing w:line="240" w:lineRule="auto"/>
                    <w:ind w:firstLine="0" w:firstLineChars="0"/>
                    <w:jc w:val="center"/>
                    <w:textAlignment w:val="center"/>
                    <w:rPr>
                      <w:rFonts w:hint="default" w:ascii="Times New Roman" w:hAnsi="Times New Roman" w:cs="Times New Roman"/>
                      <w:color w:val="auto"/>
                      <w:sz w:val="21"/>
                      <w:szCs w:val="21"/>
                    </w:rPr>
                  </w:pPr>
                </w:p>
              </w:tc>
            </w:tr>
          </w:tbl>
          <w:p w14:paraId="43277A9D">
            <w:pPr>
              <w:pStyle w:val="6"/>
              <w:spacing w:before="240" w:beforeLines="100"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表 1-3  项目与涉及的区域环境管控要求符合性分析</w:t>
            </w:r>
          </w:p>
          <w:tbl>
            <w:tblPr>
              <w:tblStyle w:val="2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0"/>
              <w:gridCol w:w="920"/>
              <w:gridCol w:w="702"/>
              <w:gridCol w:w="369"/>
              <w:gridCol w:w="730"/>
              <w:gridCol w:w="4042"/>
              <w:gridCol w:w="5077"/>
              <w:gridCol w:w="514"/>
            </w:tblGrid>
            <w:tr w14:paraId="2D15F5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0" w:type="dxa"/>
                  <w:tcBorders>
                    <w:tl2br w:val="nil"/>
                    <w:tr2bl w:val="nil"/>
                  </w:tcBorders>
                  <w:vAlign w:val="center"/>
                </w:tcPr>
                <w:p w14:paraId="74BB32BC">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920" w:type="dxa"/>
                  <w:tcBorders>
                    <w:tl2br w:val="nil"/>
                    <w:tr2bl w:val="nil"/>
                  </w:tcBorders>
                  <w:vAlign w:val="center"/>
                </w:tcPr>
                <w:p w14:paraId="3D7D6B2E">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涉及的管控单元编码</w:t>
                  </w:r>
                </w:p>
              </w:tc>
              <w:tc>
                <w:tcPr>
                  <w:tcW w:w="702" w:type="dxa"/>
                  <w:tcBorders>
                    <w:tl2br w:val="nil"/>
                    <w:tr2bl w:val="nil"/>
                  </w:tcBorders>
                  <w:vAlign w:val="center"/>
                </w:tcPr>
                <w:p w14:paraId="700B28AA">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区域名称</w:t>
                  </w:r>
                </w:p>
              </w:tc>
              <w:tc>
                <w:tcPr>
                  <w:tcW w:w="369" w:type="dxa"/>
                  <w:tcBorders>
                    <w:tl2br w:val="nil"/>
                    <w:tr2bl w:val="nil"/>
                  </w:tcBorders>
                  <w:vAlign w:val="center"/>
                </w:tcPr>
                <w:p w14:paraId="0637BDDC">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省份</w:t>
                  </w:r>
                </w:p>
              </w:tc>
              <w:tc>
                <w:tcPr>
                  <w:tcW w:w="730" w:type="dxa"/>
                  <w:tcBorders>
                    <w:tl2br w:val="nil"/>
                    <w:tr2bl w:val="nil"/>
                  </w:tcBorders>
                  <w:vAlign w:val="center"/>
                </w:tcPr>
                <w:p w14:paraId="7ACF791F">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管控类别</w:t>
                  </w:r>
                </w:p>
              </w:tc>
              <w:tc>
                <w:tcPr>
                  <w:tcW w:w="4042" w:type="dxa"/>
                  <w:tcBorders>
                    <w:tl2br w:val="nil"/>
                    <w:tr2bl w:val="nil"/>
                  </w:tcBorders>
                  <w:vAlign w:val="center"/>
                </w:tcPr>
                <w:p w14:paraId="4D450D35">
                  <w:pPr>
                    <w:pStyle w:val="8"/>
                    <w:spacing w:before="0" w:after="0" w:line="240" w:lineRule="auto"/>
                    <w:ind w:right="0"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管控要求</w:t>
                  </w:r>
                </w:p>
              </w:tc>
              <w:tc>
                <w:tcPr>
                  <w:tcW w:w="5077" w:type="dxa"/>
                  <w:tcBorders>
                    <w:tl2br w:val="nil"/>
                    <w:tr2bl w:val="nil"/>
                  </w:tcBorders>
                  <w:vAlign w:val="center"/>
                </w:tcPr>
                <w:p w14:paraId="770DF8EE">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本项目情况</w:t>
                  </w:r>
                </w:p>
              </w:tc>
              <w:tc>
                <w:tcPr>
                  <w:tcW w:w="514" w:type="dxa"/>
                  <w:tcBorders>
                    <w:tl2br w:val="nil"/>
                    <w:tr2bl w:val="nil"/>
                  </w:tcBorders>
                  <w:vAlign w:val="center"/>
                </w:tcPr>
                <w:p w14:paraId="197E3F55">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符合性</w:t>
                  </w:r>
                </w:p>
              </w:tc>
            </w:tr>
            <w:tr w14:paraId="5AE87E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0" w:type="dxa"/>
                  <w:vMerge w:val="restart"/>
                  <w:tcBorders>
                    <w:tl2br w:val="nil"/>
                    <w:tr2bl w:val="nil"/>
                  </w:tcBorders>
                  <w:vAlign w:val="center"/>
                </w:tcPr>
                <w:p w14:paraId="75499505">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w:t>
                  </w:r>
                </w:p>
              </w:tc>
              <w:tc>
                <w:tcPr>
                  <w:tcW w:w="920" w:type="dxa"/>
                  <w:vMerge w:val="restart"/>
                  <w:tcBorders>
                    <w:tl2br w:val="nil"/>
                    <w:tr2bl w:val="nil"/>
                  </w:tcBorders>
                  <w:vAlign w:val="center"/>
                </w:tcPr>
                <w:p w14:paraId="505C4CAC">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w:t>
                  </w:r>
                </w:p>
              </w:tc>
              <w:tc>
                <w:tcPr>
                  <w:tcW w:w="702" w:type="dxa"/>
                  <w:vMerge w:val="restart"/>
                  <w:tcBorders>
                    <w:tl2br w:val="nil"/>
                    <w:tr2bl w:val="nil"/>
                  </w:tcBorders>
                  <w:vAlign w:val="center"/>
                </w:tcPr>
                <w:p w14:paraId="468E19E8">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省域</w:t>
                  </w:r>
                </w:p>
              </w:tc>
              <w:tc>
                <w:tcPr>
                  <w:tcW w:w="369" w:type="dxa"/>
                  <w:vMerge w:val="restart"/>
                  <w:tcBorders>
                    <w:tl2br w:val="nil"/>
                    <w:tr2bl w:val="nil"/>
                  </w:tcBorders>
                  <w:vAlign w:val="center"/>
                </w:tcPr>
                <w:p w14:paraId="7C6D450D">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陕西省</w:t>
                  </w:r>
                </w:p>
              </w:tc>
              <w:tc>
                <w:tcPr>
                  <w:tcW w:w="730" w:type="dxa"/>
                  <w:tcBorders>
                    <w:tl2br w:val="nil"/>
                    <w:tr2bl w:val="nil"/>
                  </w:tcBorders>
                  <w:vAlign w:val="center"/>
                </w:tcPr>
                <w:p w14:paraId="160317B1">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空间布局约束</w:t>
                  </w:r>
                </w:p>
              </w:tc>
              <w:tc>
                <w:tcPr>
                  <w:tcW w:w="4042" w:type="dxa"/>
                  <w:tcBorders>
                    <w:tl2br w:val="nil"/>
                    <w:tr2bl w:val="nil"/>
                  </w:tcBorders>
                  <w:vAlign w:val="center"/>
                </w:tcPr>
                <w:p w14:paraId="49804ABE">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1执行《市场准入负面清单（2022年版）》《产业结构调整指导目录（2019年本）》及《国家发展改革委关于修改&lt;产业结构调整指导目录（2019年本）&gt;的决定》。</w:t>
                  </w:r>
                </w:p>
                <w:p w14:paraId="5C351F1F">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2严把“两高"项目环境准入关。坚决遏制高耗能、高排放项目盲目发展。</w:t>
                  </w:r>
                </w:p>
              </w:tc>
              <w:tc>
                <w:tcPr>
                  <w:tcW w:w="5077" w:type="dxa"/>
                  <w:tcBorders>
                    <w:tl2br w:val="nil"/>
                    <w:tr2bl w:val="nil"/>
                  </w:tcBorders>
                  <w:vAlign w:val="center"/>
                </w:tcPr>
                <w:p w14:paraId="2A41CCD2">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根据《产业结构调整指导目录（2024年本）》，本项目不属于其中的鼓励类、限制类、淘汰类项目，视为允许类。根据《市场准入负面清单》（2022年版）（发改体改规[2022]397号）相关要求，本项目不属于禁止准入类和许可准入类项目。</w:t>
                  </w:r>
                </w:p>
                <w:p w14:paraId="1D5E7C2F">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2.本项目所属行业为泡沫塑料制造，不属于高耗能、高排放项目。</w:t>
                  </w:r>
                </w:p>
              </w:tc>
              <w:tc>
                <w:tcPr>
                  <w:tcW w:w="514" w:type="dxa"/>
                  <w:tcBorders>
                    <w:tl2br w:val="nil"/>
                    <w:tr2bl w:val="nil"/>
                  </w:tcBorders>
                  <w:vAlign w:val="center"/>
                </w:tcPr>
                <w:p w14:paraId="34DABD2A">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符合</w:t>
                  </w:r>
                </w:p>
              </w:tc>
            </w:tr>
            <w:tr w14:paraId="6200F6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0" w:type="dxa"/>
                  <w:vMerge w:val="continue"/>
                  <w:tcBorders>
                    <w:tl2br w:val="nil"/>
                    <w:tr2bl w:val="nil"/>
                  </w:tcBorders>
                  <w:vAlign w:val="center"/>
                </w:tcPr>
                <w:p w14:paraId="6499A74B">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p>
              </w:tc>
              <w:tc>
                <w:tcPr>
                  <w:tcW w:w="920" w:type="dxa"/>
                  <w:vMerge w:val="continue"/>
                  <w:tcBorders>
                    <w:tl2br w:val="nil"/>
                    <w:tr2bl w:val="nil"/>
                  </w:tcBorders>
                  <w:vAlign w:val="center"/>
                </w:tcPr>
                <w:p w14:paraId="112C7656">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p>
              </w:tc>
              <w:tc>
                <w:tcPr>
                  <w:tcW w:w="702" w:type="dxa"/>
                  <w:vMerge w:val="continue"/>
                  <w:tcBorders>
                    <w:tl2br w:val="nil"/>
                    <w:tr2bl w:val="nil"/>
                  </w:tcBorders>
                  <w:vAlign w:val="center"/>
                </w:tcPr>
                <w:p w14:paraId="3663EEE9">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p>
              </w:tc>
              <w:tc>
                <w:tcPr>
                  <w:tcW w:w="369" w:type="dxa"/>
                  <w:vMerge w:val="continue"/>
                  <w:tcBorders>
                    <w:tl2br w:val="nil"/>
                    <w:tr2bl w:val="nil"/>
                  </w:tcBorders>
                  <w:vAlign w:val="center"/>
                </w:tcPr>
                <w:p w14:paraId="1A544D28">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p>
              </w:tc>
              <w:tc>
                <w:tcPr>
                  <w:tcW w:w="730" w:type="dxa"/>
                  <w:tcBorders>
                    <w:tl2br w:val="nil"/>
                    <w:tr2bl w:val="nil"/>
                  </w:tcBorders>
                  <w:vAlign w:val="center"/>
                </w:tcPr>
                <w:p w14:paraId="61ECBD98">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环境风险防控</w:t>
                  </w:r>
                </w:p>
              </w:tc>
              <w:tc>
                <w:tcPr>
                  <w:tcW w:w="4042" w:type="dxa"/>
                  <w:tcBorders>
                    <w:tl2br w:val="nil"/>
                    <w:tr2bl w:val="nil"/>
                  </w:tcBorders>
                  <w:vAlign w:val="center"/>
                </w:tcPr>
                <w:p w14:paraId="7410DB8B">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将环境风险纳入常态化管理，推进危险废物、重金属及尾矿环境、核与辐射等重点领域环境风险防控，加强新污染物治理，健全环境应急体系，推动环境风险防控由应急管理向全过程管理转变，提升生态环境安全保障水平。</w:t>
                  </w:r>
                </w:p>
              </w:tc>
              <w:tc>
                <w:tcPr>
                  <w:tcW w:w="5077" w:type="dxa"/>
                  <w:tcBorders>
                    <w:tl2br w:val="nil"/>
                    <w:tr2bl w:val="nil"/>
                  </w:tcBorders>
                  <w:vAlign w:val="center"/>
                </w:tcPr>
                <w:p w14:paraId="2BA772AB">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1.本项目产生的危险废物暂存于符合要求的危废贮存库暂存，定期委托有危废处置资质的单位回收处置；本项目建成后要求企业加强环境风险防控，严格落实风险防范措施，按要求编写突发环境事件应急预案。</w:t>
                  </w:r>
                </w:p>
              </w:tc>
              <w:tc>
                <w:tcPr>
                  <w:tcW w:w="514" w:type="dxa"/>
                  <w:tcBorders>
                    <w:tl2br w:val="nil"/>
                    <w:tr2bl w:val="nil"/>
                  </w:tcBorders>
                  <w:vAlign w:val="center"/>
                </w:tcPr>
                <w:p w14:paraId="1312197C">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符合</w:t>
                  </w:r>
                </w:p>
              </w:tc>
            </w:tr>
            <w:tr w14:paraId="2E3924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0" w:type="dxa"/>
                  <w:vMerge w:val="continue"/>
                  <w:tcBorders>
                    <w:tl2br w:val="nil"/>
                    <w:tr2bl w:val="nil"/>
                  </w:tcBorders>
                  <w:vAlign w:val="center"/>
                </w:tcPr>
                <w:p w14:paraId="1A12870D">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p>
              </w:tc>
              <w:tc>
                <w:tcPr>
                  <w:tcW w:w="920" w:type="dxa"/>
                  <w:vMerge w:val="continue"/>
                  <w:tcBorders>
                    <w:tl2br w:val="nil"/>
                    <w:tr2bl w:val="nil"/>
                  </w:tcBorders>
                  <w:vAlign w:val="center"/>
                </w:tcPr>
                <w:p w14:paraId="619E9995">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p>
              </w:tc>
              <w:tc>
                <w:tcPr>
                  <w:tcW w:w="702" w:type="dxa"/>
                  <w:vMerge w:val="continue"/>
                  <w:tcBorders>
                    <w:tl2br w:val="nil"/>
                    <w:tr2bl w:val="nil"/>
                  </w:tcBorders>
                  <w:vAlign w:val="center"/>
                </w:tcPr>
                <w:p w14:paraId="40C59A7B">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p>
              </w:tc>
              <w:tc>
                <w:tcPr>
                  <w:tcW w:w="369" w:type="dxa"/>
                  <w:vMerge w:val="continue"/>
                  <w:tcBorders>
                    <w:tl2br w:val="nil"/>
                    <w:tr2bl w:val="nil"/>
                  </w:tcBorders>
                  <w:vAlign w:val="center"/>
                </w:tcPr>
                <w:p w14:paraId="0FD32E6E">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p>
              </w:tc>
              <w:tc>
                <w:tcPr>
                  <w:tcW w:w="730" w:type="dxa"/>
                  <w:tcBorders>
                    <w:tl2br w:val="nil"/>
                    <w:tr2bl w:val="nil"/>
                  </w:tcBorders>
                  <w:vAlign w:val="center"/>
                </w:tcPr>
                <w:p w14:paraId="561044A4">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资源开发效率要求</w:t>
                  </w:r>
                </w:p>
              </w:tc>
              <w:tc>
                <w:tcPr>
                  <w:tcW w:w="4042" w:type="dxa"/>
                  <w:tcBorders>
                    <w:tl2br w:val="nil"/>
                    <w:tr2bl w:val="nil"/>
                  </w:tcBorders>
                  <w:vAlign w:val="center"/>
                </w:tcPr>
                <w:p w14:paraId="35A4719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1稳妥有序推进大气污染防治重点区域燃料类煤气发生炉、燃煤热风炉、加热炉、热处理炉、干燥炉（窑）以及建材行业煤炭减量，实施清洁电力和天然气替代。</w:t>
                  </w:r>
                </w:p>
              </w:tc>
              <w:tc>
                <w:tcPr>
                  <w:tcW w:w="5077" w:type="dxa"/>
                  <w:tcBorders>
                    <w:tl2br w:val="nil"/>
                    <w:tr2bl w:val="nil"/>
                  </w:tcBorders>
                  <w:vAlign w:val="center"/>
                </w:tcPr>
                <w:p w14:paraId="62718420">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1.本项目不涉及燃料类锅炉，厨房使用燃料为甲醇，为清洁能源。</w:t>
                  </w:r>
                </w:p>
              </w:tc>
              <w:tc>
                <w:tcPr>
                  <w:tcW w:w="514" w:type="dxa"/>
                  <w:tcBorders>
                    <w:tl2br w:val="nil"/>
                    <w:tr2bl w:val="nil"/>
                  </w:tcBorders>
                  <w:vAlign w:val="center"/>
                </w:tcPr>
                <w:p w14:paraId="552A6124">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符合</w:t>
                  </w:r>
                </w:p>
              </w:tc>
            </w:tr>
          </w:tbl>
          <w:p w14:paraId="2B28E629">
            <w:pPr>
              <w:pStyle w:val="6"/>
              <w:ind w:firstLine="482"/>
              <w:rPr>
                <w:rFonts w:hint="default" w:ascii="Times New Roman" w:hAnsi="Times New Roman" w:cs="Times New Roman"/>
                <w:b/>
                <w:bCs/>
                <w:color w:val="auto"/>
              </w:rPr>
            </w:pPr>
          </w:p>
        </w:tc>
      </w:tr>
    </w:tbl>
    <w:p w14:paraId="1068FA70">
      <w:pPr>
        <w:pStyle w:val="6"/>
        <w:ind w:firstLine="480"/>
        <w:rPr>
          <w:rFonts w:hint="default" w:ascii="Times New Roman" w:hAnsi="Times New Roman" w:cs="Times New Roman"/>
          <w:color w:val="auto"/>
        </w:rPr>
        <w:sectPr>
          <w:pgSz w:w="16838" w:h="11906" w:orient="landscape"/>
          <w:pgMar w:top="1531" w:right="1701" w:bottom="1531" w:left="1701" w:header="851" w:footer="1077" w:gutter="0"/>
          <w:cols w:space="720" w:num="1"/>
          <w:docGrid w:linePitch="312" w:charSpace="0"/>
        </w:sectPr>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8605"/>
      </w:tblGrid>
      <w:tr w14:paraId="22881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 w:type="pct"/>
            <w:vAlign w:val="center"/>
          </w:tcPr>
          <w:p w14:paraId="69A1E1A8">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其他符合性分析</w:t>
            </w:r>
          </w:p>
        </w:tc>
        <w:tc>
          <w:tcPr>
            <w:tcW w:w="4748" w:type="pct"/>
          </w:tcPr>
          <w:p w14:paraId="3F948A96">
            <w:pPr>
              <w:ind w:firstLine="480"/>
              <w:rPr>
                <w:rFonts w:hint="default" w:ascii="Times New Roman" w:hAnsi="Times New Roman" w:cs="Times New Roman"/>
                <w:color w:val="auto"/>
              </w:rPr>
            </w:pPr>
            <w:r>
              <w:rPr>
                <w:rFonts w:hint="default" w:ascii="Times New Roman" w:hAnsi="Times New Roman" w:cs="Times New Roman"/>
                <w:color w:val="auto"/>
              </w:rPr>
              <w:t>③一说明</w:t>
            </w:r>
          </w:p>
          <w:p w14:paraId="612BC5B0">
            <w:pPr>
              <w:widowControl/>
              <w:ind w:firstLine="488"/>
              <w:rPr>
                <w:rFonts w:hint="default" w:ascii="Times New Roman" w:hAnsi="Times New Roman" w:cs="Times New Roman"/>
                <w:color w:val="auto"/>
                <w:spacing w:val="2"/>
              </w:rPr>
            </w:pPr>
            <w:r>
              <w:rPr>
                <w:rFonts w:hint="default" w:ascii="Times New Roman" w:hAnsi="Times New Roman" w:cs="Times New Roman"/>
                <w:color w:val="auto"/>
                <w:spacing w:val="2"/>
              </w:rPr>
              <w:t>本项目位于陕西省西咸新区沣东新城斗门街办沣惠渠南岸15号，</w:t>
            </w:r>
            <w:r>
              <w:rPr>
                <w:rFonts w:hint="default" w:ascii="Times New Roman" w:hAnsi="Times New Roman" w:cs="Times New Roman"/>
                <w:color w:val="auto"/>
              </w:rPr>
              <w:t>属于陕西省生态环境管控单元分布图中的重点管控单元，经分析：本项目满足重点管控单元在空间布局约束、污染物排放管控、资源利用效率等管控要求。综上表所述，本项</w:t>
            </w:r>
            <w:r>
              <w:rPr>
                <w:rFonts w:hint="default" w:ascii="Times New Roman" w:hAnsi="Times New Roman" w:cs="Times New Roman"/>
                <w:color w:val="auto"/>
                <w:spacing w:val="2"/>
              </w:rPr>
              <w:t>目符合陕西省“三线一单”生态环境分区管控要求。</w:t>
            </w:r>
          </w:p>
          <w:p w14:paraId="2C5D4A89">
            <w:pPr>
              <w:ind w:firstLine="482"/>
              <w:jc w:val="left"/>
              <w:rPr>
                <w:rFonts w:hint="default" w:ascii="Times New Roman" w:hAnsi="Times New Roman" w:cs="Times New Roman"/>
                <w:b/>
                <w:bCs/>
                <w:color w:val="auto"/>
              </w:rPr>
            </w:pPr>
            <w:r>
              <w:rPr>
                <w:rFonts w:hint="default" w:ascii="Times New Roman" w:hAnsi="Times New Roman" w:cs="Times New Roman"/>
                <w:b/>
                <w:bCs/>
                <w:color w:val="auto"/>
              </w:rPr>
              <w:t>2、相关环保政策符合性分析</w:t>
            </w:r>
          </w:p>
          <w:p w14:paraId="3E74EC78">
            <w:pPr>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表1-4  与相关环保政策符合性分析</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05"/>
              <w:gridCol w:w="3693"/>
              <w:gridCol w:w="2247"/>
              <w:gridCol w:w="444"/>
            </w:tblGrid>
            <w:tr w14:paraId="5C3CB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tcBorders>
                    <w:tl2br w:val="nil"/>
                    <w:tr2bl w:val="nil"/>
                  </w:tcBorders>
                  <w:vAlign w:val="center"/>
                </w:tcPr>
                <w:p w14:paraId="2A2F502A">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政策文件名称</w:t>
                  </w:r>
                </w:p>
              </w:tc>
              <w:tc>
                <w:tcPr>
                  <w:tcW w:w="2201" w:type="pct"/>
                  <w:tcBorders>
                    <w:tl2br w:val="nil"/>
                    <w:tr2bl w:val="nil"/>
                  </w:tcBorders>
                  <w:vAlign w:val="center"/>
                </w:tcPr>
                <w:p w14:paraId="0B466388">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具体要求</w:t>
                  </w:r>
                </w:p>
              </w:tc>
              <w:tc>
                <w:tcPr>
                  <w:tcW w:w="1339" w:type="pct"/>
                  <w:tcBorders>
                    <w:tl2br w:val="nil"/>
                    <w:tr2bl w:val="nil"/>
                  </w:tcBorders>
                  <w:vAlign w:val="center"/>
                </w:tcPr>
                <w:p w14:paraId="704CE8DC">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本项目情况</w:t>
                  </w:r>
                </w:p>
              </w:tc>
              <w:tc>
                <w:tcPr>
                  <w:tcW w:w="264" w:type="pct"/>
                  <w:tcBorders>
                    <w:tl2br w:val="nil"/>
                    <w:tr2bl w:val="nil"/>
                  </w:tcBorders>
                  <w:vAlign w:val="center"/>
                </w:tcPr>
                <w:p w14:paraId="737013FD">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符合性</w:t>
                  </w:r>
                </w:p>
              </w:tc>
            </w:tr>
            <w:tr w14:paraId="023F7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tcBorders>
                    <w:tl2br w:val="nil"/>
                    <w:tr2bl w:val="nil"/>
                  </w:tcBorders>
                  <w:vAlign w:val="center"/>
                </w:tcPr>
                <w:p w14:paraId="6C86D289">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《关于进一步加强重点地区涉VOCs项目环境影响评价管理工作的通知》（陕[2020]61号）</w:t>
                  </w:r>
                </w:p>
              </w:tc>
              <w:tc>
                <w:tcPr>
                  <w:tcW w:w="2201" w:type="pct"/>
                  <w:tcBorders>
                    <w:tl2br w:val="nil"/>
                    <w:tr2bl w:val="nil"/>
                  </w:tcBorders>
                  <w:vAlign w:val="center"/>
                </w:tcPr>
                <w:p w14:paraId="4A6E6DD0">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一、重点地区范围包括西安市、宝鸡市、咸阳市、铜川市、渭南市（含韩城市）、杨凌示范区，西咸新区全域。</w:t>
                  </w:r>
                </w:p>
                <w:p w14:paraId="70C6AEF7">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二、严格涉VOCs建设项目环境影响评价，涉VOCs建设项目特别是石化、化工、包装印刷、工业涂装等新增VOCs排放量的建设项目，环评文件应明确VOCs污染防治设施措施并预测排放量，按照国家和我省具体规定实行区域内VOCs排放等量或倍量消减替代。</w:t>
                  </w:r>
                </w:p>
              </w:tc>
              <w:tc>
                <w:tcPr>
                  <w:tcW w:w="1339" w:type="pct"/>
                  <w:tcBorders>
                    <w:tl2br w:val="nil"/>
                    <w:tr2bl w:val="nil"/>
                  </w:tcBorders>
                  <w:vAlign w:val="center"/>
                </w:tcPr>
                <w:p w14:paraId="76BCDA29">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本项目位于陕西省西咸新区沣东新城斗门街办沣惠渠南岸15号，属于重点地区；本项目行业类别为泡沫塑料制造，不属于上述所列石化、化工、包装印刷、工业涂装项目。</w:t>
                  </w:r>
                </w:p>
              </w:tc>
              <w:tc>
                <w:tcPr>
                  <w:tcW w:w="264" w:type="pct"/>
                  <w:tcBorders>
                    <w:tl2br w:val="nil"/>
                    <w:tr2bl w:val="nil"/>
                  </w:tcBorders>
                  <w:vAlign w:val="center"/>
                </w:tcPr>
                <w:p w14:paraId="67C413B8">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1C49E7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vAlign w:val="center"/>
                </w:tcPr>
                <w:p w14:paraId="72B0197D">
                  <w:pPr>
                    <w:widowControl/>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eastAsia="宋体" w:cs="Times New Roman"/>
                      <w:bCs/>
                      <w:color w:val="auto"/>
                      <w:kern w:val="0"/>
                      <w:sz w:val="21"/>
                      <w:szCs w:val="21"/>
                      <w:lang w:val="en-US" w:eastAsia="zh-CN" w:bidi="ar"/>
                    </w:rPr>
                    <w:t>《挥发性有机物无组织排放控制标准》（GB37822-2019）</w:t>
                  </w:r>
                </w:p>
              </w:tc>
              <w:tc>
                <w:tcPr>
                  <w:tcW w:w="2201" w:type="pct"/>
                  <w:tcBorders>
                    <w:tl2br w:val="nil"/>
                    <w:tr2bl w:val="nil"/>
                  </w:tcBorders>
                  <w:vAlign w:val="center"/>
                </w:tcPr>
                <w:p w14:paraId="1B99BE70">
                  <w:pPr>
                    <w:widowControl/>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eastAsia="宋体" w:cs="Times New Roman"/>
                      <w:bCs/>
                      <w:color w:val="auto"/>
                      <w:kern w:val="0"/>
                      <w:sz w:val="21"/>
                      <w:szCs w:val="21"/>
                      <w:lang w:val="en-US" w:eastAsia="zh-CN" w:bidi="ar"/>
                    </w:rPr>
                    <w:t>粉状、粒状</w:t>
                  </w:r>
                  <w:r>
                    <w:rPr>
                      <w:rFonts w:hint="default" w:ascii="Times New Roman" w:hAnsi="Times New Roman" w:eastAsia="宋体" w:cs="Times New Roman"/>
                      <w:bCs/>
                      <w:color w:val="auto"/>
                      <w:kern w:val="0"/>
                      <w:sz w:val="21"/>
                      <w:szCs w:val="21"/>
                      <w:lang w:val="en-US" w:eastAsia="zh-CN" w:bidi="ar"/>
                    </w:rPr>
                    <w:t>VOCs</w:t>
                  </w:r>
                  <w:r>
                    <w:rPr>
                      <w:rFonts w:hint="default" w:ascii="Times New Roman" w:hAnsi="Times New Roman" w:eastAsia="宋体" w:cs="Times New Roman"/>
                      <w:bCs/>
                      <w:color w:val="auto"/>
                      <w:kern w:val="0"/>
                      <w:sz w:val="21"/>
                      <w:szCs w:val="21"/>
                      <w:lang w:val="en-US" w:eastAsia="zh-CN" w:bidi="ar"/>
                    </w:rPr>
                    <w:t>物料应采用气力输送方式或采用密闭固体投料器等给料方式密闭投加。无法密闭投加的，应在密闭空间内操作，或进行局部气体收集，废气应排至除尘设施、</w:t>
                  </w:r>
                  <w:r>
                    <w:rPr>
                      <w:rFonts w:hint="default" w:ascii="Times New Roman" w:hAnsi="Times New Roman" w:eastAsia="宋体" w:cs="Times New Roman"/>
                      <w:bCs/>
                      <w:color w:val="auto"/>
                      <w:kern w:val="0"/>
                      <w:sz w:val="21"/>
                      <w:szCs w:val="21"/>
                      <w:lang w:val="en-US" w:eastAsia="zh-CN" w:bidi="ar"/>
                    </w:rPr>
                    <w:t>VOCs</w:t>
                  </w:r>
                  <w:r>
                    <w:rPr>
                      <w:rFonts w:hint="default" w:ascii="Times New Roman" w:hAnsi="Times New Roman" w:eastAsia="宋体" w:cs="Times New Roman"/>
                      <w:bCs/>
                      <w:color w:val="auto"/>
                      <w:kern w:val="0"/>
                      <w:sz w:val="21"/>
                      <w:szCs w:val="21"/>
                      <w:lang w:val="en-US" w:eastAsia="zh-CN" w:bidi="ar"/>
                    </w:rPr>
                    <w:t>废气收集处理系统。</w:t>
                  </w:r>
                </w:p>
              </w:tc>
              <w:tc>
                <w:tcPr>
                  <w:tcW w:w="1339" w:type="pct"/>
                  <w:tcBorders>
                    <w:tl2br w:val="nil"/>
                    <w:tr2bl w:val="nil"/>
                  </w:tcBorders>
                  <w:vAlign w:val="center"/>
                </w:tcPr>
                <w:p w14:paraId="753A223A">
                  <w:pPr>
                    <w:widowControl/>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eastAsia="宋体" w:cs="Times New Roman"/>
                      <w:bCs/>
                      <w:color w:val="auto"/>
                      <w:kern w:val="0"/>
                      <w:sz w:val="21"/>
                      <w:szCs w:val="21"/>
                      <w:lang w:val="en-US" w:eastAsia="zh-CN" w:bidi="ar"/>
                    </w:rPr>
                    <w:t>本项目含VOCs物料主要为聚乙烯颗粒（LDPE）、热熔胶，均在密闭厂房储存</w:t>
                  </w:r>
                  <w:r>
                    <w:rPr>
                      <w:rFonts w:hint="default" w:ascii="Times New Roman" w:hAnsi="Times New Roman" w:eastAsia="宋体" w:cs="Times New Roman"/>
                      <w:bCs/>
                      <w:color w:val="auto"/>
                      <w:kern w:val="0"/>
                      <w:sz w:val="21"/>
                      <w:szCs w:val="21"/>
                      <w:lang w:val="en-US" w:eastAsia="zh-CN" w:bidi="ar"/>
                    </w:rPr>
                    <w:t>，</w:t>
                  </w:r>
                  <w:r>
                    <w:rPr>
                      <w:rFonts w:hint="default" w:ascii="Times New Roman" w:hAnsi="Times New Roman" w:eastAsia="宋体" w:cs="Times New Roman"/>
                      <w:bCs/>
                      <w:color w:val="auto"/>
                      <w:kern w:val="0"/>
                      <w:sz w:val="21"/>
                      <w:szCs w:val="21"/>
                      <w:lang w:val="en-US" w:eastAsia="zh-CN" w:bidi="ar"/>
                    </w:rPr>
                    <w:t>聚乙烯颗粒上料过程为密闭负压抽吸上料，</w:t>
                  </w:r>
                  <w:r>
                    <w:rPr>
                      <w:rFonts w:hint="default" w:ascii="Times New Roman" w:hAnsi="Times New Roman" w:eastAsia="宋体" w:cs="Times New Roman"/>
                      <w:bCs/>
                      <w:color w:val="auto"/>
                      <w:kern w:val="0"/>
                      <w:sz w:val="21"/>
                      <w:szCs w:val="21"/>
                      <w:lang w:val="en-US" w:eastAsia="zh-CN" w:bidi="ar"/>
                    </w:rPr>
                    <w:t>生产设备均位于密闭厂房内</w:t>
                  </w:r>
                </w:p>
              </w:tc>
              <w:tc>
                <w:tcPr>
                  <w:tcW w:w="264" w:type="pct"/>
                  <w:tcBorders>
                    <w:tl2br w:val="nil"/>
                    <w:tr2bl w:val="nil"/>
                  </w:tcBorders>
                  <w:vAlign w:val="center"/>
                </w:tcPr>
                <w:p w14:paraId="7A767E47">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5891B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vAlign w:val="center"/>
                </w:tcPr>
                <w:p w14:paraId="19564BDA">
                  <w:pPr>
                    <w:widowControl/>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p>
              </w:tc>
              <w:tc>
                <w:tcPr>
                  <w:tcW w:w="2201" w:type="pct"/>
                  <w:tcBorders>
                    <w:tl2br w:val="nil"/>
                    <w:tr2bl w:val="nil"/>
                  </w:tcBorders>
                  <w:vAlign w:val="center"/>
                </w:tcPr>
                <w:p w14:paraId="2E919824">
                  <w:pPr>
                    <w:widowControl/>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eastAsia="宋体" w:cs="Times New Roman"/>
                      <w:bCs/>
                      <w:color w:val="auto"/>
                      <w:kern w:val="0"/>
                      <w:sz w:val="21"/>
                      <w:szCs w:val="21"/>
                      <w:lang w:val="en-US" w:eastAsia="zh-CN" w:bidi="ar"/>
                    </w:rPr>
                    <w:t>VOCs</w:t>
                  </w:r>
                  <w:r>
                    <w:rPr>
                      <w:rFonts w:hint="default" w:ascii="Times New Roman" w:hAnsi="Times New Roman" w:eastAsia="宋体" w:cs="Times New Roman"/>
                      <w:bCs/>
                      <w:color w:val="auto"/>
                      <w:kern w:val="0"/>
                      <w:sz w:val="21"/>
                      <w:szCs w:val="21"/>
                      <w:lang w:val="en-US" w:eastAsia="zh-CN" w:bidi="ar"/>
                    </w:rPr>
                    <w:t>物料混合、搅拌、研磨、造粒、切片、压块等配料加工过程，以及含</w:t>
                  </w:r>
                  <w:r>
                    <w:rPr>
                      <w:rFonts w:hint="default" w:ascii="Times New Roman" w:hAnsi="Times New Roman" w:eastAsia="宋体" w:cs="Times New Roman"/>
                      <w:bCs/>
                      <w:color w:val="auto"/>
                      <w:kern w:val="0"/>
                      <w:sz w:val="21"/>
                      <w:szCs w:val="21"/>
                      <w:lang w:val="en-US" w:eastAsia="zh-CN" w:bidi="ar"/>
                    </w:rPr>
                    <w:t>VOCs</w:t>
                  </w:r>
                  <w:r>
                    <w:rPr>
                      <w:rFonts w:hint="default" w:ascii="Times New Roman" w:hAnsi="Times New Roman" w:eastAsia="宋体" w:cs="Times New Roman"/>
                      <w:bCs/>
                      <w:color w:val="auto"/>
                      <w:kern w:val="0"/>
                      <w:sz w:val="21"/>
                      <w:szCs w:val="21"/>
                      <w:lang w:val="en-US" w:eastAsia="zh-CN" w:bidi="ar"/>
                    </w:rPr>
                    <w:t>产品的包装（灌装、分装）过程应采用密闭设备或在密闭空间内操作，废气应排至</w:t>
                  </w:r>
                  <w:r>
                    <w:rPr>
                      <w:rFonts w:hint="default" w:ascii="Times New Roman" w:hAnsi="Times New Roman" w:eastAsia="宋体" w:cs="Times New Roman"/>
                      <w:bCs/>
                      <w:color w:val="auto"/>
                      <w:kern w:val="0"/>
                      <w:sz w:val="21"/>
                      <w:szCs w:val="21"/>
                      <w:lang w:val="en-US" w:eastAsia="zh-CN" w:bidi="ar"/>
                    </w:rPr>
                    <w:t>VOCs</w:t>
                  </w:r>
                  <w:r>
                    <w:rPr>
                      <w:rFonts w:hint="default" w:ascii="Times New Roman" w:hAnsi="Times New Roman" w:eastAsia="宋体" w:cs="Times New Roman"/>
                      <w:bCs/>
                      <w:color w:val="auto"/>
                      <w:kern w:val="0"/>
                      <w:sz w:val="21"/>
                      <w:szCs w:val="21"/>
                      <w:lang w:val="en-US" w:eastAsia="zh-CN" w:bidi="ar"/>
                    </w:rPr>
                    <w:t>废气收集处理系统；无法密闭的，应采取局部气体收集措施，废气应排至</w:t>
                  </w:r>
                  <w:r>
                    <w:rPr>
                      <w:rFonts w:hint="default" w:ascii="Times New Roman" w:hAnsi="Times New Roman" w:eastAsia="宋体" w:cs="Times New Roman"/>
                      <w:bCs/>
                      <w:color w:val="auto"/>
                      <w:kern w:val="0"/>
                      <w:sz w:val="21"/>
                      <w:szCs w:val="21"/>
                      <w:lang w:val="en-US" w:eastAsia="zh-CN" w:bidi="ar"/>
                    </w:rPr>
                    <w:t>VOCs</w:t>
                  </w:r>
                  <w:r>
                    <w:rPr>
                      <w:rFonts w:hint="default" w:ascii="Times New Roman" w:hAnsi="Times New Roman" w:eastAsia="宋体" w:cs="Times New Roman"/>
                      <w:bCs/>
                      <w:color w:val="auto"/>
                      <w:kern w:val="0"/>
                      <w:sz w:val="21"/>
                      <w:szCs w:val="21"/>
                      <w:lang w:val="en-US" w:eastAsia="zh-CN" w:bidi="ar"/>
                    </w:rPr>
                    <w:t>废气收集处理系统。</w:t>
                  </w:r>
                </w:p>
              </w:tc>
              <w:tc>
                <w:tcPr>
                  <w:tcW w:w="1339" w:type="pct"/>
                  <w:vMerge w:val="restart"/>
                  <w:tcBorders>
                    <w:tl2br w:val="nil"/>
                    <w:tr2bl w:val="nil"/>
                  </w:tcBorders>
                  <w:vAlign w:val="center"/>
                </w:tcPr>
                <w:p w14:paraId="44401B21">
                  <w:pPr>
                    <w:widowControl/>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eastAsia="宋体" w:cs="Times New Roman"/>
                      <w:bCs/>
                      <w:color w:val="auto"/>
                      <w:kern w:val="0"/>
                      <w:sz w:val="21"/>
                      <w:szCs w:val="21"/>
                      <w:lang w:val="en-US" w:eastAsia="zh-CN" w:bidi="ar"/>
                    </w:rPr>
                    <w:t>本项目生产设备均位于密闭厂房内，生产过程中产生的有机废气</w:t>
                  </w:r>
                  <w:r>
                    <w:rPr>
                      <w:rFonts w:hint="default" w:ascii="Times New Roman" w:hAnsi="Times New Roman" w:cs="Times New Roman"/>
                      <w:bCs/>
                      <w:color w:val="auto"/>
                      <w:kern w:val="0"/>
                      <w:sz w:val="21"/>
                      <w:szCs w:val="21"/>
                      <w:lang w:bidi="ar"/>
                    </w:rPr>
                    <w:t>采用二级活性炭吸附装置处理</w:t>
                  </w:r>
                  <w:r>
                    <w:rPr>
                      <w:rFonts w:hint="default" w:ascii="Times New Roman" w:hAnsi="Times New Roman" w:cs="Times New Roman"/>
                      <w:bCs/>
                      <w:color w:val="auto"/>
                      <w:kern w:val="0"/>
                      <w:sz w:val="21"/>
                      <w:szCs w:val="21"/>
                      <w:lang w:val="en-US" w:eastAsia="zh-CN" w:bidi="ar"/>
                    </w:rPr>
                    <w:t>后达标排放</w:t>
                  </w:r>
                </w:p>
              </w:tc>
              <w:tc>
                <w:tcPr>
                  <w:tcW w:w="264" w:type="pct"/>
                  <w:tcBorders>
                    <w:tl2br w:val="nil"/>
                    <w:tr2bl w:val="nil"/>
                  </w:tcBorders>
                  <w:vAlign w:val="center"/>
                </w:tcPr>
                <w:p w14:paraId="03AC8984">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2262CB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vAlign w:val="center"/>
                </w:tcPr>
                <w:p w14:paraId="2C21E3DF">
                  <w:pPr>
                    <w:widowControl/>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p>
              </w:tc>
              <w:tc>
                <w:tcPr>
                  <w:tcW w:w="2201" w:type="pct"/>
                  <w:tcBorders>
                    <w:tl2br w:val="nil"/>
                    <w:tr2bl w:val="nil"/>
                  </w:tcBorders>
                  <w:vAlign w:val="center"/>
                </w:tcPr>
                <w:p w14:paraId="5E4D53FD">
                  <w:pPr>
                    <w:widowControl/>
                    <w:spacing w:line="240" w:lineRule="auto"/>
                    <w:ind w:firstLine="0" w:firstLineChars="0"/>
                    <w:textAlignment w:val="center"/>
                    <w:rPr>
                      <w:rFonts w:hint="default" w:ascii="Times New Roman" w:hAnsi="Times New Roman" w:eastAsia="宋体" w:cs="Times New Roman"/>
                      <w:bCs/>
                      <w:color w:val="auto"/>
                      <w:kern w:val="0"/>
                      <w:sz w:val="21"/>
                      <w:szCs w:val="21"/>
                      <w:lang w:bidi="ar"/>
                    </w:rPr>
                  </w:pPr>
                  <w:r>
                    <w:rPr>
                      <w:rFonts w:hint="default" w:ascii="Times New Roman" w:hAnsi="Times New Roman" w:eastAsia="宋体" w:cs="Times New Roman"/>
                      <w:bCs/>
                      <w:color w:val="auto"/>
                      <w:kern w:val="0"/>
                      <w:sz w:val="21"/>
                      <w:szCs w:val="21"/>
                      <w:lang w:val="en-US" w:eastAsia="zh-CN" w:bidi="ar"/>
                    </w:rPr>
                    <w:t>有机聚合物产品用于制品生产的过程，在混合</w:t>
                  </w:r>
                  <w:r>
                    <w:rPr>
                      <w:rFonts w:hint="default" w:ascii="Times New Roman" w:hAnsi="Times New Roman" w:eastAsia="宋体" w:cs="Times New Roman"/>
                      <w:bCs/>
                      <w:color w:val="auto"/>
                      <w:kern w:val="0"/>
                      <w:sz w:val="21"/>
                      <w:szCs w:val="21"/>
                      <w:lang w:val="en-US" w:eastAsia="zh-CN" w:bidi="ar"/>
                    </w:rPr>
                    <w:t>/</w:t>
                  </w:r>
                  <w:r>
                    <w:rPr>
                      <w:rFonts w:hint="default" w:ascii="Times New Roman" w:hAnsi="Times New Roman" w:eastAsia="宋体" w:cs="Times New Roman"/>
                      <w:bCs/>
                      <w:color w:val="auto"/>
                      <w:kern w:val="0"/>
                      <w:sz w:val="21"/>
                      <w:szCs w:val="21"/>
                      <w:lang w:val="en-US" w:eastAsia="zh-CN" w:bidi="ar"/>
                    </w:rPr>
                    <w:t>混炼、塑炼</w:t>
                  </w:r>
                  <w:r>
                    <w:rPr>
                      <w:rFonts w:hint="default" w:ascii="Times New Roman" w:hAnsi="Times New Roman" w:eastAsia="宋体" w:cs="Times New Roman"/>
                      <w:bCs/>
                      <w:color w:val="auto"/>
                      <w:kern w:val="0"/>
                      <w:sz w:val="21"/>
                      <w:szCs w:val="21"/>
                      <w:lang w:val="en-US" w:eastAsia="zh-CN" w:bidi="ar"/>
                    </w:rPr>
                    <w:t>/</w:t>
                  </w:r>
                  <w:r>
                    <w:rPr>
                      <w:rFonts w:hint="default" w:ascii="Times New Roman" w:hAnsi="Times New Roman" w:eastAsia="宋体" w:cs="Times New Roman"/>
                      <w:bCs/>
                      <w:color w:val="auto"/>
                      <w:kern w:val="0"/>
                      <w:sz w:val="21"/>
                      <w:szCs w:val="21"/>
                      <w:lang w:val="en-US" w:eastAsia="zh-CN" w:bidi="ar"/>
                    </w:rPr>
                    <w:t>塑化</w:t>
                  </w:r>
                  <w:r>
                    <w:rPr>
                      <w:rFonts w:hint="default" w:ascii="Times New Roman" w:hAnsi="Times New Roman" w:eastAsia="宋体" w:cs="Times New Roman"/>
                      <w:bCs/>
                      <w:color w:val="auto"/>
                      <w:kern w:val="0"/>
                      <w:sz w:val="21"/>
                      <w:szCs w:val="21"/>
                      <w:lang w:val="en-US" w:eastAsia="zh-CN" w:bidi="ar"/>
                    </w:rPr>
                    <w:t>/</w:t>
                  </w:r>
                  <w:r>
                    <w:rPr>
                      <w:rFonts w:hint="default" w:ascii="Times New Roman" w:hAnsi="Times New Roman" w:eastAsia="宋体" w:cs="Times New Roman"/>
                      <w:bCs/>
                      <w:color w:val="auto"/>
                      <w:kern w:val="0"/>
                      <w:sz w:val="21"/>
                      <w:szCs w:val="21"/>
                      <w:lang w:val="en-US" w:eastAsia="zh-CN" w:bidi="ar"/>
                    </w:rPr>
                    <w:t>熔化、加工成型（挤出、注射、压制、压延、发泡、纺丝等）等作业中应采用密闭设备或在密闭空间内操作，废气应排至</w:t>
                  </w:r>
                  <w:r>
                    <w:rPr>
                      <w:rFonts w:hint="default" w:ascii="Times New Roman" w:hAnsi="Times New Roman" w:eastAsia="宋体" w:cs="Times New Roman"/>
                      <w:bCs/>
                      <w:color w:val="auto"/>
                      <w:kern w:val="0"/>
                      <w:sz w:val="21"/>
                      <w:szCs w:val="21"/>
                      <w:lang w:val="en-US" w:eastAsia="zh-CN" w:bidi="ar"/>
                    </w:rPr>
                    <w:t>VOCs</w:t>
                  </w:r>
                  <w:r>
                    <w:rPr>
                      <w:rFonts w:hint="default" w:ascii="Times New Roman" w:hAnsi="Times New Roman" w:eastAsia="宋体" w:cs="Times New Roman"/>
                      <w:bCs/>
                      <w:color w:val="auto"/>
                      <w:kern w:val="0"/>
                      <w:sz w:val="21"/>
                      <w:szCs w:val="21"/>
                      <w:lang w:val="en-US" w:eastAsia="zh-CN" w:bidi="ar"/>
                    </w:rPr>
                    <w:t>废气收集处理系统；无法密闭的，应采取局部气体收集措施，废气应排至</w:t>
                  </w:r>
                  <w:r>
                    <w:rPr>
                      <w:rFonts w:hint="default" w:ascii="Times New Roman" w:hAnsi="Times New Roman" w:eastAsia="宋体" w:cs="Times New Roman"/>
                      <w:bCs/>
                      <w:color w:val="auto"/>
                      <w:kern w:val="0"/>
                      <w:sz w:val="21"/>
                      <w:szCs w:val="21"/>
                      <w:lang w:val="en-US" w:eastAsia="zh-CN" w:bidi="ar"/>
                    </w:rPr>
                    <w:t>VOCs</w:t>
                  </w:r>
                  <w:r>
                    <w:rPr>
                      <w:rFonts w:hint="default" w:ascii="Times New Roman" w:hAnsi="Times New Roman" w:eastAsia="宋体" w:cs="Times New Roman"/>
                      <w:bCs/>
                      <w:color w:val="auto"/>
                      <w:kern w:val="0"/>
                      <w:sz w:val="21"/>
                      <w:szCs w:val="21"/>
                      <w:lang w:val="en-US" w:eastAsia="zh-CN" w:bidi="ar"/>
                    </w:rPr>
                    <w:t>废气收集处理系统</w:t>
                  </w:r>
                </w:p>
              </w:tc>
              <w:tc>
                <w:tcPr>
                  <w:tcW w:w="1339" w:type="pct"/>
                  <w:vMerge w:val="continue"/>
                  <w:tcBorders>
                    <w:tl2br w:val="nil"/>
                    <w:tr2bl w:val="nil"/>
                  </w:tcBorders>
                  <w:vAlign w:val="center"/>
                </w:tcPr>
                <w:p w14:paraId="06DA685F">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444" w:type="dxa"/>
                  <w:tcBorders>
                    <w:tl2br w:val="nil"/>
                    <w:tr2bl w:val="nil"/>
                  </w:tcBorders>
                  <w:vAlign w:val="center"/>
                </w:tcPr>
                <w:p w14:paraId="55D94378">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79A32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tcBorders>
                    <w:tl2br w:val="nil"/>
                    <w:tr2bl w:val="nil"/>
                  </w:tcBorders>
                  <w:vAlign w:val="center"/>
                </w:tcPr>
                <w:p w14:paraId="0FDD318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center"/>
                    <w:rPr>
                      <w:rFonts w:hint="default" w:ascii="Times New Roman" w:hAnsi="Times New Roman" w:eastAsia="宋体" w:cs="Times New Roman"/>
                      <w:bCs/>
                      <w:color w:val="auto"/>
                      <w:kern w:val="0"/>
                      <w:sz w:val="21"/>
                      <w:szCs w:val="21"/>
                      <w:lang w:bidi="ar"/>
                    </w:rPr>
                  </w:pPr>
                  <w:r>
                    <w:rPr>
                      <w:rFonts w:hint="default" w:ascii="Times New Roman" w:hAnsi="Times New Roman" w:eastAsia="宋体" w:cs="Times New Roman"/>
                      <w:bCs/>
                      <w:color w:val="auto"/>
                      <w:kern w:val="0"/>
                      <w:sz w:val="21"/>
                      <w:szCs w:val="21"/>
                      <w:lang w:val="en-US" w:eastAsia="zh-CN" w:bidi="ar"/>
                    </w:rPr>
                    <w:t>《胶粘剂挥发性有机化合物限量》（GB33372-2020）</w:t>
                  </w:r>
                </w:p>
              </w:tc>
              <w:tc>
                <w:tcPr>
                  <w:tcW w:w="2201" w:type="pct"/>
                  <w:tcBorders>
                    <w:tl2br w:val="nil"/>
                    <w:tr2bl w:val="nil"/>
                  </w:tcBorders>
                  <w:vAlign w:val="center"/>
                </w:tcPr>
                <w:p w14:paraId="34CA17DE">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eastAsia="宋体" w:cs="Times New Roman"/>
                      <w:bCs/>
                      <w:color w:val="auto"/>
                      <w:kern w:val="0"/>
                      <w:sz w:val="21"/>
                      <w:szCs w:val="21"/>
                      <w:lang w:val="en-US" w:eastAsia="zh-CN" w:bidi="ar"/>
                    </w:rPr>
                    <w:t>热塑类</w:t>
                  </w:r>
                  <w:r>
                    <w:rPr>
                      <w:rFonts w:hint="default" w:ascii="Times New Roman" w:hAnsi="Times New Roman" w:eastAsia="宋体" w:cs="Times New Roman"/>
                      <w:bCs/>
                      <w:color w:val="auto"/>
                      <w:kern w:val="0"/>
                      <w:sz w:val="21"/>
                      <w:szCs w:val="21"/>
                      <w:lang w:bidi="ar"/>
                    </w:rPr>
                    <w:t>本体型胶粘剂</w:t>
                  </w:r>
                  <w:r>
                    <w:rPr>
                      <w:rFonts w:hint="default" w:ascii="Times New Roman" w:hAnsi="Times New Roman" w:eastAsia="宋体" w:cs="Times New Roman"/>
                      <w:bCs/>
                      <w:color w:val="auto"/>
                      <w:kern w:val="0"/>
                      <w:sz w:val="21"/>
                      <w:szCs w:val="21"/>
                      <w:lang w:val="en-US" w:eastAsia="zh-CN" w:bidi="ar"/>
                    </w:rPr>
                    <w:t>VOC</w:t>
                  </w:r>
                  <w:r>
                    <w:rPr>
                      <w:rFonts w:hint="default" w:ascii="Times New Roman" w:hAnsi="Times New Roman" w:eastAsia="宋体" w:cs="Times New Roman"/>
                      <w:bCs/>
                      <w:color w:val="auto"/>
                      <w:kern w:val="0"/>
                      <w:sz w:val="21"/>
                      <w:szCs w:val="21"/>
                      <w:lang w:bidi="ar"/>
                    </w:rPr>
                    <w:t>含量</w:t>
                  </w:r>
                  <w:r>
                    <w:rPr>
                      <w:rFonts w:hint="default" w:ascii="Times New Roman" w:hAnsi="Times New Roman" w:eastAsia="宋体" w:cs="Times New Roman"/>
                      <w:bCs/>
                      <w:color w:val="auto"/>
                      <w:kern w:val="0"/>
                      <w:sz w:val="21"/>
                      <w:szCs w:val="21"/>
                      <w:lang w:val="en-US" w:eastAsia="zh-CN" w:bidi="ar"/>
                    </w:rPr>
                    <w:t>标准限值为50</w:t>
                  </w:r>
                  <w:r>
                    <w:rPr>
                      <w:rFonts w:hint="default" w:ascii="Times New Roman" w:hAnsi="Times New Roman" w:eastAsia="宋体" w:cs="Times New Roman"/>
                      <w:bCs/>
                      <w:color w:val="auto"/>
                      <w:kern w:val="0"/>
                      <w:sz w:val="21"/>
                      <w:szCs w:val="21"/>
                      <w:lang w:val="en-US" w:eastAsia="zh-CN" w:bidi="ar"/>
                    </w:rPr>
                    <w:t>g/kg</w:t>
                  </w:r>
                </w:p>
              </w:tc>
              <w:tc>
                <w:tcPr>
                  <w:tcW w:w="1339" w:type="pct"/>
                  <w:tcBorders>
                    <w:tl2br w:val="nil"/>
                    <w:tr2bl w:val="nil"/>
                  </w:tcBorders>
                  <w:vAlign w:val="center"/>
                </w:tcPr>
                <w:p w14:paraId="66D324E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center"/>
                    <w:rPr>
                      <w:rFonts w:hint="default" w:ascii="Times New Roman" w:hAnsi="Times New Roman" w:eastAsia="宋体" w:cs="Times New Roman"/>
                      <w:bCs/>
                      <w:color w:val="auto"/>
                      <w:kern w:val="0"/>
                      <w:sz w:val="21"/>
                      <w:szCs w:val="21"/>
                      <w:lang w:val="en-US" w:eastAsia="zh-CN" w:bidi="ar"/>
                    </w:rPr>
                  </w:pPr>
                  <w:r>
                    <w:rPr>
                      <w:rFonts w:hint="default" w:ascii="Times New Roman" w:hAnsi="Times New Roman" w:eastAsia="宋体" w:cs="Times New Roman"/>
                      <w:bCs/>
                      <w:color w:val="auto"/>
                      <w:kern w:val="0"/>
                      <w:sz w:val="21"/>
                      <w:szCs w:val="21"/>
                      <w:lang w:val="en-US" w:eastAsia="zh-CN" w:bidi="ar"/>
                    </w:rPr>
                    <w:t>本项目采用的热熔胶为本体型胶粘剂，</w:t>
                  </w:r>
                  <w:r>
                    <w:rPr>
                      <w:rFonts w:hint="default" w:ascii="Times New Roman" w:hAnsi="Times New Roman" w:eastAsia="宋体" w:cs="Times New Roman"/>
                      <w:bCs/>
                      <w:color w:val="auto"/>
                      <w:kern w:val="0"/>
                      <w:sz w:val="21"/>
                      <w:szCs w:val="21"/>
                      <w:lang w:bidi="ar"/>
                    </w:rPr>
                    <w:t>根据誉标检测（深圳）有限公司出具的本项目所用热熔胶总挥发有机物检测报告（报告编号：AW2024037（2）），热熔胶的总挥发有机物检测结果为6g/L</w:t>
                  </w:r>
                  <w:r>
                    <w:rPr>
                      <w:rFonts w:hint="default" w:ascii="Times New Roman" w:hAnsi="Times New Roman" w:eastAsia="宋体" w:cs="Times New Roman"/>
                      <w:bCs/>
                      <w:color w:val="auto"/>
                      <w:kern w:val="0"/>
                      <w:sz w:val="21"/>
                      <w:szCs w:val="21"/>
                      <w:lang w:eastAsia="zh-CN" w:bidi="ar"/>
                    </w:rPr>
                    <w:t>，</w:t>
                  </w:r>
                  <w:r>
                    <w:rPr>
                      <w:rFonts w:hint="default" w:ascii="Times New Roman" w:hAnsi="Times New Roman" w:eastAsia="宋体" w:cs="Times New Roman"/>
                      <w:bCs/>
                      <w:color w:val="auto"/>
                      <w:kern w:val="0"/>
                      <w:sz w:val="21"/>
                      <w:szCs w:val="21"/>
                      <w:lang w:val="en-US" w:eastAsia="zh-CN" w:bidi="ar"/>
                    </w:rPr>
                    <w:t>符合《胶粘剂挥发性有机化合物限量》（GB33372-2020）标准要求</w:t>
                  </w:r>
                </w:p>
              </w:tc>
              <w:tc>
                <w:tcPr>
                  <w:tcW w:w="264" w:type="pct"/>
                  <w:tcBorders>
                    <w:tl2br w:val="nil"/>
                    <w:tr2bl w:val="nil"/>
                  </w:tcBorders>
                  <w:vAlign w:val="center"/>
                </w:tcPr>
                <w:p w14:paraId="300E9327">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28F485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shd w:val="clear" w:color="auto" w:fill="auto"/>
                  <w:vAlign w:val="center"/>
                </w:tcPr>
                <w:p w14:paraId="334C508D">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陕西省发展和改革委员会 陕西省生态环境厅关于印发《陕西省进一步加强塑料污染治理实施方案》的通知（陕发改环资〔2020〕1184号）</w:t>
                  </w:r>
                </w:p>
              </w:tc>
              <w:tc>
                <w:tcPr>
                  <w:tcW w:w="2201" w:type="pct"/>
                  <w:tcBorders>
                    <w:tl2br w:val="nil"/>
                    <w:tr2bl w:val="nil"/>
                  </w:tcBorders>
                  <w:shd w:val="clear" w:color="auto" w:fill="auto"/>
                  <w:vAlign w:val="center"/>
                </w:tcPr>
                <w:p w14:paraId="61420625">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禁止生产、销售的塑料制</w:t>
                  </w:r>
                </w:p>
                <w:p w14:paraId="6B65D38B">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按照国家要求，禁止生产和销售厚度小于0.025毫米的超薄塑料购物袋、厚度小于0.01毫米的聚乙烯农用地膜</w:t>
                  </w:r>
                </w:p>
              </w:tc>
              <w:tc>
                <w:tcPr>
                  <w:tcW w:w="1339" w:type="pct"/>
                  <w:vMerge w:val="restart"/>
                  <w:tcBorders>
                    <w:tl2br w:val="nil"/>
                    <w:tr2bl w:val="nil"/>
                  </w:tcBorders>
                  <w:shd w:val="clear" w:color="auto" w:fill="auto"/>
                  <w:vAlign w:val="center"/>
                </w:tcPr>
                <w:p w14:paraId="723DA6C4">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本项目所属行业为泡沫塑料制造，产品为珍珠棉产品，不属于购物袋、地膜、餐具、棉签等塑料制品，不属于禁止生产、销售的塑料制品</w:t>
                  </w:r>
                </w:p>
              </w:tc>
              <w:tc>
                <w:tcPr>
                  <w:tcW w:w="264" w:type="pct"/>
                  <w:tcBorders>
                    <w:tl2br w:val="nil"/>
                    <w:tr2bl w:val="nil"/>
                  </w:tcBorders>
                  <w:shd w:val="clear" w:color="auto" w:fill="auto"/>
                  <w:vAlign w:val="center"/>
                </w:tcPr>
                <w:p w14:paraId="030B4A13">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7B64A0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7AB4A8F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5E819D8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到2020年底，禁止生产和销售一次性发泡塑料餐具、一次性塑料棉签</w:t>
                  </w:r>
                </w:p>
              </w:tc>
              <w:tc>
                <w:tcPr>
                  <w:tcW w:w="1339" w:type="pct"/>
                  <w:vMerge w:val="continue"/>
                  <w:tcBorders>
                    <w:tl2br w:val="nil"/>
                    <w:tr2bl w:val="nil"/>
                  </w:tcBorders>
                  <w:shd w:val="clear" w:color="auto" w:fill="auto"/>
                  <w:vAlign w:val="center"/>
                </w:tcPr>
                <w:p w14:paraId="58684D6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64" w:type="pct"/>
                  <w:tcBorders>
                    <w:tl2br w:val="nil"/>
                    <w:tr2bl w:val="nil"/>
                  </w:tcBorders>
                  <w:shd w:val="clear" w:color="auto" w:fill="auto"/>
                  <w:vAlign w:val="center"/>
                </w:tcPr>
                <w:p w14:paraId="037CE9EF">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1A9953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shd w:val="clear" w:color="auto" w:fill="auto"/>
                  <w:vAlign w:val="center"/>
                </w:tcPr>
                <w:p w14:paraId="69EB1A6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《西安市人民政府关于印发西安市空气质量达标规划（2023-2030年）的通知》（市政发〔2023〕10号）</w:t>
                  </w:r>
                </w:p>
              </w:tc>
              <w:tc>
                <w:tcPr>
                  <w:tcW w:w="2201" w:type="pct"/>
                  <w:tcBorders>
                    <w:tl2br w:val="nil"/>
                    <w:tr2bl w:val="nil"/>
                  </w:tcBorders>
                  <w:shd w:val="clear" w:color="auto" w:fill="auto"/>
                  <w:vAlign w:val="center"/>
                </w:tcPr>
                <w:p w14:paraId="57144635">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新建项目不再采用单一低温等离子、光氧化、光催化等治理技术，非水溶性VOCs废气不再采用单一喷淋吸收方式处理。</w:t>
                  </w:r>
                </w:p>
              </w:tc>
              <w:tc>
                <w:tcPr>
                  <w:tcW w:w="1339" w:type="pct"/>
                  <w:tcBorders>
                    <w:tl2br w:val="nil"/>
                    <w:tr2bl w:val="nil"/>
                  </w:tcBorders>
                  <w:shd w:val="clear" w:color="auto" w:fill="auto"/>
                  <w:vAlign w:val="center"/>
                </w:tcPr>
                <w:p w14:paraId="73D9EBF8">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本项目产生的有机废气采用二级活性炭吸附装置处理，不属于单一低温等离子、光氧化、光催化等治理技术</w:t>
                  </w:r>
                </w:p>
              </w:tc>
              <w:tc>
                <w:tcPr>
                  <w:tcW w:w="264" w:type="pct"/>
                  <w:tcBorders>
                    <w:tl2br w:val="nil"/>
                    <w:tr2bl w:val="nil"/>
                  </w:tcBorders>
                  <w:shd w:val="clear" w:color="auto" w:fill="auto"/>
                  <w:vAlign w:val="center"/>
                </w:tcPr>
                <w:p w14:paraId="054949A6">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099866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289AA37C">
                  <w:pPr>
                    <w:widowControl/>
                    <w:spacing w:line="240" w:lineRule="auto"/>
                    <w:ind w:firstLine="0" w:firstLineChars="0"/>
                    <w:textAlignment w:val="center"/>
                    <w:rPr>
                      <w:rFonts w:hint="default" w:ascii="Times New Roman" w:hAnsi="Times New Roman" w:cs="Times New Roman"/>
                      <w:color w:val="auto"/>
                      <w:sz w:val="21"/>
                      <w:szCs w:val="21"/>
                    </w:rPr>
                  </w:pPr>
                </w:p>
              </w:tc>
              <w:tc>
                <w:tcPr>
                  <w:tcW w:w="2201" w:type="pct"/>
                  <w:tcBorders>
                    <w:tl2br w:val="nil"/>
                    <w:tr2bl w:val="nil"/>
                  </w:tcBorders>
                  <w:shd w:val="clear" w:color="auto" w:fill="auto"/>
                  <w:vAlign w:val="center"/>
                </w:tcPr>
                <w:p w14:paraId="012D947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大力推进涉VOCs企业低挥发性原辅材料替代和污染治理设施升级改造，鼓励企业积极进行源头替代，推广使用低（无）挥发性有机物含量、低反应活性的原辅材料</w:t>
                  </w:r>
                </w:p>
              </w:tc>
              <w:tc>
                <w:tcPr>
                  <w:tcW w:w="1339" w:type="pct"/>
                  <w:tcBorders>
                    <w:tl2br w:val="nil"/>
                    <w:tr2bl w:val="nil"/>
                  </w:tcBorders>
                  <w:shd w:val="clear" w:color="auto" w:fill="auto"/>
                  <w:vAlign w:val="center"/>
                </w:tcPr>
                <w:p w14:paraId="67C103C5">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本项目要求建设单位采用符合《胶粘剂挥发性有机化合物限量》（GB33372-2020）要求的热熔胶</w:t>
                  </w:r>
                </w:p>
              </w:tc>
              <w:tc>
                <w:tcPr>
                  <w:tcW w:w="264" w:type="pct"/>
                  <w:tcBorders>
                    <w:tl2br w:val="nil"/>
                    <w:tr2bl w:val="nil"/>
                  </w:tcBorders>
                  <w:shd w:val="clear" w:color="auto" w:fill="auto"/>
                  <w:vAlign w:val="center"/>
                </w:tcPr>
                <w:p w14:paraId="5A6F83A7">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035A6C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shd w:val="clear" w:color="auto" w:fill="auto"/>
                  <w:vAlign w:val="center"/>
                </w:tcPr>
                <w:p w14:paraId="19C03FEB">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西安市生态环境局西咸新区分局《关于加强挥发性有机物活性炭吸附处理设施运行管理工作的通知》（陕西咸环发[2023]1号）</w:t>
                  </w:r>
                </w:p>
              </w:tc>
              <w:tc>
                <w:tcPr>
                  <w:tcW w:w="2201" w:type="pct"/>
                  <w:tcBorders>
                    <w:tl2br w:val="nil"/>
                    <w:tr2bl w:val="nil"/>
                  </w:tcBorders>
                  <w:shd w:val="clear" w:color="auto" w:fill="auto"/>
                  <w:vAlign w:val="center"/>
                </w:tcPr>
                <w:p w14:paraId="2B0BD5AE">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涉气企业根据当前VOCs治理的法律法规、技术规范、政策文件等要求，选择合理的治理工艺。除恶臭异味治理外，淘汰单一使用低温等离子、光催化氧化、活性炭吸附棉、水喷淋等低效处理工艺或其组合工艺。</w:t>
                  </w:r>
                </w:p>
              </w:tc>
              <w:tc>
                <w:tcPr>
                  <w:tcW w:w="1339" w:type="pct"/>
                  <w:tcBorders>
                    <w:tl2br w:val="nil"/>
                    <w:tr2bl w:val="nil"/>
                  </w:tcBorders>
                  <w:shd w:val="clear" w:color="auto" w:fill="auto"/>
                  <w:vAlign w:val="center"/>
                </w:tcPr>
                <w:p w14:paraId="35487DC0">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本项目产生的有机废气采用二级活性炭吸附装置处理，不属于单一低温等离子、光氧化、光催化等治理技术</w:t>
                  </w:r>
                </w:p>
              </w:tc>
              <w:tc>
                <w:tcPr>
                  <w:tcW w:w="264" w:type="pct"/>
                  <w:tcBorders>
                    <w:tl2br w:val="nil"/>
                    <w:tr2bl w:val="nil"/>
                  </w:tcBorders>
                  <w:shd w:val="clear" w:color="auto" w:fill="auto"/>
                  <w:vAlign w:val="center"/>
                </w:tcPr>
                <w:p w14:paraId="3CA41E1F">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5FAFD8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58703E33">
                  <w:pPr>
                    <w:widowControl/>
                    <w:spacing w:line="240" w:lineRule="auto"/>
                    <w:ind w:firstLine="0" w:firstLineChars="0"/>
                    <w:textAlignment w:val="center"/>
                    <w:rPr>
                      <w:rFonts w:hint="default" w:ascii="Times New Roman" w:hAnsi="Times New Roman" w:cs="Times New Roman"/>
                      <w:color w:val="auto"/>
                      <w:sz w:val="21"/>
                      <w:szCs w:val="21"/>
                    </w:rPr>
                  </w:pPr>
                </w:p>
              </w:tc>
              <w:tc>
                <w:tcPr>
                  <w:tcW w:w="2201" w:type="pct"/>
                  <w:tcBorders>
                    <w:tl2br w:val="nil"/>
                    <w:tr2bl w:val="nil"/>
                  </w:tcBorders>
                  <w:shd w:val="clear" w:color="auto" w:fill="auto"/>
                  <w:vAlign w:val="center"/>
                </w:tcPr>
                <w:p w14:paraId="1286536E">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LY/T3284）规定的优级活性炭指标要求。</w:t>
                  </w:r>
                </w:p>
              </w:tc>
              <w:tc>
                <w:tcPr>
                  <w:tcW w:w="1339" w:type="pct"/>
                  <w:tcBorders>
                    <w:tl2br w:val="nil"/>
                    <w:tr2bl w:val="nil"/>
                  </w:tcBorders>
                  <w:shd w:val="clear" w:color="auto" w:fill="auto"/>
                  <w:vAlign w:val="center"/>
                </w:tcPr>
                <w:p w14:paraId="39E5AD2D">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本项目使用蜂窝活性炭，购买活性炭时，需要求厂家提供活性炭检测报告，使用符合《工业有机废气净化用活性炭技术指标及试验方法》（LY/T3284）规定的优级活性炭指标要求的活性炭</w:t>
                  </w:r>
                </w:p>
              </w:tc>
              <w:tc>
                <w:tcPr>
                  <w:tcW w:w="264" w:type="pct"/>
                  <w:tcBorders>
                    <w:tl2br w:val="nil"/>
                    <w:tr2bl w:val="nil"/>
                  </w:tcBorders>
                  <w:shd w:val="clear" w:color="auto" w:fill="auto"/>
                  <w:vAlign w:val="center"/>
                </w:tcPr>
                <w:p w14:paraId="03DF8093">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48ED0B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4BEF04C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612CAD6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涂料、稀释剂、固化剂、清洗剂、胶粘剂等VOCs物料应密闭储存。盛装 VOCs 物料的容器或包装袋应密闭储存于室内，或存放于设置有雨棚、遮阳和防渗设施的专用场地，非取用状态时应加盖、封口，保持封闭。</w:t>
                  </w:r>
                </w:p>
              </w:tc>
              <w:tc>
                <w:tcPr>
                  <w:tcW w:w="1339" w:type="pct"/>
                  <w:tcBorders>
                    <w:tl2br w:val="nil"/>
                    <w:tr2bl w:val="nil"/>
                  </w:tcBorders>
                  <w:shd w:val="clear" w:color="auto" w:fill="auto"/>
                  <w:vAlign w:val="center"/>
                </w:tcPr>
                <w:p w14:paraId="047054E7">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本项目含VOCs物料主要为聚乙烯颗粒（LDPE）、热熔胶，均在密闭厂房储存</w:t>
                  </w:r>
                </w:p>
              </w:tc>
              <w:tc>
                <w:tcPr>
                  <w:tcW w:w="264" w:type="pct"/>
                  <w:tcBorders>
                    <w:tl2br w:val="nil"/>
                    <w:tr2bl w:val="nil"/>
                  </w:tcBorders>
                  <w:shd w:val="clear" w:color="auto" w:fill="auto"/>
                  <w:vAlign w:val="center"/>
                </w:tcPr>
                <w:p w14:paraId="4476C399">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504AC7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5571FB13">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72ED4A1F">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产生废活性炭的企业，必须与有许可证的危废经营单位签订危废处置协议。</w:t>
                  </w:r>
                </w:p>
              </w:tc>
              <w:tc>
                <w:tcPr>
                  <w:tcW w:w="1339" w:type="pct"/>
                  <w:tcBorders>
                    <w:tl2br w:val="nil"/>
                    <w:tr2bl w:val="nil"/>
                  </w:tcBorders>
                  <w:shd w:val="clear" w:color="auto" w:fill="auto"/>
                  <w:vAlign w:val="center"/>
                </w:tcPr>
                <w:p w14:paraId="39515B0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本项目要求建设单位与有许可证的危废经营单位签订危废处置协议</w:t>
                  </w:r>
                </w:p>
              </w:tc>
              <w:tc>
                <w:tcPr>
                  <w:tcW w:w="264" w:type="pct"/>
                  <w:tcBorders>
                    <w:tl2br w:val="nil"/>
                    <w:tr2bl w:val="nil"/>
                  </w:tcBorders>
                  <w:shd w:val="clear" w:color="auto" w:fill="auto"/>
                  <w:vAlign w:val="center"/>
                </w:tcPr>
                <w:p w14:paraId="6CC91E99">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785133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shd w:val="clear" w:color="auto" w:fill="auto"/>
                  <w:vAlign w:val="center"/>
                </w:tcPr>
                <w:p w14:paraId="4746C4C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《西安市挥发性有机物污染整治专项实施方案（2023-2027年）》</w:t>
                  </w:r>
                </w:p>
              </w:tc>
              <w:tc>
                <w:tcPr>
                  <w:tcW w:w="2201" w:type="pct"/>
                  <w:tcBorders>
                    <w:tl2br w:val="nil"/>
                    <w:tr2bl w:val="nil"/>
                  </w:tcBorders>
                  <w:shd w:val="clear" w:color="auto" w:fill="auto"/>
                  <w:vAlign w:val="center"/>
                </w:tcPr>
                <w:p w14:paraId="136E8CB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低效治理设施升级改造行动。组织开展企业VOCs治理设施排查，对涉及使用低温等离子、光氧化、光催化技术的废气治理设施，非水溶性 VOCs 废气采用单一喷淋吸收等治理技术，以及有机化工生产企业使用简易低效污染治理设施的，逐一进行排查。</w:t>
                  </w:r>
                </w:p>
              </w:tc>
              <w:tc>
                <w:tcPr>
                  <w:tcW w:w="1339" w:type="pct"/>
                  <w:tcBorders>
                    <w:tl2br w:val="nil"/>
                    <w:tr2bl w:val="nil"/>
                  </w:tcBorders>
                  <w:shd w:val="clear" w:color="auto" w:fill="auto"/>
                  <w:vAlign w:val="center"/>
                </w:tcPr>
                <w:p w14:paraId="13C2D798">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本项目产生的有机废气采用二级活性炭吸附装置处理，不属于单一低温等离子、光氧化、光催化等治理技术</w:t>
                  </w:r>
                </w:p>
              </w:tc>
              <w:tc>
                <w:tcPr>
                  <w:tcW w:w="264" w:type="pct"/>
                  <w:tcBorders>
                    <w:tl2br w:val="nil"/>
                    <w:tr2bl w:val="nil"/>
                  </w:tcBorders>
                  <w:shd w:val="clear" w:color="auto" w:fill="auto"/>
                  <w:vAlign w:val="center"/>
                </w:tcPr>
                <w:p w14:paraId="0467D589">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3C3CDB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65F7657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4E615C6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强化涉活性炭 VOCs 处理工艺治理。采用活性炭吸附技术的，其中颗粒碳碘吸附值不低于800mg/g 或四氯化碳吸附率不低于60%，蜂窝活性炭碘吸附值不低于600mg/g或四氯化碳吸附率不低于30%，按设计要求足量添加、定期更换，动态更新挥发性有机物治理设施台账。组织开展活性炭技术等 VOCs 治理设施排查，对达不到要求的，应当更换或升级改造，实现稳定达标排放。</w:t>
                  </w:r>
                </w:p>
              </w:tc>
              <w:tc>
                <w:tcPr>
                  <w:tcW w:w="1339" w:type="pct"/>
                  <w:tcBorders>
                    <w:tl2br w:val="nil"/>
                    <w:tr2bl w:val="nil"/>
                  </w:tcBorders>
                  <w:shd w:val="clear" w:color="auto" w:fill="auto"/>
                  <w:vAlign w:val="center"/>
                </w:tcPr>
                <w:p w14:paraId="2C94281D">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本项目采用蜂窝活性炭，要求碘吸附值不低于600mg/g或四氯化碳吸附率不低于30%；要求建设单位根据环保文件足量添加并及时更换，设置活性炭更换台账，以确保达标排放</w:t>
                  </w:r>
                </w:p>
              </w:tc>
              <w:tc>
                <w:tcPr>
                  <w:tcW w:w="264" w:type="pct"/>
                  <w:tcBorders>
                    <w:tl2br w:val="nil"/>
                    <w:tr2bl w:val="nil"/>
                  </w:tcBorders>
                  <w:shd w:val="clear" w:color="auto" w:fill="auto"/>
                  <w:vAlign w:val="center"/>
                </w:tcPr>
                <w:p w14:paraId="44BB29A3">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20F5EA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shd w:val="clear" w:color="auto" w:fill="auto"/>
                  <w:vAlign w:val="center"/>
                </w:tcPr>
                <w:p w14:paraId="59504825">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《陕西省“十四五”生态环境保护规划》（陕政办发〔2021〕25号）</w:t>
                  </w:r>
                </w:p>
              </w:tc>
              <w:tc>
                <w:tcPr>
                  <w:tcW w:w="2201" w:type="pct"/>
                  <w:tcBorders>
                    <w:tl2br w:val="nil"/>
                    <w:tr2bl w:val="nil"/>
                  </w:tcBorders>
                  <w:shd w:val="clear" w:color="auto" w:fill="auto"/>
                  <w:vAlign w:val="center"/>
                </w:tcPr>
                <w:p w14:paraId="072B6A13">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建立健全生态环境分区管控体系。立足资源环境承载能力，发挥各地比较优势，优化重大基础设施、重大生产力和公共资源布局，建立以“三线一单”为核心的全省生态环境分区管控体系。</w:t>
                  </w:r>
                </w:p>
              </w:tc>
              <w:tc>
                <w:tcPr>
                  <w:tcW w:w="1339" w:type="pct"/>
                  <w:tcBorders>
                    <w:tl2br w:val="nil"/>
                    <w:tr2bl w:val="nil"/>
                  </w:tcBorders>
                  <w:shd w:val="clear" w:color="auto" w:fill="auto"/>
                  <w:vAlign w:val="center"/>
                </w:tcPr>
                <w:p w14:paraId="1A63CB74">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本项目符合“三线一单”要求</w:t>
                  </w:r>
                </w:p>
              </w:tc>
              <w:tc>
                <w:tcPr>
                  <w:tcW w:w="264" w:type="pct"/>
                  <w:tcBorders>
                    <w:tl2br w:val="nil"/>
                    <w:tr2bl w:val="nil"/>
                  </w:tcBorders>
                  <w:shd w:val="clear" w:color="auto" w:fill="auto"/>
                  <w:vAlign w:val="center"/>
                </w:tcPr>
                <w:p w14:paraId="2A34C62F">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361FB6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vAlign w:val="center"/>
                </w:tcPr>
                <w:p w14:paraId="0CA27DA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61B62804">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坚持源头防治、综合施策，稳步推进大气污染防治攻坚行动，聚焦细颗粒物和臭氧污染协同控制，推进氮氧化物和挥发性有机物协同减排，强化区域协同治理和重污染天气应对，持续改善全省大气环境质量，不断增强人民群众蓝天获得感和幸福感。</w:t>
                  </w:r>
                </w:p>
              </w:tc>
              <w:tc>
                <w:tcPr>
                  <w:tcW w:w="1339" w:type="pct"/>
                  <w:tcBorders>
                    <w:tl2br w:val="nil"/>
                    <w:tr2bl w:val="nil"/>
                  </w:tcBorders>
                  <w:shd w:val="clear" w:color="auto" w:fill="auto"/>
                  <w:vAlign w:val="center"/>
                </w:tcPr>
                <w:p w14:paraId="4D093B1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项目运营期挥发性有机物产生量较小，采用二级活性炭吸附装置处理达标后排放</w:t>
                  </w:r>
                </w:p>
              </w:tc>
              <w:tc>
                <w:tcPr>
                  <w:tcW w:w="264" w:type="pct"/>
                  <w:tcBorders>
                    <w:tl2br w:val="nil"/>
                    <w:tr2bl w:val="nil"/>
                  </w:tcBorders>
                  <w:shd w:val="clear" w:color="auto" w:fill="auto"/>
                  <w:vAlign w:val="center"/>
                </w:tcPr>
                <w:p w14:paraId="3AC204D1">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7115C5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tcBorders>
                    <w:tl2br w:val="nil"/>
                    <w:tr2bl w:val="nil"/>
                  </w:tcBorders>
                  <w:vAlign w:val="center"/>
                </w:tcPr>
                <w:p w14:paraId="2272C772">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陕西省西咸新区开发建设管理委员会关于印发《西咸新区“十四五”生态环境保护规划》的通知（陕西咸发[2021]4号）</w:t>
                  </w:r>
                </w:p>
              </w:tc>
              <w:tc>
                <w:tcPr>
                  <w:tcW w:w="2201" w:type="pct"/>
                  <w:tcBorders>
                    <w:tl2br w:val="nil"/>
                    <w:tr2bl w:val="nil"/>
                  </w:tcBorders>
                  <w:shd w:val="clear" w:color="auto" w:fill="auto"/>
                  <w:vAlign w:val="center"/>
                </w:tcPr>
                <w:p w14:paraId="28EA295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全面落实《挥发性有机物无组织排放控制标准》要求，加强含VOCs物料密闭管理。生产、销售和使用的涂料、油墨、胶黏剂和清洗剂等产品达到VOCs含量限值要求。将全面使用符合国家要求的低VOCs含量原辅材料的企业纳入正面清单和政府绿色采购清单，重点行业企业依法安装VOCs在线监测设施并联网。</w:t>
                  </w:r>
                </w:p>
              </w:tc>
              <w:tc>
                <w:tcPr>
                  <w:tcW w:w="1339" w:type="pct"/>
                  <w:tcBorders>
                    <w:tl2br w:val="nil"/>
                    <w:tr2bl w:val="nil"/>
                  </w:tcBorders>
                  <w:shd w:val="clear" w:color="auto" w:fill="auto"/>
                  <w:vAlign w:val="center"/>
                </w:tcPr>
                <w:p w14:paraId="178292FF">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本项目含VOCs物料主要为聚乙烯颗粒（LDPE）、热熔胶，均在密闭厂房储存；本项目要求建设单位采用符合《胶粘剂挥发性有机化合物限量》（GB33372-2020）要求的热熔胶。</w:t>
                  </w:r>
                </w:p>
              </w:tc>
              <w:tc>
                <w:tcPr>
                  <w:tcW w:w="264" w:type="pct"/>
                  <w:tcBorders>
                    <w:tl2br w:val="nil"/>
                    <w:tr2bl w:val="nil"/>
                  </w:tcBorders>
                  <w:shd w:val="clear" w:color="auto" w:fill="auto"/>
                  <w:vAlign w:val="center"/>
                </w:tcPr>
                <w:p w14:paraId="756479F0">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7B26BC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vAlign w:val="center"/>
                </w:tcPr>
                <w:p w14:paraId="7ABB028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《陕西省大气污染治理专项行动方案（2023-2027年）》</w:t>
                  </w:r>
                </w:p>
              </w:tc>
              <w:tc>
                <w:tcPr>
                  <w:tcW w:w="2201" w:type="pct"/>
                  <w:tcBorders>
                    <w:tl2br w:val="nil"/>
                    <w:tr2bl w:val="nil"/>
                  </w:tcBorders>
                  <w:shd w:val="clear" w:color="auto" w:fill="auto"/>
                  <w:vAlign w:val="center"/>
                </w:tcPr>
                <w:p w14:paraId="6F11280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新建挥发性有机物治理设施不再采用单一低温等离子、光氧化、光催化等治理技术，非水溶性挥发性有机物废气不再采用单一喷淋吸收方式处理。</w:t>
                  </w:r>
                </w:p>
              </w:tc>
              <w:tc>
                <w:tcPr>
                  <w:tcW w:w="1339" w:type="pct"/>
                  <w:tcBorders>
                    <w:tl2br w:val="nil"/>
                    <w:tr2bl w:val="nil"/>
                  </w:tcBorders>
                  <w:shd w:val="clear" w:color="auto" w:fill="auto"/>
                  <w:vAlign w:val="center"/>
                </w:tcPr>
                <w:p w14:paraId="22CB1FB0">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本项目产生的有机废气采用二级活性炭吸附装置处理，不属于单一低温等离子、光氧化、光催化等治理技术</w:t>
                  </w:r>
                </w:p>
              </w:tc>
              <w:tc>
                <w:tcPr>
                  <w:tcW w:w="264" w:type="pct"/>
                  <w:tcBorders>
                    <w:tl2br w:val="nil"/>
                    <w:tr2bl w:val="nil"/>
                  </w:tcBorders>
                  <w:vAlign w:val="center"/>
                </w:tcPr>
                <w:p w14:paraId="1CCADB0A">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5CB43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746CFDA1">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3FA19EBD">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重污染天气应对行动。关中地区深入开展“创A升B减C清D”活动，提升重点行业绩效分级B级以上和引领性企业占比，聚集涉气重点企业，兼顾企业数量和质量，重点行业头部企业、排放大户要率先升级，2024年环保绩效B级以上和引领性企业达到200家以上，深入开展焦化、钢铁、水泥、石化、砖瓦窑、陶瓷、工业涂装等7个重点行业企业环保绩效创A升B工作。</w:t>
                  </w:r>
                </w:p>
              </w:tc>
              <w:tc>
                <w:tcPr>
                  <w:tcW w:w="1339" w:type="pct"/>
                  <w:tcBorders>
                    <w:tl2br w:val="nil"/>
                    <w:tr2bl w:val="nil"/>
                  </w:tcBorders>
                  <w:shd w:val="clear" w:color="auto" w:fill="auto"/>
                  <w:vAlign w:val="center"/>
                </w:tcPr>
                <w:p w14:paraId="0496295E">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本项目所属行业为泡沫塑料制造，不属于</w:t>
                  </w:r>
                  <w:bookmarkStart w:id="0" w:name="_Toc44493931"/>
                  <w:r>
                    <w:rPr>
                      <w:rFonts w:hint="default" w:ascii="Times New Roman" w:hAnsi="Times New Roman" w:cs="Times New Roman"/>
                      <w:bCs/>
                      <w:color w:val="auto"/>
                      <w:kern w:val="0"/>
                      <w:sz w:val="21"/>
                      <w:szCs w:val="21"/>
                      <w:lang w:bidi="ar"/>
                    </w:rPr>
                    <w:t>《重污染天气重点行业应急减排措施制定</w:t>
                  </w:r>
                  <w:bookmarkEnd w:id="0"/>
                  <w:bookmarkStart w:id="1" w:name="_Toc44493932"/>
                  <w:r>
                    <w:rPr>
                      <w:rFonts w:hint="default" w:ascii="Times New Roman" w:hAnsi="Times New Roman" w:cs="Times New Roman"/>
                      <w:bCs/>
                      <w:color w:val="auto"/>
                      <w:kern w:val="0"/>
                      <w:sz w:val="21"/>
                      <w:szCs w:val="21"/>
                      <w:lang w:bidi="ar"/>
                    </w:rPr>
                    <w:t>技术指南</w:t>
                  </w:r>
                  <w:bookmarkEnd w:id="1"/>
                  <w:r>
                    <w:rPr>
                      <w:rFonts w:hint="default" w:ascii="Times New Roman" w:hAnsi="Times New Roman" w:cs="Times New Roman"/>
                      <w:bCs/>
                      <w:color w:val="auto"/>
                      <w:kern w:val="0"/>
                      <w:sz w:val="21"/>
                      <w:szCs w:val="21"/>
                      <w:lang w:bidi="ar"/>
                    </w:rPr>
                    <w:t>（2020年修订版）》（环办大气函〔2020〕340号）中规定的39个重点行业企业</w:t>
                  </w:r>
                </w:p>
              </w:tc>
              <w:tc>
                <w:tcPr>
                  <w:tcW w:w="264" w:type="pct"/>
                  <w:tcBorders>
                    <w:tl2br w:val="nil"/>
                    <w:tr2bl w:val="nil"/>
                  </w:tcBorders>
                  <w:vAlign w:val="center"/>
                </w:tcPr>
                <w:p w14:paraId="6E4DD52E">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0D2C9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shd w:val="clear" w:color="auto" w:fill="auto"/>
                  <w:vAlign w:val="center"/>
                </w:tcPr>
                <w:p w14:paraId="526A2599">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《西安市大气污染治理专项行动方案（2023-2027年）》</w:t>
                  </w:r>
                </w:p>
              </w:tc>
              <w:tc>
                <w:tcPr>
                  <w:tcW w:w="2201" w:type="pct"/>
                  <w:tcBorders>
                    <w:tl2br w:val="nil"/>
                    <w:tr2bl w:val="nil"/>
                  </w:tcBorders>
                  <w:shd w:val="clear" w:color="auto" w:fill="auto"/>
                  <w:vAlign w:val="center"/>
                </w:tcPr>
                <w:p w14:paraId="7B80F57E">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强化非道路移动机械排放控制区管控，到2025年，不符合“双三标准”的机械禁止使用，具备条件的可更换国四及以上标准的发动机。</w:t>
                  </w:r>
                </w:p>
              </w:tc>
              <w:tc>
                <w:tcPr>
                  <w:tcW w:w="1339" w:type="pct"/>
                  <w:tcBorders>
                    <w:tl2br w:val="nil"/>
                    <w:tr2bl w:val="nil"/>
                  </w:tcBorders>
                  <w:shd w:val="clear" w:color="auto" w:fill="auto"/>
                  <w:vAlign w:val="center"/>
                </w:tcPr>
                <w:p w14:paraId="6F0E05B7">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本项目厂内非道路移动机械全部达到国三及以上排放标准或使用新能源机械。</w:t>
                  </w:r>
                </w:p>
              </w:tc>
              <w:tc>
                <w:tcPr>
                  <w:tcW w:w="264" w:type="pct"/>
                  <w:tcBorders>
                    <w:tl2br w:val="nil"/>
                    <w:tr2bl w:val="nil"/>
                  </w:tcBorders>
                  <w:vAlign w:val="center"/>
                </w:tcPr>
                <w:p w14:paraId="18FBAD5F">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2F5A3C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67506E6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3BA354B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强化涉活性炭VOCs处理工艺治理。深入开展简易低效挥发性有机物治理设施清理整治，组织开展涉活性炭挥发性有机物处理工艺专项整治行动，推广先进VOCs治理工艺，全面提升VOCs治理水平。</w:t>
                  </w:r>
                </w:p>
              </w:tc>
              <w:tc>
                <w:tcPr>
                  <w:tcW w:w="1339" w:type="pct"/>
                  <w:tcBorders>
                    <w:tl2br w:val="nil"/>
                    <w:tr2bl w:val="nil"/>
                  </w:tcBorders>
                  <w:shd w:val="clear" w:color="auto" w:fill="auto"/>
                  <w:vAlign w:val="center"/>
                </w:tcPr>
                <w:p w14:paraId="130C86F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本项目产生的有机废气采用二级活性炭吸附装置处理后排放，治理措施不属于属于简易低效的挥发性有机物治理设施</w:t>
                  </w:r>
                </w:p>
              </w:tc>
              <w:tc>
                <w:tcPr>
                  <w:tcW w:w="264" w:type="pct"/>
                  <w:tcBorders>
                    <w:tl2br w:val="nil"/>
                    <w:tr2bl w:val="nil"/>
                  </w:tcBorders>
                  <w:vAlign w:val="center"/>
                </w:tcPr>
                <w:p w14:paraId="0590DCF4">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4741DB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1EC4E41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0AE89F53">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强化源头管控。严格落实国家和我省产业规划、产业政策、“三线一单”、规划环评等要求，深入开展我市区域空间生态环境评价工作，积极推行区域、规划环境影响评价，新改扩建化工、石化、建材、有色等项目的环境影响评价应满足区域和规划环评要求。</w:t>
                  </w:r>
                </w:p>
              </w:tc>
              <w:tc>
                <w:tcPr>
                  <w:tcW w:w="1339" w:type="pct"/>
                  <w:tcBorders>
                    <w:tl2br w:val="nil"/>
                    <w:tr2bl w:val="nil"/>
                  </w:tcBorders>
                  <w:shd w:val="clear" w:color="auto" w:fill="auto"/>
                  <w:vAlign w:val="center"/>
                </w:tcPr>
                <w:p w14:paraId="17B7B090">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本项目为新建项目，将严格落实国家和我省产业规划、产业政策、“三线一单”、规划环评等要求，环境影响评价满足区域和规划环评要求</w:t>
                  </w:r>
                </w:p>
              </w:tc>
              <w:tc>
                <w:tcPr>
                  <w:tcW w:w="264" w:type="pct"/>
                  <w:tcBorders>
                    <w:tl2br w:val="nil"/>
                    <w:tr2bl w:val="nil"/>
                  </w:tcBorders>
                  <w:vAlign w:val="center"/>
                </w:tcPr>
                <w:p w14:paraId="1E61AF56">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566C8C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shd w:val="clear" w:color="auto" w:fill="auto"/>
                  <w:vAlign w:val="center"/>
                </w:tcPr>
                <w:p w14:paraId="6FDEFF79">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《西咸新区大气污染治理专项行动方案（2023-2027年）》（陕西咸党发〔2023〕4 号）</w:t>
                  </w:r>
                </w:p>
              </w:tc>
              <w:tc>
                <w:tcPr>
                  <w:tcW w:w="2201" w:type="pct"/>
                  <w:tcBorders>
                    <w:tl2br w:val="nil"/>
                    <w:tr2bl w:val="nil"/>
                  </w:tcBorders>
                  <w:shd w:val="clear" w:color="auto" w:fill="auto"/>
                  <w:vAlign w:val="center"/>
                </w:tcPr>
                <w:p w14:paraId="49539561">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1339" w:type="pct"/>
                  <w:tcBorders>
                    <w:tl2br w:val="nil"/>
                    <w:tr2bl w:val="nil"/>
                  </w:tcBorders>
                  <w:shd w:val="clear" w:color="auto" w:fill="auto"/>
                  <w:vAlign w:val="center"/>
                </w:tcPr>
                <w:p w14:paraId="3A6466C1">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本项目符合相关产业政策、“三线一单”及区域规划环评等要求；本项目不属于本条提出的严禁新增的相关行业</w:t>
                  </w:r>
                </w:p>
              </w:tc>
              <w:tc>
                <w:tcPr>
                  <w:tcW w:w="264" w:type="pct"/>
                  <w:tcBorders>
                    <w:tl2br w:val="nil"/>
                    <w:tr2bl w:val="nil"/>
                  </w:tcBorders>
                  <w:shd w:val="clear" w:color="auto" w:fill="auto"/>
                  <w:vAlign w:val="center"/>
                </w:tcPr>
                <w:p w14:paraId="17303652">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395E08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58E8F98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3F8534E7">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严格新、改、扩建涉气重点行业绩效评级限制条件。新区范围内新、改、扩建涉气重点行业企业应达到环保绩效A级、绩效引领性水平。</w:t>
                  </w:r>
                </w:p>
              </w:tc>
              <w:tc>
                <w:tcPr>
                  <w:tcW w:w="1339" w:type="pct"/>
                  <w:vMerge w:val="restart"/>
                  <w:tcBorders>
                    <w:tl2br w:val="nil"/>
                    <w:tr2bl w:val="nil"/>
                  </w:tcBorders>
                  <w:shd w:val="clear" w:color="auto" w:fill="auto"/>
                  <w:vAlign w:val="center"/>
                </w:tcPr>
                <w:p w14:paraId="3FE5CFDC">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本项目所属行业为泡沫塑料制造，不属于《重污染天气重点行业应急减排措施制定技术指南（2020年修订版）》（环办大气函〔2020〕340号）中规定的39个重点行业企业</w:t>
                  </w:r>
                </w:p>
              </w:tc>
              <w:tc>
                <w:tcPr>
                  <w:tcW w:w="264" w:type="pct"/>
                  <w:tcBorders>
                    <w:tl2br w:val="nil"/>
                    <w:tr2bl w:val="nil"/>
                  </w:tcBorders>
                  <w:shd w:val="clear" w:color="auto" w:fill="auto"/>
                  <w:vAlign w:val="center"/>
                </w:tcPr>
                <w:p w14:paraId="6E757854">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760E68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shd w:val="clear" w:color="auto" w:fill="auto"/>
                  <w:vAlign w:val="center"/>
                </w:tcPr>
                <w:p w14:paraId="66210B95">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eastAsia="宋体" w:cs="Times New Roman"/>
                      <w:bCs/>
                      <w:color w:val="auto"/>
                      <w:kern w:val="0"/>
                      <w:sz w:val="21"/>
                      <w:szCs w:val="21"/>
                      <w:highlight w:val="none"/>
                      <w:lang w:val="en-US" w:eastAsia="zh-CN" w:bidi="ar"/>
                    </w:rPr>
                    <w:t>《沣东新城大气污染治理专项行动方案（2023-2027年）》（西咸沣东党发〔2023〕29号）</w:t>
                  </w:r>
                </w:p>
              </w:tc>
              <w:tc>
                <w:tcPr>
                  <w:tcW w:w="2201" w:type="pct"/>
                  <w:tcBorders>
                    <w:tl2br w:val="nil"/>
                    <w:tr2bl w:val="nil"/>
                  </w:tcBorders>
                  <w:shd w:val="clear" w:color="auto" w:fill="auto"/>
                  <w:vAlign w:val="center"/>
                </w:tcPr>
                <w:p w14:paraId="444B0A3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eastAsia="宋体" w:cs="Times New Roman"/>
                      <w:bCs/>
                      <w:color w:val="auto"/>
                      <w:kern w:val="0"/>
                      <w:sz w:val="21"/>
                      <w:szCs w:val="21"/>
                      <w:highlight w:val="none"/>
                      <w:lang w:val="en-US" w:eastAsia="zh-CN" w:bidi="ar"/>
                    </w:rPr>
                    <w:t>严格落实涉气重点行业绩效评级限制条件。新、改、扩建涉气重点行业企业应达到环保绩效A级、绩效引领性水平。</w:t>
                  </w:r>
                </w:p>
              </w:tc>
              <w:tc>
                <w:tcPr>
                  <w:tcW w:w="1339" w:type="pct"/>
                  <w:vMerge w:val="continue"/>
                  <w:tcBorders>
                    <w:tl2br w:val="nil"/>
                    <w:tr2bl w:val="nil"/>
                  </w:tcBorders>
                  <w:shd w:val="clear" w:color="auto" w:fill="auto"/>
                  <w:vAlign w:val="center"/>
                </w:tcPr>
                <w:p w14:paraId="008581AE">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p>
              </w:tc>
              <w:tc>
                <w:tcPr>
                  <w:tcW w:w="264" w:type="pct"/>
                  <w:tcBorders>
                    <w:tl2br w:val="nil"/>
                    <w:tr2bl w:val="nil"/>
                  </w:tcBorders>
                  <w:shd w:val="clear" w:color="auto" w:fill="auto"/>
                  <w:vAlign w:val="center"/>
                </w:tcPr>
                <w:p w14:paraId="7F4F17A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eastAsia="宋体" w:cs="Times New Roman"/>
                      <w:bCs/>
                      <w:color w:val="auto"/>
                      <w:kern w:val="0"/>
                      <w:sz w:val="21"/>
                      <w:szCs w:val="21"/>
                      <w:highlight w:val="none"/>
                      <w:lang w:val="en-US" w:eastAsia="zh-CN" w:bidi="ar"/>
                    </w:rPr>
                    <w:t>符合</w:t>
                  </w:r>
                </w:p>
              </w:tc>
            </w:tr>
            <w:tr w14:paraId="2D3D8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62CF09D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66FDB22D">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eastAsia="宋体" w:cs="Times New Roman"/>
                      <w:bCs/>
                      <w:color w:val="auto"/>
                      <w:kern w:val="0"/>
                      <w:sz w:val="21"/>
                      <w:szCs w:val="21"/>
                      <w:highlight w:val="none"/>
                      <w:lang w:val="en-US" w:eastAsia="zh-CN" w:bidi="ar"/>
                    </w:rPr>
                    <w:t>强化 VOCs 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 VOCs 废气不再采用喷淋吸收方式处理。</w:t>
                  </w:r>
                </w:p>
              </w:tc>
              <w:tc>
                <w:tcPr>
                  <w:tcW w:w="1339" w:type="pct"/>
                  <w:tcBorders>
                    <w:tl2br w:val="nil"/>
                    <w:tr2bl w:val="nil"/>
                  </w:tcBorders>
                  <w:shd w:val="clear" w:color="auto" w:fill="auto"/>
                  <w:vAlign w:val="center"/>
                </w:tcPr>
                <w:p w14:paraId="69AD0378">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eastAsia="宋体" w:cs="Times New Roman"/>
                      <w:bCs/>
                      <w:color w:val="auto"/>
                      <w:kern w:val="0"/>
                      <w:sz w:val="21"/>
                      <w:szCs w:val="21"/>
                      <w:highlight w:val="none"/>
                      <w:lang w:val="en-US" w:eastAsia="zh-CN" w:bidi="ar"/>
                    </w:rPr>
                    <w:t>本项目产生的有机废气采用二级活性炭吸附装置处理后排放，治理措施不属于属于简易低效的挥发性有机物治理设施。项目建成后企业对生产和治污设施运行的关键参数进行记录。</w:t>
                  </w:r>
                </w:p>
              </w:tc>
              <w:tc>
                <w:tcPr>
                  <w:tcW w:w="264" w:type="pct"/>
                  <w:tcBorders>
                    <w:tl2br w:val="nil"/>
                    <w:tr2bl w:val="nil"/>
                  </w:tcBorders>
                  <w:shd w:val="clear" w:color="auto" w:fill="auto"/>
                  <w:vAlign w:val="center"/>
                </w:tcPr>
                <w:p w14:paraId="699BF4F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eastAsia="宋体" w:cs="Times New Roman"/>
                      <w:bCs/>
                      <w:color w:val="auto"/>
                      <w:kern w:val="0"/>
                      <w:sz w:val="21"/>
                      <w:szCs w:val="21"/>
                      <w:highlight w:val="none"/>
                      <w:lang w:val="en-US" w:eastAsia="zh-CN" w:bidi="ar"/>
                    </w:rPr>
                    <w:t>符合</w:t>
                  </w:r>
                </w:p>
              </w:tc>
            </w:tr>
            <w:tr w14:paraId="6BA663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66DAA183">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5DDEE19F">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eastAsia="宋体" w:cs="Times New Roman"/>
                      <w:bCs/>
                      <w:color w:val="auto"/>
                      <w:kern w:val="0"/>
                      <w:sz w:val="21"/>
                      <w:szCs w:val="21"/>
                      <w:highlight w:val="none"/>
                      <w:lang w:val="en-US" w:eastAsia="zh-CN" w:bidi="ar"/>
                    </w:rPr>
                    <w:t>推进非道路移动机械排放高标准化，督导重点区域范围内的项目工地使用新能源或国四排放标准及以上的非道路移动机械，其他区域的项目工地使用国三排放标准及以上的非道路移动机械。</w:t>
                  </w:r>
                </w:p>
              </w:tc>
              <w:tc>
                <w:tcPr>
                  <w:tcW w:w="1339" w:type="pct"/>
                  <w:tcBorders>
                    <w:tl2br w:val="nil"/>
                    <w:tr2bl w:val="nil"/>
                  </w:tcBorders>
                  <w:shd w:val="clear" w:color="auto" w:fill="auto"/>
                  <w:vAlign w:val="center"/>
                </w:tcPr>
                <w:p w14:paraId="060D7F9B">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cs="Times New Roman"/>
                      <w:bCs/>
                      <w:color w:val="auto"/>
                      <w:kern w:val="0"/>
                      <w:sz w:val="21"/>
                      <w:szCs w:val="21"/>
                      <w:highlight w:val="none"/>
                      <w:lang w:val="en-US" w:eastAsia="zh-CN" w:bidi="ar"/>
                    </w:rPr>
                    <w:t>本项目物料公路运输全部使用达到国五及以上排放标准重型载货车辆（含燃气）或新能源车辆；不涉及厂内运输车辆；厂内非道路移动机械全部达到国三及以上排放标准或使用新能源机械。</w:t>
                  </w:r>
                </w:p>
              </w:tc>
              <w:tc>
                <w:tcPr>
                  <w:tcW w:w="264" w:type="pct"/>
                  <w:tcBorders>
                    <w:tl2br w:val="nil"/>
                    <w:tr2bl w:val="nil"/>
                  </w:tcBorders>
                  <w:shd w:val="clear" w:color="auto" w:fill="auto"/>
                  <w:vAlign w:val="center"/>
                </w:tcPr>
                <w:p w14:paraId="38BCE690">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center"/>
                    <w:rPr>
                      <w:rFonts w:hint="default" w:ascii="Times New Roman" w:hAnsi="Times New Roman" w:eastAsia="宋体" w:cs="Times New Roman"/>
                      <w:bCs/>
                      <w:color w:val="auto"/>
                      <w:kern w:val="0"/>
                      <w:sz w:val="21"/>
                      <w:szCs w:val="21"/>
                      <w:highlight w:val="none"/>
                      <w:lang w:val="en-US" w:eastAsia="zh-CN" w:bidi="ar"/>
                    </w:rPr>
                  </w:pPr>
                  <w:r>
                    <w:rPr>
                      <w:rFonts w:hint="default" w:ascii="Times New Roman" w:hAnsi="Times New Roman" w:eastAsia="宋体" w:cs="Times New Roman"/>
                      <w:bCs/>
                      <w:color w:val="auto"/>
                      <w:kern w:val="0"/>
                      <w:sz w:val="21"/>
                      <w:szCs w:val="21"/>
                      <w:highlight w:val="none"/>
                      <w:lang w:val="en-US" w:eastAsia="zh-CN" w:bidi="ar"/>
                    </w:rPr>
                    <w:t>符合</w:t>
                  </w:r>
                </w:p>
              </w:tc>
            </w:tr>
            <w:tr w14:paraId="5FB77F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tcBorders>
                    <w:tl2br w:val="nil"/>
                    <w:tr2bl w:val="nil"/>
                  </w:tcBorders>
                  <w:vAlign w:val="center"/>
                </w:tcPr>
                <w:p w14:paraId="7AAB72F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《西安市人民政府办公厅关于印发大气污染治理专项行动 2024 年工作方案的通知》（市政办函〔2024〕25号）</w:t>
                  </w:r>
                </w:p>
              </w:tc>
              <w:tc>
                <w:tcPr>
                  <w:tcW w:w="2201" w:type="pct"/>
                  <w:tcBorders>
                    <w:tl2br w:val="nil"/>
                    <w:tr2bl w:val="nil"/>
                  </w:tcBorders>
                  <w:shd w:val="clear" w:color="auto" w:fill="auto"/>
                  <w:vAlign w:val="center"/>
                </w:tcPr>
                <w:p w14:paraId="1C3777E4">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强化涉活性炭 VOCs 处理工艺治理。深入开展简易低效挥发性有机物治理设施清理整治，组织开展涉活性炭挥发性有机物处理工艺专项整治行动，推广先进 VOCs治理工艺，全面提升 VOCs 治理水平。</w:t>
                  </w:r>
                </w:p>
              </w:tc>
              <w:tc>
                <w:tcPr>
                  <w:tcW w:w="1339" w:type="pct"/>
                  <w:vMerge w:val="restart"/>
                  <w:tcBorders>
                    <w:tl2br w:val="nil"/>
                    <w:tr2bl w:val="nil"/>
                  </w:tcBorders>
                  <w:shd w:val="clear" w:color="auto" w:fill="auto"/>
                  <w:vAlign w:val="center"/>
                </w:tcPr>
                <w:p w14:paraId="1714FD56">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本项目产生的有机废气采用二级活性炭吸附装置处理后排放，治理措施不属于属于简易低效的挥发性有机物治理设施</w:t>
                  </w:r>
                </w:p>
              </w:tc>
              <w:tc>
                <w:tcPr>
                  <w:tcW w:w="264" w:type="pct"/>
                  <w:tcBorders>
                    <w:tl2br w:val="nil"/>
                    <w:tr2bl w:val="nil"/>
                  </w:tcBorders>
                  <w:vAlign w:val="center"/>
                </w:tcPr>
                <w:p w14:paraId="46F286B9">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1FAEE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restart"/>
                  <w:tcBorders>
                    <w:tl2br w:val="nil"/>
                    <w:tr2bl w:val="nil"/>
                  </w:tcBorders>
                  <w:vAlign w:val="center"/>
                </w:tcPr>
                <w:p w14:paraId="7116535F">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《西咸新区大气污染治理专项行动2024年工作方案》（陕西咸党政办函〔2024〕21号）</w:t>
                  </w:r>
                </w:p>
              </w:tc>
              <w:tc>
                <w:tcPr>
                  <w:tcW w:w="2201" w:type="pct"/>
                  <w:tcBorders>
                    <w:tl2br w:val="nil"/>
                    <w:tr2bl w:val="nil"/>
                  </w:tcBorders>
                  <w:shd w:val="clear" w:color="auto" w:fill="auto"/>
                  <w:vAlign w:val="center"/>
                </w:tcPr>
                <w:p w14:paraId="1FE17FD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强化涉活性炭VOCs处理工艺治理。深入开展简易低效挥发性有机物治理设施清理整治，组织开展涉活性炭挥发性有机物处理工艺专项整治行动，推进先进VOCs治理工艺，全面提升VOCs治理水平。</w:t>
                  </w:r>
                </w:p>
              </w:tc>
              <w:tc>
                <w:tcPr>
                  <w:tcW w:w="1339" w:type="pct"/>
                  <w:vMerge w:val="continue"/>
                  <w:tcBorders>
                    <w:tl2br w:val="nil"/>
                    <w:tr2bl w:val="nil"/>
                  </w:tcBorders>
                  <w:shd w:val="clear" w:color="auto" w:fill="auto"/>
                  <w:vAlign w:val="center"/>
                </w:tcPr>
                <w:p w14:paraId="30723AD4">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64" w:type="pct"/>
                  <w:tcBorders>
                    <w:tl2br w:val="nil"/>
                    <w:tr2bl w:val="nil"/>
                  </w:tcBorders>
                  <w:vAlign w:val="center"/>
                </w:tcPr>
                <w:p w14:paraId="6DE81968">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183B7B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vAlign w:val="center"/>
                </w:tcPr>
                <w:p w14:paraId="7CF5D3E5">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32CCCDB9">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强化源头管控。严格落实国家、省、市及新区产业规划、产业政策、“三线一单”、规划环评、重点污染物总量控制、污染物排放区域削减等要求，积极推行区域、规划环境影响评价，新、改、扩建化工、石化、建材、有色等项目的环境影响评价应满足区域和规划环评要求</w:t>
                  </w:r>
                </w:p>
              </w:tc>
              <w:tc>
                <w:tcPr>
                  <w:tcW w:w="1339" w:type="pct"/>
                  <w:tcBorders>
                    <w:tl2br w:val="nil"/>
                    <w:tr2bl w:val="nil"/>
                  </w:tcBorders>
                  <w:shd w:val="clear" w:color="auto" w:fill="auto"/>
                  <w:vAlign w:val="center"/>
                </w:tcPr>
                <w:p w14:paraId="1C13B2FA">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本项目符合相关产业政策、“三线一单”及区域规划环评等要求；本项目不属于本条提出的严禁新增的相关行业</w:t>
                  </w:r>
                </w:p>
              </w:tc>
              <w:tc>
                <w:tcPr>
                  <w:tcW w:w="264" w:type="pct"/>
                  <w:tcBorders>
                    <w:tl2br w:val="nil"/>
                    <w:tr2bl w:val="nil"/>
                  </w:tcBorders>
                  <w:vAlign w:val="center"/>
                </w:tcPr>
                <w:p w14:paraId="0CB1952E">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r w14:paraId="72D4F7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95" w:type="pct"/>
                  <w:vMerge w:val="continue"/>
                  <w:tcBorders>
                    <w:tl2br w:val="nil"/>
                    <w:tr2bl w:val="nil"/>
                  </w:tcBorders>
                  <w:shd w:val="clear" w:color="auto" w:fill="auto"/>
                  <w:vAlign w:val="center"/>
                </w:tcPr>
                <w:p w14:paraId="1EDCBE43">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p>
              </w:tc>
              <w:tc>
                <w:tcPr>
                  <w:tcW w:w="2201" w:type="pct"/>
                  <w:tcBorders>
                    <w:tl2br w:val="nil"/>
                    <w:tr2bl w:val="nil"/>
                  </w:tcBorders>
                  <w:shd w:val="clear" w:color="auto" w:fill="auto"/>
                  <w:vAlign w:val="center"/>
                </w:tcPr>
                <w:p w14:paraId="28975B78">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坚持应替尽替原则，在工业企业集中开展低挥发性原辅材料源头替代工作，强化源头治理，减少挥发性有机物排放</w:t>
                  </w:r>
                </w:p>
              </w:tc>
              <w:tc>
                <w:tcPr>
                  <w:tcW w:w="1339" w:type="pct"/>
                  <w:tcBorders>
                    <w:tl2br w:val="nil"/>
                    <w:tr2bl w:val="nil"/>
                  </w:tcBorders>
                  <w:shd w:val="clear" w:color="auto" w:fill="auto"/>
                  <w:vAlign w:val="center"/>
                </w:tcPr>
                <w:p w14:paraId="1E7F25A5">
                  <w:pPr>
                    <w:widowControl/>
                    <w:spacing w:line="240" w:lineRule="auto"/>
                    <w:ind w:firstLine="0" w:firstLineChars="0"/>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本项目要求建设单位采用符合《胶粘剂挥发性有机化合物限量》（GB33372-2020）要求的热熔胶</w:t>
                  </w:r>
                </w:p>
              </w:tc>
              <w:tc>
                <w:tcPr>
                  <w:tcW w:w="264" w:type="pct"/>
                  <w:tcBorders>
                    <w:tl2br w:val="nil"/>
                    <w:tr2bl w:val="nil"/>
                  </w:tcBorders>
                  <w:vAlign w:val="center"/>
                </w:tcPr>
                <w:p w14:paraId="028CFBEF">
                  <w:pPr>
                    <w:widowControl/>
                    <w:spacing w:line="240" w:lineRule="auto"/>
                    <w:ind w:firstLine="0" w:firstLineChars="0"/>
                    <w:jc w:val="center"/>
                    <w:textAlignment w:val="center"/>
                    <w:rPr>
                      <w:rFonts w:hint="default" w:ascii="Times New Roman" w:hAnsi="Times New Roman" w:cs="Times New Roman"/>
                      <w:bCs/>
                      <w:color w:val="auto"/>
                      <w:kern w:val="0"/>
                      <w:sz w:val="21"/>
                      <w:szCs w:val="21"/>
                      <w:lang w:bidi="ar"/>
                    </w:rPr>
                  </w:pPr>
                  <w:r>
                    <w:rPr>
                      <w:rFonts w:hint="default" w:ascii="Times New Roman" w:hAnsi="Times New Roman" w:cs="Times New Roman"/>
                      <w:bCs/>
                      <w:color w:val="auto"/>
                      <w:kern w:val="0"/>
                      <w:sz w:val="21"/>
                      <w:szCs w:val="21"/>
                      <w:lang w:bidi="ar"/>
                    </w:rPr>
                    <w:t>符合</w:t>
                  </w:r>
                </w:p>
              </w:tc>
            </w:tr>
          </w:tbl>
          <w:p w14:paraId="6739B7B7">
            <w:pPr>
              <w:spacing w:line="336" w:lineRule="auto"/>
              <w:ind w:firstLine="482"/>
              <w:jc w:val="left"/>
              <w:rPr>
                <w:rFonts w:hint="default" w:ascii="Times New Roman" w:hAnsi="Times New Roman" w:cs="Times New Roman"/>
                <w:b/>
                <w:bCs/>
                <w:color w:val="auto"/>
              </w:rPr>
            </w:pPr>
            <w:r>
              <w:rPr>
                <w:rFonts w:hint="default" w:ascii="Times New Roman" w:hAnsi="Times New Roman" w:cs="Times New Roman"/>
                <w:b/>
                <w:bCs/>
                <w:color w:val="auto"/>
              </w:rPr>
              <w:t>3、产业政策符合性分析</w:t>
            </w:r>
          </w:p>
          <w:p w14:paraId="00301EB7">
            <w:pPr>
              <w:spacing w:line="336" w:lineRule="auto"/>
              <w:ind w:firstLine="480"/>
              <w:jc w:val="left"/>
              <w:rPr>
                <w:rFonts w:hint="default" w:ascii="Times New Roman" w:hAnsi="Times New Roman" w:cs="Times New Roman"/>
                <w:color w:val="auto"/>
              </w:rPr>
            </w:pPr>
            <w:r>
              <w:rPr>
                <w:rFonts w:hint="default" w:ascii="Times New Roman" w:hAnsi="Times New Roman" w:cs="Times New Roman"/>
                <w:color w:val="auto"/>
              </w:rPr>
              <w:t>本项目所属行业为泡沫塑料制造，根据《产业结构调整指导目录（2024年本）》，本项目不属于其中的鼓励类、限制类、淘汰类项目，视为允许类。根据《市场准入负面清单》（2022年版）（发改体改规[2022]397号）相关要求，本项目不属于禁止准入类和许可准入类项目。</w:t>
            </w:r>
          </w:p>
          <w:p w14:paraId="22EE7439">
            <w:pPr>
              <w:spacing w:line="336" w:lineRule="auto"/>
              <w:ind w:firstLine="480"/>
              <w:jc w:val="left"/>
              <w:rPr>
                <w:rFonts w:hint="default" w:ascii="Times New Roman" w:hAnsi="Times New Roman" w:cs="Times New Roman"/>
                <w:color w:val="auto"/>
              </w:rPr>
            </w:pPr>
            <w:r>
              <w:rPr>
                <w:rFonts w:hint="default" w:ascii="Times New Roman" w:hAnsi="Times New Roman" w:cs="Times New Roman"/>
                <w:color w:val="auto"/>
              </w:rPr>
              <w:t>因此，本项目符合国家产业政策。</w:t>
            </w:r>
          </w:p>
          <w:p w14:paraId="66A8278F">
            <w:pPr>
              <w:widowControl/>
              <w:spacing w:line="336" w:lineRule="auto"/>
              <w:ind w:firstLine="482" w:firstLineChars="0"/>
              <w:jc w:val="left"/>
              <w:rPr>
                <w:rFonts w:hint="default" w:ascii="Times New Roman" w:hAnsi="Times New Roman" w:cs="Times New Roman"/>
                <w:b/>
                <w:bCs/>
                <w:color w:val="auto"/>
              </w:rPr>
            </w:pPr>
            <w:r>
              <w:rPr>
                <w:rFonts w:hint="default" w:ascii="Times New Roman" w:hAnsi="Times New Roman" w:cs="Times New Roman"/>
                <w:b/>
                <w:bCs/>
                <w:color w:val="auto"/>
              </w:rPr>
              <w:t>4、选址符合性分析</w:t>
            </w:r>
          </w:p>
          <w:p w14:paraId="59503092">
            <w:pPr>
              <w:spacing w:line="336" w:lineRule="auto"/>
              <w:ind w:firstLine="480"/>
              <w:rPr>
                <w:rFonts w:hint="default" w:ascii="Times New Roman" w:hAnsi="Times New Roman" w:cs="Times New Roman"/>
                <w:color w:val="auto"/>
              </w:rPr>
            </w:pPr>
            <w:r>
              <w:rPr>
                <w:rFonts w:hint="default" w:ascii="Times New Roman" w:hAnsi="Times New Roman" w:cs="Times New Roman"/>
                <w:color w:val="auto"/>
              </w:rPr>
              <w:t>本项目位于陕西省西咸新区沣东新城斗门街办沣惠渠南岸15号，租赁长安油毡原纸厂已建厂房及办公区进行生产办公。</w:t>
            </w:r>
            <w:r>
              <w:rPr>
                <w:rFonts w:hint="default" w:ascii="Times New Roman" w:hAnsi="Times New Roman" w:cs="Times New Roman"/>
                <w:color w:val="auto"/>
                <w:lang w:val="en-US" w:eastAsia="zh-CN"/>
              </w:rPr>
              <w:t>根据</w:t>
            </w:r>
            <w:r>
              <w:rPr>
                <w:rFonts w:hint="default" w:ascii="Times New Roman" w:hAnsi="Times New Roman" w:cs="Times New Roman"/>
                <w:color w:val="auto"/>
              </w:rPr>
              <w:t>《西咸新区-沣东新城分区规划（2010-2020）</w:t>
            </w:r>
            <w:r>
              <w:rPr>
                <w:rFonts w:hint="default" w:ascii="Times New Roman" w:hAnsi="Times New Roman" w:cs="Times New Roman"/>
                <w:color w:val="auto"/>
                <w:lang w:val="en-US" w:eastAsia="zh-CN"/>
              </w:rPr>
              <w:t>土地利用规划图</w:t>
            </w:r>
            <w:r>
              <w:rPr>
                <w:rFonts w:hint="default" w:ascii="Times New Roman" w:hAnsi="Times New Roman" w:cs="Times New Roman"/>
                <w:color w:val="auto"/>
              </w:rPr>
              <w:t>》</w:t>
            </w:r>
            <w:r>
              <w:rPr>
                <w:rFonts w:hint="default" w:ascii="Times New Roman" w:hAnsi="Times New Roman" w:cs="Times New Roman"/>
                <w:color w:val="auto"/>
                <w:lang w:val="en-US" w:eastAsia="zh-CN"/>
              </w:rPr>
              <w:t>及</w:t>
            </w:r>
            <w:r>
              <w:rPr>
                <w:rFonts w:hint="default" w:ascii="Times New Roman" w:hAnsi="Times New Roman" w:cs="Times New Roman"/>
                <w:color w:val="auto"/>
              </w:rPr>
              <w:t>《西咸新区-沣东新城分区规划（2010-2020）</w:t>
            </w:r>
            <w:r>
              <w:rPr>
                <w:rFonts w:hint="default" w:ascii="Times New Roman" w:hAnsi="Times New Roman" w:cs="Times New Roman"/>
                <w:color w:val="auto"/>
                <w:lang w:val="en-US" w:eastAsia="zh-CN"/>
              </w:rPr>
              <w:t>说明书</w:t>
            </w:r>
            <w:r>
              <w:rPr>
                <w:rFonts w:hint="default" w:ascii="Times New Roman" w:hAnsi="Times New Roman" w:cs="Times New Roman"/>
                <w:color w:val="auto"/>
              </w:rPr>
              <w:t>》</w:t>
            </w:r>
            <w:r>
              <w:rPr>
                <w:rFonts w:hint="default" w:ascii="Times New Roman" w:hAnsi="Times New Roman" w:cs="Times New Roman"/>
                <w:color w:val="auto"/>
                <w:lang w:val="en-US" w:eastAsia="zh-CN"/>
              </w:rPr>
              <w:t>，本项目位于其</w:t>
            </w:r>
            <w:r>
              <w:rPr>
                <w:rFonts w:hint="default" w:ascii="Times New Roman" w:hAnsi="Times New Roman" w:cs="Times New Roman"/>
                <w:color w:val="auto"/>
              </w:rPr>
              <w:t>中的昆明池生态文化板块，</w:t>
            </w:r>
            <w:r>
              <w:rPr>
                <w:rFonts w:hint="default" w:ascii="Times New Roman" w:hAnsi="Times New Roman" w:cs="Times New Roman"/>
                <w:color w:val="auto"/>
              </w:rPr>
              <w:t>为</w:t>
            </w:r>
            <w:r>
              <w:rPr>
                <w:rFonts w:hint="default" w:ascii="Times New Roman" w:hAnsi="Times New Roman" w:cs="Times New Roman"/>
                <w:color w:val="auto"/>
              </w:rPr>
              <w:t>重点预留地区</w:t>
            </w:r>
            <w:r>
              <w:rPr>
                <w:rFonts w:hint="default" w:ascii="Times New Roman" w:hAnsi="Times New Roman" w:cs="Times New Roman"/>
                <w:color w:val="auto"/>
              </w:rPr>
              <w:t>，暂未进行详细规划</w:t>
            </w:r>
            <w:r>
              <w:rPr>
                <w:rFonts w:hint="default" w:ascii="Times New Roman" w:hAnsi="Times New Roman" w:cs="Times New Roman"/>
                <w:color w:val="auto"/>
              </w:rPr>
              <w:t>；根据西安市自然资源和规划局2024年7月26日发布的《西咸新区详细规划管控一张图公示》，本项目所在地规划为机关团体用地，与现状的集体建设用地不符；由于项目所在地暂未实施规划，本项目依托现有厂房建设，不涉及新增用地，项目建设符合现状用地性质，后期规划实施时，本项目无条件配合搬迁（具体见附件4）。</w:t>
            </w:r>
          </w:p>
          <w:p w14:paraId="483BDBFC">
            <w:pPr>
              <w:spacing w:line="336" w:lineRule="auto"/>
              <w:ind w:firstLine="480"/>
              <w:rPr>
                <w:rFonts w:hint="default" w:ascii="Times New Roman" w:hAnsi="Times New Roman" w:cs="Times New Roman"/>
                <w:color w:val="auto"/>
              </w:rPr>
            </w:pPr>
            <w:r>
              <w:rPr>
                <w:rFonts w:hint="default" w:ascii="Times New Roman" w:hAnsi="Times New Roman" w:cs="Times New Roman"/>
                <w:color w:val="auto"/>
              </w:rPr>
              <w:t>项目所在区域交通运输便捷，水电设施完善，经分析，项目运营期间在采取环评报告中提出的环保措施后，污染物均可达标排放，且项目周边500m范围内无自然保护区、风景名胜区、居住区、文化区和农村地区中人群较集中的区域，对项目区环境影响较小。</w:t>
            </w:r>
          </w:p>
          <w:p w14:paraId="21DA88BB">
            <w:pPr>
              <w:spacing w:line="336" w:lineRule="auto"/>
              <w:ind w:firstLine="480"/>
              <w:rPr>
                <w:rFonts w:hint="default" w:ascii="Times New Roman" w:hAnsi="Times New Roman" w:cs="Times New Roman"/>
                <w:color w:val="auto"/>
              </w:rPr>
            </w:pPr>
            <w:r>
              <w:rPr>
                <w:rFonts w:hint="default" w:ascii="Times New Roman" w:hAnsi="Times New Roman" w:cs="Times New Roman"/>
                <w:color w:val="auto"/>
              </w:rPr>
              <w:t>从环境保护角度分析，本项目选址可行。</w:t>
            </w:r>
          </w:p>
        </w:tc>
      </w:tr>
    </w:tbl>
    <w:p w14:paraId="0B574FD0">
      <w:pPr>
        <w:pStyle w:val="6"/>
        <w:ind w:firstLine="480"/>
        <w:rPr>
          <w:rFonts w:hint="default" w:ascii="Times New Roman" w:hAnsi="Times New Roman" w:cs="Times New Roman"/>
          <w:color w:val="auto"/>
        </w:rPr>
        <w:sectPr>
          <w:pgSz w:w="11906" w:h="16838"/>
          <w:pgMar w:top="1701" w:right="1531" w:bottom="1701" w:left="1531" w:header="851" w:footer="1077" w:gutter="0"/>
          <w:cols w:space="720" w:num="1"/>
          <w:docGrid w:linePitch="312" w:charSpace="0"/>
        </w:sectPr>
      </w:pPr>
    </w:p>
    <w:p w14:paraId="483CE5E7">
      <w:pPr>
        <w:pStyle w:val="23"/>
        <w:spacing w:line="240" w:lineRule="auto"/>
        <w:ind w:firstLine="0" w:firstLineChars="0"/>
        <w:jc w:val="center"/>
        <w:outlineLvl w:val="0"/>
        <w:rPr>
          <w:rFonts w:hint="default" w:ascii="Times New Roman" w:hAnsi="Times New Roman" w:eastAsia="黑体" w:cs="Times New Roman"/>
          <w:snapToGrid w:val="0"/>
          <w:color w:val="auto"/>
          <w:kern w:val="21"/>
          <w:sz w:val="30"/>
          <w:szCs w:val="30"/>
        </w:rPr>
      </w:pPr>
      <w:r>
        <w:rPr>
          <w:rFonts w:hint="default" w:ascii="Times New Roman" w:hAnsi="Times New Roman" w:eastAsia="黑体" w:cs="Times New Roman"/>
          <w:snapToGrid w:val="0"/>
          <w:color w:val="auto"/>
          <w:kern w:val="21"/>
          <w:sz w:val="30"/>
          <w:szCs w:val="30"/>
        </w:rPr>
        <w:t>二、建设项目工程分析</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4"/>
      </w:tblGrid>
      <w:tr w14:paraId="675FC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 w:type="pct"/>
            <w:vAlign w:val="center"/>
          </w:tcPr>
          <w:p w14:paraId="173B1FFE">
            <w:pPr>
              <w:pStyle w:val="23"/>
              <w:widowControl w:val="0"/>
              <w:kinsoku w:val="0"/>
              <w:overflowPunct w:val="0"/>
              <w:spacing w:line="240" w:lineRule="auto"/>
              <w:ind w:firstLine="0" w:firstLineChars="0"/>
              <w:jc w:val="center"/>
              <w:outlineLvl w:val="0"/>
              <w:rPr>
                <w:rFonts w:hint="default" w:ascii="Times New Roman" w:hAnsi="Times New Roman" w:cs="Times New Roman"/>
                <w:snapToGrid w:val="0"/>
                <w:color w:val="auto"/>
                <w:kern w:val="21"/>
                <w:szCs w:val="24"/>
              </w:rPr>
            </w:pPr>
            <w:r>
              <w:rPr>
                <w:rFonts w:hint="default" w:ascii="Times New Roman" w:hAnsi="Times New Roman" w:cs="Times New Roman"/>
                <w:color w:val="auto"/>
                <w:kern w:val="21"/>
                <w:szCs w:val="24"/>
              </w:rPr>
              <w:t>建设内容</w:t>
            </w:r>
          </w:p>
        </w:tc>
        <w:tc>
          <w:tcPr>
            <w:tcW w:w="4748" w:type="pct"/>
            <w:shd w:val="clear" w:color="auto" w:fill="auto"/>
          </w:tcPr>
          <w:p w14:paraId="7483CDF2">
            <w:pPr>
              <w:pStyle w:val="34"/>
              <w:ind w:firstLine="482"/>
              <w:rPr>
                <w:rFonts w:hint="default" w:ascii="Times New Roman" w:hAnsi="Times New Roman" w:eastAsia="宋体" w:cs="Times New Roman"/>
                <w:b/>
                <w:bCs/>
                <w:color w:val="auto"/>
              </w:rPr>
            </w:pPr>
            <w:r>
              <w:rPr>
                <w:rFonts w:hint="default" w:ascii="Times New Roman" w:hAnsi="Times New Roman" w:eastAsia="宋体" w:cs="Times New Roman"/>
                <w:b/>
                <w:bCs/>
                <w:color w:val="auto"/>
              </w:rPr>
              <w:t>1、项目由来</w:t>
            </w:r>
          </w:p>
          <w:p w14:paraId="4A00B60B">
            <w:pPr>
              <w:ind w:firstLine="480"/>
              <w:rPr>
                <w:rFonts w:hint="default" w:ascii="Times New Roman" w:hAnsi="Times New Roman" w:cs="Times New Roman"/>
                <w:color w:val="auto"/>
              </w:rPr>
            </w:pPr>
            <w:r>
              <w:rPr>
                <w:rFonts w:hint="default" w:ascii="Times New Roman" w:hAnsi="Times New Roman" w:cs="Times New Roman"/>
                <w:color w:val="auto"/>
              </w:rPr>
              <w:t>陕西沣汇明阳包装材料有限公司位于陕西省西咸新区沣东新城斗门街办沣惠渠南岸15号，租赁长安油毡原纸厂现有厂房及办公区进行生产办公</w:t>
            </w:r>
            <w:r>
              <w:rPr>
                <w:rFonts w:hint="default" w:ascii="Times New Roman" w:hAnsi="Times New Roman" w:cs="Times New Roman"/>
                <w:color w:val="auto"/>
                <w:lang w:eastAsia="zh-CN"/>
              </w:rPr>
              <w:t>，</w:t>
            </w:r>
            <w:r>
              <w:rPr>
                <w:rFonts w:hint="default" w:ascii="Times New Roman" w:hAnsi="Times New Roman" w:cs="Times New Roman"/>
                <w:color w:val="auto"/>
              </w:rPr>
              <w:t>长安油毡原纸厂租用蒲阳村19.45亩集体建设用地用以建设厂房，该厂房于1996年建成投入生产经营，未办理环评手续，2010年~2018年6月长安油毡原纸厂处于停产状态，直到陕西双夏包装材料有限公司于2018年6月2日租赁该厂房开始建设珍珠棉及深加工产品生产线项目，期间未履行环保手续，西安市生态环境局于2023年7月11日出具关于该项目未批先建的《责令改正违法行为决定书》（陕A西咸沣东环违改〔2023〕64号），陕西双夏包装材料有限公司于2023年8月22日缴纳罚款，后因经营不善倒闭，将生产设备全部出售给陕西沣汇明阳包装材料有限公司，2024年7月陕西沣汇明阳包装材料有限公司接手陕西双夏包装材料有限公司所有生产设备继续进行珍珠棉包装材料生产项目建设。</w:t>
            </w:r>
          </w:p>
          <w:p w14:paraId="6F3FC90F">
            <w:pPr>
              <w:pStyle w:val="34"/>
              <w:ind w:firstLine="482"/>
              <w:rPr>
                <w:rFonts w:hint="default" w:ascii="Times New Roman" w:hAnsi="Times New Roman" w:eastAsia="宋体" w:cs="Times New Roman"/>
                <w:b/>
                <w:bCs/>
                <w:color w:val="auto"/>
              </w:rPr>
            </w:pPr>
            <w:r>
              <w:rPr>
                <w:rFonts w:hint="default" w:ascii="Times New Roman" w:hAnsi="Times New Roman" w:eastAsia="宋体" w:cs="Times New Roman"/>
                <w:b/>
                <w:bCs/>
                <w:color w:val="auto"/>
              </w:rPr>
              <w:t>2、项目概况</w:t>
            </w:r>
          </w:p>
          <w:p w14:paraId="3863D2E9">
            <w:pPr>
              <w:ind w:firstLine="480"/>
              <w:rPr>
                <w:rFonts w:hint="default" w:ascii="Times New Roman" w:hAnsi="Times New Roman" w:cs="Times New Roman"/>
                <w:color w:val="auto"/>
              </w:rPr>
            </w:pPr>
            <w:r>
              <w:rPr>
                <w:rFonts w:hint="default" w:ascii="Times New Roman" w:hAnsi="Times New Roman" w:cs="Times New Roman"/>
                <w:color w:val="auto"/>
              </w:rPr>
              <w:t>（1）项目名称：陕西沣汇明阳包装材料有限公司珍珠棉包装材料生产项目</w:t>
            </w:r>
          </w:p>
          <w:p w14:paraId="5CAF22C1">
            <w:pPr>
              <w:ind w:firstLine="480"/>
              <w:rPr>
                <w:rFonts w:hint="default" w:ascii="Times New Roman" w:hAnsi="Times New Roman" w:cs="Times New Roman"/>
                <w:color w:val="auto"/>
              </w:rPr>
            </w:pPr>
            <w:r>
              <w:rPr>
                <w:rFonts w:hint="default" w:ascii="Times New Roman" w:hAnsi="Times New Roman" w:cs="Times New Roman"/>
                <w:color w:val="auto"/>
              </w:rPr>
              <w:t>（2）建设性质：新建</w:t>
            </w:r>
          </w:p>
          <w:p w14:paraId="57F38435">
            <w:pPr>
              <w:ind w:firstLine="480"/>
              <w:rPr>
                <w:rFonts w:hint="default" w:ascii="Times New Roman" w:hAnsi="Times New Roman" w:cs="Times New Roman"/>
                <w:color w:val="auto"/>
              </w:rPr>
            </w:pPr>
            <w:r>
              <w:rPr>
                <w:rFonts w:hint="default" w:ascii="Times New Roman" w:hAnsi="Times New Roman" w:cs="Times New Roman"/>
                <w:color w:val="auto"/>
              </w:rPr>
              <w:t>（3）建设规模：建设发泡线3条，复合线2条、造粒线1条及深加工生产线1条，年产珍珠棉产品828t。</w:t>
            </w:r>
          </w:p>
          <w:p w14:paraId="4296EF44">
            <w:pPr>
              <w:ind w:firstLine="480"/>
              <w:rPr>
                <w:rFonts w:hint="default" w:ascii="Times New Roman" w:hAnsi="Times New Roman" w:cs="Times New Roman"/>
                <w:color w:val="auto"/>
              </w:rPr>
            </w:pPr>
            <w:r>
              <w:rPr>
                <w:rFonts w:hint="default" w:ascii="Times New Roman" w:hAnsi="Times New Roman" w:cs="Times New Roman"/>
                <w:color w:val="auto"/>
              </w:rPr>
              <w:t>（4）建设地点与四邻关系：项目位于陕西省西咸新区沣东新城斗门街办沣惠渠南岸15号，租赁长安油毡原纸厂现有厂房及办公区进行生产办公。项目厂区北侧为道路及沣惠渠，西侧为农田，东侧为农田、停车场，南侧为农田。</w:t>
            </w:r>
          </w:p>
          <w:p w14:paraId="4AED422D">
            <w:pPr>
              <w:bidi w:val="0"/>
              <w:rPr>
                <w:rFonts w:hint="default" w:ascii="Times New Roman" w:hAnsi="Times New Roman" w:cs="Times New Roman"/>
                <w:b/>
                <w:bCs/>
                <w:color w:val="auto"/>
              </w:rPr>
            </w:pPr>
            <w:r>
              <w:rPr>
                <w:rFonts w:hint="default" w:ascii="Times New Roman" w:hAnsi="Times New Roman" w:cs="Times New Roman"/>
                <w:b/>
                <w:bCs/>
                <w:color w:val="auto"/>
              </w:rPr>
              <w:t>3、项目组成</w:t>
            </w:r>
          </w:p>
          <w:p w14:paraId="224A9661">
            <w:pPr>
              <w:ind w:firstLine="480"/>
              <w:rPr>
                <w:rFonts w:hint="default" w:ascii="Times New Roman" w:hAnsi="Times New Roman" w:cs="Times New Roman"/>
                <w:color w:val="auto"/>
              </w:rPr>
            </w:pPr>
            <w:r>
              <w:rPr>
                <w:rFonts w:hint="default" w:ascii="Times New Roman" w:hAnsi="Times New Roman" w:cs="Times New Roman"/>
                <w:color w:val="auto"/>
              </w:rPr>
              <w:t>本项目总占地面积为12966.7m</w:t>
            </w:r>
            <w:r>
              <w:rPr>
                <w:rFonts w:hint="default" w:ascii="Times New Roman" w:hAnsi="Times New Roman" w:cs="Times New Roman"/>
                <w:color w:val="auto"/>
                <w:vertAlign w:val="superscript"/>
              </w:rPr>
              <w:t>2</w:t>
            </w:r>
            <w:r>
              <w:rPr>
                <w:rFonts w:hint="default" w:ascii="Times New Roman" w:hAnsi="Times New Roman" w:cs="Times New Roman"/>
                <w:bCs/>
                <w:color w:val="auto"/>
                <w:kern w:val="0"/>
              </w:rPr>
              <w:t>，建设发泡线3条，复合线2条、造粒线1条及深加工生产线1条，年产珍珠棉产品828t</w:t>
            </w:r>
            <w:r>
              <w:rPr>
                <w:rFonts w:hint="default" w:ascii="Times New Roman" w:hAnsi="Times New Roman" w:cs="Times New Roman"/>
                <w:color w:val="auto"/>
              </w:rPr>
              <w:t>。项目按主体工程、公用工程、储运工程、依托工程、环保工程划分，项目组成及主要建设内容见下表。</w:t>
            </w:r>
          </w:p>
          <w:p w14:paraId="36EE3AF1">
            <w:pPr>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表2-1  建设项目组成一览表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1064"/>
              <w:gridCol w:w="5479"/>
              <w:gridCol w:w="1291"/>
            </w:tblGrid>
            <w:tr w14:paraId="5FB321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tcBorders>
                    <w:tl2br w:val="nil"/>
                    <w:tr2bl w:val="nil"/>
                  </w:tcBorders>
                  <w:tcMar>
                    <w:left w:w="57" w:type="dxa"/>
                    <w:right w:w="57" w:type="dxa"/>
                  </w:tcMar>
                  <w:vAlign w:val="center"/>
                </w:tcPr>
                <w:p w14:paraId="3D39999D">
                  <w:pPr>
                    <w:spacing w:line="240" w:lineRule="auto"/>
                    <w:ind w:firstLine="0" w:firstLineChars="0"/>
                    <w:jc w:val="center"/>
                    <w:rPr>
                      <w:rFonts w:hint="default" w:ascii="Times New Roman" w:hAnsi="Times New Roman" w:cs="Times New Roman"/>
                      <w:b/>
                      <w:snapToGrid w:val="0"/>
                      <w:color w:val="auto"/>
                      <w:sz w:val="21"/>
                      <w:szCs w:val="21"/>
                    </w:rPr>
                  </w:pPr>
                  <w:r>
                    <w:rPr>
                      <w:rFonts w:hint="default" w:ascii="Times New Roman" w:hAnsi="Times New Roman" w:cs="Times New Roman"/>
                      <w:b/>
                      <w:snapToGrid w:val="0"/>
                      <w:color w:val="auto"/>
                      <w:sz w:val="21"/>
                      <w:szCs w:val="21"/>
                    </w:rPr>
                    <w:t>工程类别</w:t>
                  </w:r>
                </w:p>
              </w:tc>
              <w:tc>
                <w:tcPr>
                  <w:tcW w:w="634" w:type="pct"/>
                  <w:tcBorders>
                    <w:tl2br w:val="nil"/>
                    <w:tr2bl w:val="nil"/>
                  </w:tcBorders>
                  <w:tcMar>
                    <w:left w:w="57" w:type="dxa"/>
                    <w:right w:w="57" w:type="dxa"/>
                  </w:tcMar>
                  <w:vAlign w:val="center"/>
                </w:tcPr>
                <w:p w14:paraId="6834D100">
                  <w:pPr>
                    <w:spacing w:line="240" w:lineRule="auto"/>
                    <w:ind w:firstLine="0" w:firstLineChars="0"/>
                    <w:jc w:val="center"/>
                    <w:rPr>
                      <w:rFonts w:hint="default" w:ascii="Times New Roman" w:hAnsi="Times New Roman" w:cs="Times New Roman"/>
                      <w:b/>
                      <w:snapToGrid w:val="0"/>
                      <w:color w:val="auto"/>
                      <w:sz w:val="21"/>
                      <w:szCs w:val="21"/>
                    </w:rPr>
                  </w:pPr>
                  <w:r>
                    <w:rPr>
                      <w:rFonts w:hint="default" w:ascii="Times New Roman" w:hAnsi="Times New Roman" w:cs="Times New Roman"/>
                      <w:b/>
                      <w:snapToGrid w:val="0"/>
                      <w:color w:val="auto"/>
                      <w:sz w:val="21"/>
                      <w:szCs w:val="21"/>
                    </w:rPr>
                    <w:t>工程名称</w:t>
                  </w:r>
                </w:p>
              </w:tc>
              <w:tc>
                <w:tcPr>
                  <w:tcW w:w="3265" w:type="pct"/>
                  <w:tcBorders>
                    <w:tl2br w:val="nil"/>
                    <w:tr2bl w:val="nil"/>
                  </w:tcBorders>
                  <w:tcMar>
                    <w:left w:w="57" w:type="dxa"/>
                    <w:right w:w="57" w:type="dxa"/>
                  </w:tcMar>
                  <w:vAlign w:val="center"/>
                </w:tcPr>
                <w:p w14:paraId="7744AE36">
                  <w:pPr>
                    <w:tabs>
                      <w:tab w:val="left" w:pos="3570"/>
                    </w:tabs>
                    <w:spacing w:line="240" w:lineRule="auto"/>
                    <w:ind w:firstLine="0" w:firstLineChars="0"/>
                    <w:jc w:val="center"/>
                    <w:rPr>
                      <w:rFonts w:hint="default" w:ascii="Times New Roman" w:hAnsi="Times New Roman" w:cs="Times New Roman"/>
                      <w:b/>
                      <w:snapToGrid w:val="0"/>
                      <w:color w:val="auto"/>
                      <w:sz w:val="21"/>
                      <w:szCs w:val="21"/>
                    </w:rPr>
                  </w:pPr>
                  <w:r>
                    <w:rPr>
                      <w:rFonts w:hint="default" w:ascii="Times New Roman" w:hAnsi="Times New Roman" w:cs="Times New Roman"/>
                      <w:b/>
                      <w:snapToGrid w:val="0"/>
                      <w:color w:val="auto"/>
                      <w:sz w:val="21"/>
                      <w:szCs w:val="21"/>
                    </w:rPr>
                    <w:t>主要建设内容</w:t>
                  </w:r>
                </w:p>
              </w:tc>
              <w:tc>
                <w:tcPr>
                  <w:tcW w:w="769" w:type="pct"/>
                  <w:tcBorders>
                    <w:tl2br w:val="nil"/>
                    <w:tr2bl w:val="nil"/>
                  </w:tcBorders>
                  <w:tcMar>
                    <w:left w:w="57" w:type="dxa"/>
                    <w:right w:w="57" w:type="dxa"/>
                  </w:tcMar>
                  <w:vAlign w:val="center"/>
                </w:tcPr>
                <w:p w14:paraId="0E399C9B">
                  <w:pPr>
                    <w:spacing w:line="240" w:lineRule="auto"/>
                    <w:ind w:firstLine="0" w:firstLineChars="0"/>
                    <w:jc w:val="center"/>
                    <w:rPr>
                      <w:rFonts w:hint="default" w:ascii="Times New Roman" w:hAnsi="Times New Roman" w:cs="Times New Roman"/>
                      <w:b/>
                      <w:snapToGrid w:val="0"/>
                      <w:color w:val="auto"/>
                      <w:sz w:val="21"/>
                      <w:szCs w:val="21"/>
                    </w:rPr>
                  </w:pPr>
                  <w:r>
                    <w:rPr>
                      <w:rFonts w:hint="default" w:ascii="Times New Roman" w:hAnsi="Times New Roman" w:cs="Times New Roman"/>
                      <w:b/>
                      <w:snapToGrid w:val="0"/>
                      <w:color w:val="auto"/>
                      <w:sz w:val="21"/>
                      <w:szCs w:val="21"/>
                    </w:rPr>
                    <w:t>备注</w:t>
                  </w:r>
                </w:p>
              </w:tc>
            </w:tr>
            <w:tr w14:paraId="15D973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restart"/>
                  <w:tcBorders>
                    <w:tl2br w:val="nil"/>
                    <w:tr2bl w:val="nil"/>
                  </w:tcBorders>
                  <w:tcMar>
                    <w:left w:w="57" w:type="dxa"/>
                    <w:right w:w="57" w:type="dxa"/>
                  </w:tcMar>
                  <w:vAlign w:val="center"/>
                </w:tcPr>
                <w:p w14:paraId="1E34FF10">
                  <w:pPr>
                    <w:spacing w:line="240" w:lineRule="auto"/>
                    <w:ind w:firstLine="0" w:firstLineChars="0"/>
                    <w:jc w:val="center"/>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主体工程</w:t>
                  </w:r>
                </w:p>
              </w:tc>
              <w:tc>
                <w:tcPr>
                  <w:tcW w:w="634" w:type="pct"/>
                  <w:tcBorders>
                    <w:tl2br w:val="nil"/>
                    <w:tr2bl w:val="nil"/>
                  </w:tcBorders>
                  <w:tcMar>
                    <w:left w:w="57" w:type="dxa"/>
                    <w:right w:w="57" w:type="dxa"/>
                  </w:tcMar>
                  <w:vAlign w:val="center"/>
                </w:tcPr>
                <w:p w14:paraId="05D5D69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发泡车间</w:t>
                  </w:r>
                </w:p>
              </w:tc>
              <w:tc>
                <w:tcPr>
                  <w:tcW w:w="3265" w:type="pct"/>
                  <w:tcBorders>
                    <w:tl2br w:val="nil"/>
                    <w:tr2bl w:val="nil"/>
                  </w:tcBorders>
                  <w:tcMar>
                    <w:left w:w="57" w:type="dxa"/>
                    <w:right w:w="57" w:type="dxa"/>
                  </w:tcMar>
                  <w:vAlign w:val="center"/>
                </w:tcPr>
                <w:p w14:paraId="455154DE">
                  <w:pPr>
                    <w:spacing w:line="240" w:lineRule="auto"/>
                    <w:ind w:firstLine="0" w:firstLineChars="0"/>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建筑面积约1173m</w:t>
                  </w:r>
                  <w:r>
                    <w:rPr>
                      <w:rFonts w:hint="default" w:ascii="Times New Roman" w:hAnsi="Times New Roman" w:cs="Times New Roman"/>
                      <w:snapToGrid w:val="0"/>
                      <w:color w:val="auto"/>
                      <w:sz w:val="21"/>
                      <w:szCs w:val="21"/>
                      <w:vertAlign w:val="superscript"/>
                    </w:rPr>
                    <w:t>2</w:t>
                  </w:r>
                  <w:r>
                    <w:rPr>
                      <w:rFonts w:hint="default" w:ascii="Times New Roman" w:hAnsi="Times New Roman" w:cs="Times New Roman"/>
                      <w:snapToGrid w:val="0"/>
                      <w:color w:val="auto"/>
                      <w:sz w:val="21"/>
                      <w:szCs w:val="21"/>
                    </w:rPr>
                    <w:t>，位于厂区东北侧，设置发泡线3条，主要设备有发泡机3台、冷却塔1台等，主要用于聚乙烯颗粒（LDPE）的发泡挤出</w:t>
                  </w:r>
                </w:p>
              </w:tc>
              <w:tc>
                <w:tcPr>
                  <w:tcW w:w="769" w:type="pct"/>
                  <w:vMerge w:val="restart"/>
                  <w:tcBorders>
                    <w:tl2br w:val="nil"/>
                    <w:tr2bl w:val="nil"/>
                  </w:tcBorders>
                  <w:tcMar>
                    <w:left w:w="57" w:type="dxa"/>
                    <w:right w:w="57" w:type="dxa"/>
                  </w:tcMar>
                  <w:vAlign w:val="center"/>
                </w:tcPr>
                <w:p w14:paraId="4888CB2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依托原有，已建成</w:t>
                  </w:r>
                </w:p>
              </w:tc>
            </w:tr>
            <w:tr w14:paraId="0357F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07750079">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tcBorders>
                    <w:tl2br w:val="nil"/>
                    <w:tr2bl w:val="nil"/>
                  </w:tcBorders>
                  <w:shd w:val="clear" w:color="auto" w:fill="auto"/>
                  <w:tcMar>
                    <w:left w:w="57" w:type="dxa"/>
                    <w:right w:w="57" w:type="dxa"/>
                  </w:tcMar>
                  <w:vAlign w:val="center"/>
                </w:tcPr>
                <w:p w14:paraId="2C0D763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裁片车间</w:t>
                  </w:r>
                </w:p>
              </w:tc>
              <w:tc>
                <w:tcPr>
                  <w:tcW w:w="3265" w:type="pct"/>
                  <w:tcBorders>
                    <w:tl2br w:val="nil"/>
                    <w:tr2bl w:val="nil"/>
                  </w:tcBorders>
                  <w:shd w:val="clear" w:color="auto" w:fill="auto"/>
                  <w:tcMar>
                    <w:left w:w="57" w:type="dxa"/>
                    <w:right w:w="57" w:type="dxa"/>
                  </w:tcMar>
                  <w:vAlign w:val="center"/>
                </w:tcPr>
                <w:p w14:paraId="0A177D9F">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snapToGrid w:val="0"/>
                      <w:color w:val="auto"/>
                      <w:sz w:val="21"/>
                      <w:szCs w:val="21"/>
                    </w:rPr>
                    <w:t>建筑面积约300m</w:t>
                  </w:r>
                  <w:r>
                    <w:rPr>
                      <w:rFonts w:hint="default" w:ascii="Times New Roman" w:hAnsi="Times New Roman" w:cs="Times New Roman"/>
                      <w:snapToGrid w:val="0"/>
                      <w:color w:val="auto"/>
                      <w:sz w:val="21"/>
                      <w:szCs w:val="21"/>
                      <w:vertAlign w:val="superscript"/>
                    </w:rPr>
                    <w:t>2</w:t>
                  </w:r>
                  <w:r>
                    <w:rPr>
                      <w:rFonts w:hint="default" w:ascii="Times New Roman" w:hAnsi="Times New Roman" w:cs="Times New Roman"/>
                      <w:snapToGrid w:val="0"/>
                      <w:color w:val="auto"/>
                      <w:sz w:val="21"/>
                      <w:szCs w:val="21"/>
                    </w:rPr>
                    <w:t>，位于厂区北侧，设置卷材裁片机2台，主要对收卷后的珍珠棉进行裁切，用以后续复合工序生产</w:t>
                  </w:r>
                </w:p>
              </w:tc>
              <w:tc>
                <w:tcPr>
                  <w:tcW w:w="769" w:type="pct"/>
                  <w:vMerge w:val="continue"/>
                  <w:tcBorders>
                    <w:tl2br w:val="nil"/>
                    <w:tr2bl w:val="nil"/>
                  </w:tcBorders>
                  <w:tcMar>
                    <w:left w:w="57" w:type="dxa"/>
                    <w:right w:w="57" w:type="dxa"/>
                  </w:tcMar>
                  <w:vAlign w:val="center"/>
                </w:tcPr>
                <w:p w14:paraId="3851FA6A">
                  <w:pPr>
                    <w:spacing w:line="240" w:lineRule="auto"/>
                    <w:ind w:firstLine="0" w:firstLineChars="0"/>
                    <w:jc w:val="center"/>
                    <w:rPr>
                      <w:rFonts w:hint="default" w:ascii="Times New Roman" w:hAnsi="Times New Roman" w:cs="Times New Roman"/>
                      <w:color w:val="auto"/>
                      <w:sz w:val="21"/>
                      <w:szCs w:val="21"/>
                    </w:rPr>
                  </w:pPr>
                </w:p>
              </w:tc>
            </w:tr>
            <w:tr w14:paraId="0184B1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08B8DECC">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tcBorders>
                    <w:tl2br w:val="nil"/>
                    <w:tr2bl w:val="nil"/>
                  </w:tcBorders>
                  <w:shd w:val="clear" w:color="auto" w:fill="auto"/>
                  <w:tcMar>
                    <w:left w:w="57" w:type="dxa"/>
                    <w:right w:w="57" w:type="dxa"/>
                  </w:tcMar>
                  <w:vAlign w:val="center"/>
                </w:tcPr>
                <w:p w14:paraId="66CCAFDA">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复合车间</w:t>
                  </w:r>
                </w:p>
              </w:tc>
              <w:tc>
                <w:tcPr>
                  <w:tcW w:w="3265" w:type="pct"/>
                  <w:tcBorders>
                    <w:tl2br w:val="nil"/>
                    <w:tr2bl w:val="nil"/>
                  </w:tcBorders>
                  <w:shd w:val="clear" w:color="auto" w:fill="auto"/>
                  <w:tcMar>
                    <w:left w:w="57" w:type="dxa"/>
                    <w:right w:w="57" w:type="dxa"/>
                  </w:tcMar>
                  <w:vAlign w:val="center"/>
                </w:tcPr>
                <w:p w14:paraId="2DA72A36">
                  <w:pPr>
                    <w:spacing w:line="240" w:lineRule="auto"/>
                    <w:ind w:firstLine="0" w:firstLineChars="0"/>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建筑面积约756m</w:t>
                  </w:r>
                  <w:r>
                    <w:rPr>
                      <w:rFonts w:hint="default" w:ascii="Times New Roman" w:hAnsi="Times New Roman" w:cs="Times New Roman"/>
                      <w:snapToGrid w:val="0"/>
                      <w:color w:val="auto"/>
                      <w:sz w:val="21"/>
                      <w:szCs w:val="21"/>
                      <w:vertAlign w:val="superscript"/>
                    </w:rPr>
                    <w:t>2</w:t>
                  </w:r>
                  <w:r>
                    <w:rPr>
                      <w:rFonts w:hint="default" w:ascii="Times New Roman" w:hAnsi="Times New Roman" w:cs="Times New Roman"/>
                      <w:snapToGrid w:val="0"/>
                      <w:color w:val="auto"/>
                      <w:sz w:val="21"/>
                      <w:szCs w:val="21"/>
                    </w:rPr>
                    <w:t>，位于厂区北侧、发泡车间西南侧，主要设备有复合机2台、增厚机1台、覆膜机1台、板材裁片机2台等，主要将珍珠棉片进行滚动压合，增厚成型</w:t>
                  </w:r>
                </w:p>
              </w:tc>
              <w:tc>
                <w:tcPr>
                  <w:tcW w:w="769" w:type="pct"/>
                  <w:vMerge w:val="continue"/>
                  <w:tcBorders>
                    <w:tl2br w:val="nil"/>
                    <w:tr2bl w:val="nil"/>
                  </w:tcBorders>
                  <w:tcMar>
                    <w:left w:w="57" w:type="dxa"/>
                    <w:right w:w="57" w:type="dxa"/>
                  </w:tcMar>
                  <w:vAlign w:val="center"/>
                </w:tcPr>
                <w:p w14:paraId="3EBFF360">
                  <w:pPr>
                    <w:spacing w:line="240" w:lineRule="auto"/>
                    <w:ind w:firstLine="0" w:firstLineChars="0"/>
                    <w:jc w:val="center"/>
                    <w:rPr>
                      <w:rFonts w:hint="default" w:ascii="Times New Roman" w:hAnsi="Times New Roman" w:cs="Times New Roman"/>
                      <w:color w:val="auto"/>
                      <w:sz w:val="21"/>
                      <w:szCs w:val="21"/>
                    </w:rPr>
                  </w:pPr>
                </w:p>
              </w:tc>
            </w:tr>
            <w:tr w14:paraId="5CE2C9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50106A9B">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tcBorders>
                    <w:tl2br w:val="nil"/>
                    <w:tr2bl w:val="nil"/>
                  </w:tcBorders>
                  <w:shd w:val="clear" w:color="auto" w:fill="auto"/>
                  <w:tcMar>
                    <w:left w:w="57" w:type="dxa"/>
                    <w:right w:w="57" w:type="dxa"/>
                  </w:tcMar>
                  <w:vAlign w:val="center"/>
                </w:tcPr>
                <w:p w14:paraId="61F6269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裁床车间</w:t>
                  </w:r>
                </w:p>
              </w:tc>
              <w:tc>
                <w:tcPr>
                  <w:tcW w:w="3265" w:type="pct"/>
                  <w:tcBorders>
                    <w:tl2br w:val="nil"/>
                    <w:tr2bl w:val="nil"/>
                  </w:tcBorders>
                  <w:shd w:val="clear" w:color="auto" w:fill="auto"/>
                  <w:tcMar>
                    <w:left w:w="57" w:type="dxa"/>
                    <w:right w:w="57" w:type="dxa"/>
                  </w:tcMar>
                  <w:vAlign w:val="center"/>
                </w:tcPr>
                <w:p w14:paraId="4B2F61C3">
                  <w:pPr>
                    <w:spacing w:line="240" w:lineRule="auto"/>
                    <w:ind w:firstLine="0" w:firstLineChars="0"/>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建筑面积约322.5m</w:t>
                  </w:r>
                  <w:r>
                    <w:rPr>
                      <w:rFonts w:hint="default" w:ascii="Times New Roman" w:hAnsi="Times New Roman" w:cs="Times New Roman"/>
                      <w:snapToGrid w:val="0"/>
                      <w:color w:val="auto"/>
                      <w:sz w:val="21"/>
                      <w:szCs w:val="21"/>
                      <w:vertAlign w:val="superscript"/>
                    </w:rPr>
                    <w:t>2</w:t>
                  </w:r>
                  <w:r>
                    <w:rPr>
                      <w:rFonts w:hint="default" w:ascii="Times New Roman" w:hAnsi="Times New Roman" w:cs="Times New Roman"/>
                      <w:snapToGrid w:val="0"/>
                      <w:color w:val="auto"/>
                      <w:sz w:val="21"/>
                      <w:szCs w:val="21"/>
                    </w:rPr>
                    <w:t>，位于厂区东侧，主要设备有分切机4台，主要将复合的珍珠棉按客户产品需求进行分切</w:t>
                  </w:r>
                </w:p>
              </w:tc>
              <w:tc>
                <w:tcPr>
                  <w:tcW w:w="769" w:type="pct"/>
                  <w:vMerge w:val="continue"/>
                  <w:tcBorders>
                    <w:tl2br w:val="nil"/>
                    <w:tr2bl w:val="nil"/>
                  </w:tcBorders>
                  <w:tcMar>
                    <w:left w:w="57" w:type="dxa"/>
                    <w:right w:w="57" w:type="dxa"/>
                  </w:tcMar>
                  <w:vAlign w:val="center"/>
                </w:tcPr>
                <w:p w14:paraId="61AC9818">
                  <w:pPr>
                    <w:spacing w:line="240" w:lineRule="auto"/>
                    <w:ind w:firstLine="0" w:firstLineChars="0"/>
                    <w:jc w:val="center"/>
                    <w:rPr>
                      <w:rFonts w:hint="default" w:ascii="Times New Roman" w:hAnsi="Times New Roman" w:cs="Times New Roman"/>
                      <w:color w:val="auto"/>
                      <w:sz w:val="21"/>
                      <w:szCs w:val="21"/>
                    </w:rPr>
                  </w:pPr>
                </w:p>
              </w:tc>
            </w:tr>
            <w:tr w14:paraId="241DB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2A6BF7C1">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tcBorders>
                    <w:tl2br w:val="nil"/>
                    <w:tr2bl w:val="nil"/>
                  </w:tcBorders>
                  <w:shd w:val="clear" w:color="auto" w:fill="auto"/>
                  <w:tcMar>
                    <w:left w:w="57" w:type="dxa"/>
                    <w:right w:w="57" w:type="dxa"/>
                  </w:tcMar>
                  <w:vAlign w:val="center"/>
                </w:tcPr>
                <w:p w14:paraId="3C11C70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深加工车间</w:t>
                  </w:r>
                </w:p>
              </w:tc>
              <w:tc>
                <w:tcPr>
                  <w:tcW w:w="3265" w:type="pct"/>
                  <w:tcBorders>
                    <w:tl2br w:val="nil"/>
                    <w:tr2bl w:val="nil"/>
                  </w:tcBorders>
                  <w:shd w:val="clear" w:color="auto" w:fill="auto"/>
                  <w:tcMar>
                    <w:left w:w="57" w:type="dxa"/>
                    <w:right w:w="57" w:type="dxa"/>
                  </w:tcMar>
                  <w:vAlign w:val="center"/>
                </w:tcPr>
                <w:p w14:paraId="38EA48A3">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snapToGrid w:val="0"/>
                      <w:color w:val="auto"/>
                      <w:sz w:val="21"/>
                      <w:szCs w:val="21"/>
                    </w:rPr>
                    <w:t>建筑面积约1088m</w:t>
                  </w:r>
                  <w:r>
                    <w:rPr>
                      <w:rFonts w:hint="default" w:ascii="Times New Roman" w:hAnsi="Times New Roman" w:cs="Times New Roman"/>
                      <w:snapToGrid w:val="0"/>
                      <w:color w:val="auto"/>
                      <w:sz w:val="21"/>
                      <w:szCs w:val="21"/>
                      <w:vertAlign w:val="superscript"/>
                    </w:rPr>
                    <w:t>2</w:t>
                  </w:r>
                  <w:r>
                    <w:rPr>
                      <w:rFonts w:hint="default" w:ascii="Times New Roman" w:hAnsi="Times New Roman" w:cs="Times New Roman"/>
                      <w:snapToGrid w:val="0"/>
                      <w:color w:val="auto"/>
                      <w:sz w:val="21"/>
                      <w:szCs w:val="21"/>
                    </w:rPr>
                    <w:t>，位于裁床车间南侧，主要设备有冲压机5台、全自动冲压排废机2台（1备1用）、自动贴合机3台、胶机4台等，主要将复合成品进行裁切、粘胶等深加工成各种珍珠棉产品</w:t>
                  </w:r>
                </w:p>
              </w:tc>
              <w:tc>
                <w:tcPr>
                  <w:tcW w:w="769" w:type="pct"/>
                  <w:vMerge w:val="continue"/>
                  <w:tcBorders>
                    <w:tl2br w:val="nil"/>
                    <w:tr2bl w:val="nil"/>
                  </w:tcBorders>
                  <w:tcMar>
                    <w:left w:w="57" w:type="dxa"/>
                    <w:right w:w="57" w:type="dxa"/>
                  </w:tcMar>
                  <w:vAlign w:val="center"/>
                </w:tcPr>
                <w:p w14:paraId="39D44C55">
                  <w:pPr>
                    <w:spacing w:line="240" w:lineRule="auto"/>
                    <w:ind w:firstLine="0" w:firstLineChars="0"/>
                    <w:jc w:val="center"/>
                    <w:rPr>
                      <w:rFonts w:hint="default" w:ascii="Times New Roman" w:hAnsi="Times New Roman" w:cs="Times New Roman"/>
                      <w:color w:val="auto"/>
                      <w:sz w:val="21"/>
                      <w:szCs w:val="21"/>
                    </w:rPr>
                  </w:pPr>
                </w:p>
              </w:tc>
            </w:tr>
            <w:tr w14:paraId="0E53C4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1E57B1BE">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tcBorders>
                    <w:tl2br w:val="nil"/>
                    <w:tr2bl w:val="nil"/>
                  </w:tcBorders>
                  <w:shd w:val="clear" w:color="auto" w:fill="auto"/>
                  <w:tcMar>
                    <w:left w:w="57" w:type="dxa"/>
                    <w:right w:w="57" w:type="dxa"/>
                  </w:tcMar>
                  <w:vAlign w:val="center"/>
                </w:tcPr>
                <w:p w14:paraId="14208B6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回收车间</w:t>
                  </w:r>
                </w:p>
              </w:tc>
              <w:tc>
                <w:tcPr>
                  <w:tcW w:w="3265" w:type="pct"/>
                  <w:tcBorders>
                    <w:tl2br w:val="nil"/>
                    <w:tr2bl w:val="nil"/>
                  </w:tcBorders>
                  <w:shd w:val="clear" w:color="auto" w:fill="auto"/>
                  <w:tcMar>
                    <w:left w:w="57" w:type="dxa"/>
                    <w:right w:w="57" w:type="dxa"/>
                  </w:tcMar>
                  <w:vAlign w:val="center"/>
                </w:tcPr>
                <w:p w14:paraId="777350DB">
                  <w:pPr>
                    <w:spacing w:line="240" w:lineRule="auto"/>
                    <w:ind w:firstLine="0" w:firstLineChars="0"/>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建筑面积约50m</w:t>
                  </w:r>
                  <w:r>
                    <w:rPr>
                      <w:rFonts w:hint="default" w:ascii="Times New Roman" w:hAnsi="Times New Roman" w:cs="Times New Roman"/>
                      <w:snapToGrid w:val="0"/>
                      <w:color w:val="auto"/>
                      <w:sz w:val="21"/>
                      <w:szCs w:val="21"/>
                      <w:vertAlign w:val="superscript"/>
                    </w:rPr>
                    <w:t>2</w:t>
                  </w:r>
                  <w:r>
                    <w:rPr>
                      <w:rFonts w:hint="default" w:ascii="Times New Roman" w:hAnsi="Times New Roman" w:cs="Times New Roman"/>
                      <w:snapToGrid w:val="0"/>
                      <w:color w:val="auto"/>
                      <w:sz w:val="21"/>
                      <w:szCs w:val="21"/>
                    </w:rPr>
                    <w:t>，位于厂区西侧，设置造粒机1台，主要将边角料、不合格产品经造粒机</w:t>
                  </w:r>
                  <w:r>
                    <w:rPr>
                      <w:rFonts w:hint="default" w:ascii="Times New Roman" w:hAnsi="Times New Roman" w:cs="Times New Roman"/>
                      <w:snapToGrid w:val="0"/>
                      <w:color w:val="auto"/>
                      <w:sz w:val="21"/>
                      <w:szCs w:val="21"/>
                      <w:lang w:val="en-US" w:eastAsia="zh-CN"/>
                    </w:rPr>
                    <w:t>熔融</w:t>
                  </w:r>
                  <w:r>
                    <w:rPr>
                      <w:rFonts w:hint="default" w:ascii="Times New Roman" w:hAnsi="Times New Roman" w:cs="Times New Roman"/>
                      <w:snapToGrid w:val="0"/>
                      <w:color w:val="auto"/>
                      <w:sz w:val="21"/>
                      <w:szCs w:val="21"/>
                    </w:rPr>
                    <w:t>加工为原料颗粒后回用</w:t>
                  </w:r>
                </w:p>
              </w:tc>
              <w:tc>
                <w:tcPr>
                  <w:tcW w:w="769" w:type="pct"/>
                  <w:vMerge w:val="continue"/>
                  <w:tcBorders>
                    <w:tl2br w:val="nil"/>
                    <w:tr2bl w:val="nil"/>
                  </w:tcBorders>
                  <w:tcMar>
                    <w:left w:w="57" w:type="dxa"/>
                    <w:right w:w="57" w:type="dxa"/>
                  </w:tcMar>
                  <w:vAlign w:val="center"/>
                </w:tcPr>
                <w:p w14:paraId="43FADDBD">
                  <w:pPr>
                    <w:spacing w:line="240" w:lineRule="auto"/>
                    <w:ind w:firstLine="0" w:firstLineChars="0"/>
                    <w:jc w:val="center"/>
                    <w:rPr>
                      <w:rFonts w:hint="default" w:ascii="Times New Roman" w:hAnsi="Times New Roman" w:cs="Times New Roman"/>
                      <w:color w:val="auto"/>
                      <w:sz w:val="21"/>
                      <w:szCs w:val="21"/>
                    </w:rPr>
                  </w:pPr>
                </w:p>
              </w:tc>
            </w:tr>
            <w:tr w14:paraId="4F413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restart"/>
                  <w:tcBorders>
                    <w:tl2br w:val="nil"/>
                    <w:tr2bl w:val="nil"/>
                  </w:tcBorders>
                  <w:tcMar>
                    <w:left w:w="57" w:type="dxa"/>
                    <w:right w:w="57" w:type="dxa"/>
                  </w:tcMar>
                  <w:vAlign w:val="center"/>
                </w:tcPr>
                <w:p w14:paraId="7421F25C">
                  <w:pPr>
                    <w:spacing w:line="240" w:lineRule="auto"/>
                    <w:ind w:firstLine="0" w:firstLineChars="0"/>
                    <w:jc w:val="center"/>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辅助工程</w:t>
                  </w:r>
                </w:p>
              </w:tc>
              <w:tc>
                <w:tcPr>
                  <w:tcW w:w="634" w:type="pct"/>
                  <w:tcBorders>
                    <w:tl2br w:val="nil"/>
                    <w:tr2bl w:val="nil"/>
                  </w:tcBorders>
                  <w:tcMar>
                    <w:left w:w="57" w:type="dxa"/>
                    <w:right w:w="57" w:type="dxa"/>
                  </w:tcMar>
                  <w:vAlign w:val="center"/>
                </w:tcPr>
                <w:p w14:paraId="721D86F5">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办公室</w:t>
                  </w:r>
                </w:p>
              </w:tc>
              <w:tc>
                <w:tcPr>
                  <w:tcW w:w="3265" w:type="pct"/>
                  <w:tcBorders>
                    <w:tl2br w:val="nil"/>
                    <w:tr2bl w:val="nil"/>
                  </w:tcBorders>
                  <w:tcMar>
                    <w:left w:w="57" w:type="dxa"/>
                    <w:right w:w="57" w:type="dxa"/>
                  </w:tcMar>
                  <w:vAlign w:val="center"/>
                </w:tcPr>
                <w:p w14:paraId="5560DD98">
                  <w:pPr>
                    <w:spacing w:line="240" w:lineRule="auto"/>
                    <w:ind w:firstLine="0" w:firstLineChars="0"/>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位于深加工车间2F南侧，建筑面积约150m</w:t>
                  </w:r>
                  <w:r>
                    <w:rPr>
                      <w:rFonts w:hint="default" w:ascii="Times New Roman" w:hAnsi="Times New Roman" w:cs="Times New Roman"/>
                      <w:snapToGrid w:val="0"/>
                      <w:color w:val="auto"/>
                      <w:sz w:val="21"/>
                      <w:szCs w:val="21"/>
                      <w:vertAlign w:val="superscript"/>
                    </w:rPr>
                    <w:t>2</w:t>
                  </w:r>
                </w:p>
              </w:tc>
              <w:tc>
                <w:tcPr>
                  <w:tcW w:w="769" w:type="pct"/>
                  <w:tcBorders>
                    <w:tl2br w:val="nil"/>
                    <w:tr2bl w:val="nil"/>
                  </w:tcBorders>
                  <w:tcMar>
                    <w:left w:w="57" w:type="dxa"/>
                    <w:right w:w="57" w:type="dxa"/>
                  </w:tcMar>
                  <w:vAlign w:val="center"/>
                </w:tcPr>
                <w:p w14:paraId="52AE378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依托原有，已建成</w:t>
                  </w:r>
                </w:p>
              </w:tc>
            </w:tr>
            <w:tr w14:paraId="3DB7A2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2C6D98C1">
                  <w:pPr>
                    <w:spacing w:line="240" w:lineRule="auto"/>
                    <w:ind w:firstLine="0" w:firstLineChars="0"/>
                    <w:jc w:val="center"/>
                    <w:rPr>
                      <w:rFonts w:hint="default" w:ascii="Times New Roman" w:hAnsi="Times New Roman" w:cs="Times New Roman"/>
                      <w:color w:val="auto"/>
                      <w:sz w:val="21"/>
                      <w:szCs w:val="21"/>
                    </w:rPr>
                  </w:pPr>
                </w:p>
              </w:tc>
              <w:tc>
                <w:tcPr>
                  <w:tcW w:w="634" w:type="pct"/>
                  <w:tcBorders>
                    <w:tl2br w:val="nil"/>
                    <w:tr2bl w:val="nil"/>
                  </w:tcBorders>
                  <w:tcMar>
                    <w:left w:w="57" w:type="dxa"/>
                    <w:right w:w="57" w:type="dxa"/>
                  </w:tcMar>
                  <w:vAlign w:val="center"/>
                </w:tcPr>
                <w:p w14:paraId="23BE7352">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宿舍</w:t>
                  </w:r>
                </w:p>
              </w:tc>
              <w:tc>
                <w:tcPr>
                  <w:tcW w:w="3265" w:type="pct"/>
                  <w:tcBorders>
                    <w:tl2br w:val="nil"/>
                    <w:tr2bl w:val="nil"/>
                  </w:tcBorders>
                  <w:tcMar>
                    <w:left w:w="57" w:type="dxa"/>
                    <w:right w:w="57" w:type="dxa"/>
                  </w:tcMar>
                  <w:vAlign w:val="center"/>
                </w:tcPr>
                <w:p w14:paraId="537EF46B">
                  <w:pPr>
                    <w:spacing w:line="240" w:lineRule="auto"/>
                    <w:ind w:firstLine="0" w:firstLineChars="0"/>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位于厂区南侧，建筑面积约260m</w:t>
                  </w:r>
                  <w:r>
                    <w:rPr>
                      <w:rFonts w:hint="default" w:ascii="Times New Roman" w:hAnsi="Times New Roman" w:cs="Times New Roman"/>
                      <w:color w:val="auto"/>
                      <w:kern w:val="0"/>
                      <w:sz w:val="21"/>
                      <w:szCs w:val="21"/>
                      <w:vertAlign w:val="superscript"/>
                    </w:rPr>
                    <w:t>2</w:t>
                  </w:r>
                </w:p>
              </w:tc>
              <w:tc>
                <w:tcPr>
                  <w:tcW w:w="769" w:type="pct"/>
                  <w:tcBorders>
                    <w:tl2br w:val="nil"/>
                    <w:tr2bl w:val="nil"/>
                  </w:tcBorders>
                  <w:tcMar>
                    <w:left w:w="57" w:type="dxa"/>
                    <w:right w:w="57" w:type="dxa"/>
                  </w:tcMar>
                  <w:vAlign w:val="center"/>
                </w:tcPr>
                <w:p w14:paraId="34B74C9D">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依托原有，已建成</w:t>
                  </w:r>
                </w:p>
              </w:tc>
            </w:tr>
            <w:tr w14:paraId="5C435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4868D125">
                  <w:pPr>
                    <w:spacing w:line="240" w:lineRule="auto"/>
                    <w:ind w:firstLine="0" w:firstLineChars="0"/>
                    <w:jc w:val="center"/>
                    <w:rPr>
                      <w:rFonts w:hint="default" w:ascii="Times New Roman" w:hAnsi="Times New Roman" w:cs="Times New Roman"/>
                      <w:color w:val="auto"/>
                      <w:sz w:val="21"/>
                      <w:szCs w:val="21"/>
                    </w:rPr>
                  </w:pPr>
                </w:p>
              </w:tc>
              <w:tc>
                <w:tcPr>
                  <w:tcW w:w="634" w:type="pct"/>
                  <w:tcBorders>
                    <w:tl2br w:val="nil"/>
                    <w:tr2bl w:val="nil"/>
                  </w:tcBorders>
                  <w:shd w:val="clear" w:color="auto" w:fill="auto"/>
                  <w:tcMar>
                    <w:left w:w="57" w:type="dxa"/>
                    <w:right w:w="57" w:type="dxa"/>
                  </w:tcMar>
                  <w:vAlign w:val="center"/>
                </w:tcPr>
                <w:p w14:paraId="6C0B80BA">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食堂、餐厅</w:t>
                  </w:r>
                </w:p>
              </w:tc>
              <w:tc>
                <w:tcPr>
                  <w:tcW w:w="3265" w:type="pct"/>
                  <w:tcBorders>
                    <w:tl2br w:val="nil"/>
                    <w:tr2bl w:val="nil"/>
                  </w:tcBorders>
                  <w:shd w:val="clear" w:color="auto" w:fill="auto"/>
                  <w:tcMar>
                    <w:left w:w="57" w:type="dxa"/>
                    <w:right w:w="57" w:type="dxa"/>
                  </w:tcMar>
                  <w:vAlign w:val="center"/>
                </w:tcPr>
                <w:p w14:paraId="6D4FDF4F">
                  <w:pPr>
                    <w:widowControl/>
                    <w:tabs>
                      <w:tab w:val="left" w:pos="4536"/>
                    </w:tabs>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位于厂区北侧中间位置，面积为200m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，设置2个灶头，燃料采用甲醇（钢罐，于厨房储存）和电</w:t>
                  </w:r>
                </w:p>
              </w:tc>
              <w:tc>
                <w:tcPr>
                  <w:tcW w:w="769" w:type="pct"/>
                  <w:tcBorders>
                    <w:tl2br w:val="nil"/>
                    <w:tr2bl w:val="nil"/>
                  </w:tcBorders>
                  <w:tcMar>
                    <w:left w:w="57" w:type="dxa"/>
                    <w:right w:w="57" w:type="dxa"/>
                  </w:tcMar>
                  <w:vAlign w:val="center"/>
                </w:tcPr>
                <w:p w14:paraId="4F8F08EE">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依托原有，已建成</w:t>
                  </w:r>
                </w:p>
              </w:tc>
            </w:tr>
            <w:tr w14:paraId="0B0340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restart"/>
                  <w:tcBorders>
                    <w:tl2br w:val="nil"/>
                    <w:tr2bl w:val="nil"/>
                  </w:tcBorders>
                  <w:tcMar>
                    <w:left w:w="57" w:type="dxa"/>
                    <w:right w:w="57" w:type="dxa"/>
                  </w:tcMar>
                  <w:vAlign w:val="center"/>
                </w:tcPr>
                <w:p w14:paraId="5FA263F3">
                  <w:pPr>
                    <w:spacing w:line="240" w:lineRule="auto"/>
                    <w:ind w:firstLine="0" w:firstLineChars="0"/>
                    <w:jc w:val="center"/>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储运工程</w:t>
                  </w:r>
                </w:p>
              </w:tc>
              <w:tc>
                <w:tcPr>
                  <w:tcW w:w="634" w:type="pct"/>
                  <w:tcBorders>
                    <w:tl2br w:val="nil"/>
                    <w:tr2bl w:val="nil"/>
                  </w:tcBorders>
                  <w:tcMar>
                    <w:left w:w="57" w:type="dxa"/>
                    <w:right w:w="57" w:type="dxa"/>
                  </w:tcMar>
                  <w:vAlign w:val="center"/>
                </w:tcPr>
                <w:p w14:paraId="311AF295">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原料及半成品库房</w:t>
                  </w:r>
                </w:p>
              </w:tc>
              <w:tc>
                <w:tcPr>
                  <w:tcW w:w="3265" w:type="pct"/>
                  <w:tcBorders>
                    <w:tl2br w:val="nil"/>
                    <w:tr2bl w:val="nil"/>
                  </w:tcBorders>
                  <w:tcMar>
                    <w:left w:w="57" w:type="dxa"/>
                    <w:right w:w="57" w:type="dxa"/>
                  </w:tcMar>
                  <w:vAlign w:val="center"/>
                </w:tcPr>
                <w:p w14:paraId="37ED52C2">
                  <w:pPr>
                    <w:spacing w:line="240" w:lineRule="auto"/>
                    <w:ind w:firstLine="0" w:firstLineChars="0"/>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主要位于厂区东侧（1号板材库）、厂区中部（3、4、10号仓库）、厂区西侧（5、6、7、9、13号仓库），用于储存原材料、半成品</w:t>
                  </w:r>
                </w:p>
              </w:tc>
              <w:tc>
                <w:tcPr>
                  <w:tcW w:w="769" w:type="pct"/>
                  <w:vMerge w:val="restart"/>
                  <w:tcBorders>
                    <w:tl2br w:val="nil"/>
                    <w:tr2bl w:val="nil"/>
                  </w:tcBorders>
                  <w:tcMar>
                    <w:left w:w="57" w:type="dxa"/>
                    <w:right w:w="57" w:type="dxa"/>
                  </w:tcMar>
                  <w:vAlign w:val="center"/>
                </w:tcPr>
                <w:p w14:paraId="7F406C12">
                  <w:pPr>
                    <w:spacing w:line="240" w:lineRule="auto"/>
                    <w:ind w:firstLine="0" w:firstLineChars="0"/>
                    <w:jc w:val="center"/>
                    <w:rPr>
                      <w:rFonts w:hint="default" w:ascii="Times New Roman" w:hAnsi="Times New Roman" w:cs="Times New Roman"/>
                      <w:bCs/>
                      <w:snapToGrid w:val="0"/>
                      <w:color w:val="auto"/>
                      <w:sz w:val="21"/>
                      <w:szCs w:val="21"/>
                    </w:rPr>
                  </w:pPr>
                  <w:r>
                    <w:rPr>
                      <w:rFonts w:hint="default" w:ascii="Times New Roman" w:hAnsi="Times New Roman" w:cs="Times New Roman"/>
                      <w:bCs/>
                      <w:snapToGrid w:val="0"/>
                      <w:color w:val="auto"/>
                      <w:sz w:val="21"/>
                      <w:szCs w:val="21"/>
                    </w:rPr>
                    <w:t>依托原有，已建成</w:t>
                  </w:r>
                </w:p>
              </w:tc>
            </w:tr>
            <w:tr w14:paraId="0DB0DF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55CA64DB">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tcBorders>
                    <w:tl2br w:val="nil"/>
                    <w:tr2bl w:val="nil"/>
                  </w:tcBorders>
                  <w:tcMar>
                    <w:left w:w="57" w:type="dxa"/>
                    <w:right w:w="57" w:type="dxa"/>
                  </w:tcMar>
                  <w:vAlign w:val="center"/>
                </w:tcPr>
                <w:p w14:paraId="15940F00">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成品仓库</w:t>
                  </w:r>
                </w:p>
              </w:tc>
              <w:tc>
                <w:tcPr>
                  <w:tcW w:w="3265" w:type="pct"/>
                  <w:tcBorders>
                    <w:tl2br w:val="nil"/>
                    <w:tr2bl w:val="nil"/>
                  </w:tcBorders>
                  <w:tcMar>
                    <w:left w:w="57" w:type="dxa"/>
                    <w:right w:w="57" w:type="dxa"/>
                  </w:tcMar>
                  <w:vAlign w:val="center"/>
                </w:tcPr>
                <w:p w14:paraId="7B64D35C">
                  <w:pPr>
                    <w:spacing w:line="240" w:lineRule="auto"/>
                    <w:ind w:firstLine="0" w:firstLineChars="0"/>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位于厂区南侧（2号仓库）</w:t>
                  </w:r>
                </w:p>
              </w:tc>
              <w:tc>
                <w:tcPr>
                  <w:tcW w:w="769" w:type="pct"/>
                  <w:vMerge w:val="continue"/>
                  <w:tcBorders>
                    <w:tl2br w:val="nil"/>
                    <w:tr2bl w:val="nil"/>
                  </w:tcBorders>
                  <w:tcMar>
                    <w:left w:w="57" w:type="dxa"/>
                    <w:right w:w="57" w:type="dxa"/>
                  </w:tcMar>
                  <w:vAlign w:val="center"/>
                </w:tcPr>
                <w:p w14:paraId="198FB9AA">
                  <w:pPr>
                    <w:spacing w:line="240" w:lineRule="auto"/>
                    <w:ind w:firstLine="0" w:firstLineChars="0"/>
                    <w:jc w:val="center"/>
                    <w:rPr>
                      <w:rFonts w:hint="default" w:ascii="Times New Roman" w:hAnsi="Times New Roman" w:cs="Times New Roman"/>
                      <w:color w:val="auto"/>
                      <w:sz w:val="21"/>
                      <w:szCs w:val="21"/>
                    </w:rPr>
                  </w:pPr>
                </w:p>
              </w:tc>
            </w:tr>
            <w:tr w14:paraId="1666F9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670D269E">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tcBorders>
                    <w:tl2br w:val="nil"/>
                    <w:tr2bl w:val="nil"/>
                  </w:tcBorders>
                  <w:tcMar>
                    <w:left w:w="57" w:type="dxa"/>
                    <w:right w:w="57" w:type="dxa"/>
                  </w:tcMar>
                  <w:vAlign w:val="center"/>
                </w:tcPr>
                <w:p w14:paraId="6E0F801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运输</w:t>
                  </w:r>
                </w:p>
              </w:tc>
              <w:tc>
                <w:tcPr>
                  <w:tcW w:w="3265" w:type="pct"/>
                  <w:tcBorders>
                    <w:tl2br w:val="nil"/>
                    <w:tr2bl w:val="nil"/>
                  </w:tcBorders>
                  <w:tcMar>
                    <w:left w:w="57" w:type="dxa"/>
                    <w:right w:w="57" w:type="dxa"/>
                  </w:tcMar>
                  <w:vAlign w:val="center"/>
                </w:tcPr>
                <w:p w14:paraId="62886EE4">
                  <w:pPr>
                    <w:spacing w:line="240" w:lineRule="auto"/>
                    <w:ind w:firstLine="0" w:firstLineChars="0"/>
                    <w:rPr>
                      <w:rFonts w:hint="default" w:ascii="Times New Roman" w:hAnsi="Times New Roman" w:cs="Times New Roman"/>
                      <w:bCs/>
                      <w:snapToGrid w:val="0"/>
                      <w:color w:val="auto"/>
                      <w:sz w:val="21"/>
                      <w:szCs w:val="21"/>
                    </w:rPr>
                  </w:pPr>
                  <w:r>
                    <w:rPr>
                      <w:rFonts w:hint="default" w:ascii="Times New Roman" w:hAnsi="Times New Roman" w:cs="Times New Roman"/>
                      <w:bCs/>
                      <w:snapToGrid w:val="0"/>
                      <w:color w:val="auto"/>
                      <w:sz w:val="21"/>
                      <w:szCs w:val="21"/>
                    </w:rPr>
                    <w:t>项目原辅料及成品运输采用汽车运输</w:t>
                  </w:r>
                </w:p>
              </w:tc>
              <w:tc>
                <w:tcPr>
                  <w:tcW w:w="769" w:type="pct"/>
                  <w:tcBorders>
                    <w:tl2br w:val="nil"/>
                    <w:tr2bl w:val="nil"/>
                  </w:tcBorders>
                  <w:tcMar>
                    <w:left w:w="57" w:type="dxa"/>
                    <w:right w:w="57" w:type="dxa"/>
                  </w:tcMar>
                  <w:vAlign w:val="center"/>
                </w:tcPr>
                <w:p w14:paraId="23C23C9C">
                  <w:pPr>
                    <w:spacing w:line="240" w:lineRule="auto"/>
                    <w:ind w:firstLine="0" w:firstLineChars="0"/>
                    <w:jc w:val="center"/>
                    <w:rPr>
                      <w:rFonts w:hint="default" w:ascii="Times New Roman" w:hAnsi="Times New Roman" w:cs="Times New Roman"/>
                      <w:bCs/>
                      <w:snapToGrid w:val="0"/>
                      <w:color w:val="auto"/>
                      <w:sz w:val="21"/>
                      <w:szCs w:val="21"/>
                    </w:rPr>
                  </w:pPr>
                  <w:r>
                    <w:rPr>
                      <w:rFonts w:hint="default" w:ascii="Times New Roman" w:hAnsi="Times New Roman" w:cs="Times New Roman"/>
                      <w:bCs/>
                      <w:snapToGrid w:val="0"/>
                      <w:color w:val="auto"/>
                      <w:sz w:val="21"/>
                      <w:szCs w:val="21"/>
                    </w:rPr>
                    <w:t>/</w:t>
                  </w:r>
                </w:p>
              </w:tc>
            </w:tr>
            <w:tr w14:paraId="41DAFA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30" w:type="pct"/>
                  <w:vMerge w:val="restart"/>
                  <w:tcBorders>
                    <w:tl2br w:val="nil"/>
                    <w:tr2bl w:val="nil"/>
                  </w:tcBorders>
                  <w:tcMar>
                    <w:left w:w="57" w:type="dxa"/>
                    <w:right w:w="57" w:type="dxa"/>
                  </w:tcMar>
                  <w:vAlign w:val="center"/>
                </w:tcPr>
                <w:p w14:paraId="76703F62">
                  <w:pPr>
                    <w:spacing w:line="240" w:lineRule="auto"/>
                    <w:ind w:firstLine="0" w:firstLineChars="0"/>
                    <w:jc w:val="center"/>
                    <w:rPr>
                      <w:rFonts w:hint="default" w:ascii="Times New Roman" w:hAnsi="Times New Roman" w:cs="Times New Roman"/>
                      <w:snapToGrid w:val="0"/>
                      <w:color w:val="auto"/>
                      <w:sz w:val="21"/>
                      <w:szCs w:val="21"/>
                    </w:rPr>
                  </w:pPr>
                  <w:r>
                    <w:rPr>
                      <w:rFonts w:hint="default" w:ascii="Times New Roman" w:hAnsi="Times New Roman" w:cs="Times New Roman"/>
                      <w:snapToGrid w:val="0"/>
                      <w:color w:val="auto"/>
                      <w:sz w:val="21"/>
                      <w:szCs w:val="21"/>
                    </w:rPr>
                    <w:t>公用工程</w:t>
                  </w:r>
                </w:p>
              </w:tc>
              <w:tc>
                <w:tcPr>
                  <w:tcW w:w="634" w:type="pct"/>
                  <w:tcBorders>
                    <w:tl2br w:val="nil"/>
                    <w:tr2bl w:val="nil"/>
                  </w:tcBorders>
                  <w:shd w:val="clear" w:color="auto" w:fill="auto"/>
                  <w:tcMar>
                    <w:left w:w="57" w:type="dxa"/>
                    <w:right w:w="57" w:type="dxa"/>
                  </w:tcMar>
                  <w:vAlign w:val="center"/>
                </w:tcPr>
                <w:p w14:paraId="57C8A36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供电</w:t>
                  </w:r>
                </w:p>
              </w:tc>
              <w:tc>
                <w:tcPr>
                  <w:tcW w:w="3265" w:type="pct"/>
                  <w:tcBorders>
                    <w:tl2br w:val="nil"/>
                    <w:tr2bl w:val="nil"/>
                  </w:tcBorders>
                  <w:shd w:val="clear" w:color="auto" w:fill="auto"/>
                  <w:tcMar>
                    <w:left w:w="57" w:type="dxa"/>
                    <w:right w:w="57" w:type="dxa"/>
                  </w:tcMar>
                  <w:vAlign w:val="center"/>
                </w:tcPr>
                <w:p w14:paraId="6A052236">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用电依托原有供电线路，由西安市沣东新城斗门街道市政电网供给</w:t>
                  </w:r>
                </w:p>
              </w:tc>
              <w:tc>
                <w:tcPr>
                  <w:tcW w:w="769" w:type="pct"/>
                  <w:vMerge w:val="restart"/>
                  <w:tcBorders>
                    <w:tl2br w:val="nil"/>
                    <w:tr2bl w:val="nil"/>
                  </w:tcBorders>
                  <w:tcMar>
                    <w:left w:w="57" w:type="dxa"/>
                    <w:right w:w="57" w:type="dxa"/>
                  </w:tcMar>
                  <w:vAlign w:val="center"/>
                </w:tcPr>
                <w:p w14:paraId="6A6BA76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已建成</w:t>
                  </w:r>
                </w:p>
              </w:tc>
            </w:tr>
            <w:tr w14:paraId="54F232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0FBD095C">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tcBorders>
                    <w:tl2br w:val="nil"/>
                    <w:tr2bl w:val="nil"/>
                  </w:tcBorders>
                  <w:shd w:val="clear" w:color="auto" w:fill="auto"/>
                  <w:tcMar>
                    <w:left w:w="57" w:type="dxa"/>
                    <w:right w:w="57" w:type="dxa"/>
                  </w:tcMar>
                  <w:vAlign w:val="center"/>
                </w:tcPr>
                <w:p w14:paraId="03E4EF0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给水</w:t>
                  </w:r>
                </w:p>
              </w:tc>
              <w:tc>
                <w:tcPr>
                  <w:tcW w:w="3265" w:type="pct"/>
                  <w:tcBorders>
                    <w:tl2br w:val="nil"/>
                    <w:tr2bl w:val="nil"/>
                  </w:tcBorders>
                  <w:shd w:val="clear" w:color="auto" w:fill="auto"/>
                  <w:tcMar>
                    <w:left w:w="57" w:type="dxa"/>
                    <w:right w:w="57" w:type="dxa"/>
                  </w:tcMar>
                  <w:vAlign w:val="center"/>
                </w:tcPr>
                <w:p w14:paraId="59DE5576">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给水依托给水管网</w:t>
                  </w:r>
                </w:p>
              </w:tc>
              <w:tc>
                <w:tcPr>
                  <w:tcW w:w="769" w:type="pct"/>
                  <w:vMerge w:val="continue"/>
                  <w:tcBorders>
                    <w:tl2br w:val="nil"/>
                    <w:tr2bl w:val="nil"/>
                  </w:tcBorders>
                  <w:tcMar>
                    <w:left w:w="57" w:type="dxa"/>
                    <w:right w:w="57" w:type="dxa"/>
                  </w:tcMar>
                  <w:vAlign w:val="center"/>
                </w:tcPr>
                <w:p w14:paraId="5081A589">
                  <w:pPr>
                    <w:spacing w:line="240" w:lineRule="auto"/>
                    <w:ind w:firstLine="0" w:firstLineChars="0"/>
                    <w:jc w:val="center"/>
                    <w:rPr>
                      <w:rFonts w:hint="default" w:ascii="Times New Roman" w:hAnsi="Times New Roman" w:cs="Times New Roman"/>
                      <w:color w:val="auto"/>
                      <w:sz w:val="21"/>
                      <w:szCs w:val="21"/>
                    </w:rPr>
                  </w:pPr>
                </w:p>
              </w:tc>
            </w:tr>
            <w:tr w14:paraId="6DD276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1B66375A">
                  <w:pPr>
                    <w:spacing w:line="240" w:lineRule="auto"/>
                    <w:ind w:firstLine="0" w:firstLineChars="0"/>
                    <w:jc w:val="center"/>
                    <w:rPr>
                      <w:rFonts w:hint="default" w:ascii="Times New Roman" w:hAnsi="Times New Roman" w:cs="Times New Roman"/>
                      <w:snapToGrid w:val="0"/>
                      <w:color w:val="auto"/>
                      <w:sz w:val="21"/>
                      <w:szCs w:val="21"/>
                    </w:rPr>
                  </w:pPr>
                </w:p>
              </w:tc>
              <w:tc>
                <w:tcPr>
                  <w:tcW w:w="634" w:type="pct"/>
                  <w:vMerge w:val="restart"/>
                  <w:tcBorders>
                    <w:tl2br w:val="nil"/>
                    <w:tr2bl w:val="nil"/>
                  </w:tcBorders>
                  <w:shd w:val="clear" w:color="auto" w:fill="auto"/>
                  <w:tcMar>
                    <w:left w:w="57" w:type="dxa"/>
                    <w:right w:w="57" w:type="dxa"/>
                  </w:tcMar>
                  <w:vAlign w:val="center"/>
                </w:tcPr>
                <w:p w14:paraId="4695CE3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排水</w:t>
                  </w:r>
                </w:p>
              </w:tc>
              <w:tc>
                <w:tcPr>
                  <w:tcW w:w="3265" w:type="pct"/>
                  <w:tcBorders>
                    <w:tl2br w:val="nil"/>
                    <w:tr2bl w:val="nil"/>
                  </w:tcBorders>
                  <w:shd w:val="clear" w:color="auto" w:fill="auto"/>
                  <w:tcMar>
                    <w:left w:w="57" w:type="dxa"/>
                    <w:right w:w="57" w:type="dxa"/>
                  </w:tcMar>
                  <w:vAlign w:val="center"/>
                </w:tcPr>
                <w:p w14:paraId="75B9D4A8">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排水采用雨污分流制，雨水经厂区内雨水系统排出厂外</w:t>
                  </w:r>
                </w:p>
              </w:tc>
              <w:tc>
                <w:tcPr>
                  <w:tcW w:w="769" w:type="pct"/>
                  <w:vMerge w:val="continue"/>
                  <w:tcBorders>
                    <w:tl2br w:val="nil"/>
                    <w:tr2bl w:val="nil"/>
                  </w:tcBorders>
                  <w:tcMar>
                    <w:left w:w="57" w:type="dxa"/>
                    <w:right w:w="57" w:type="dxa"/>
                  </w:tcMar>
                  <w:vAlign w:val="center"/>
                </w:tcPr>
                <w:p w14:paraId="7CAE8F6B">
                  <w:pPr>
                    <w:spacing w:line="240" w:lineRule="auto"/>
                    <w:ind w:firstLine="0" w:firstLineChars="0"/>
                    <w:jc w:val="center"/>
                    <w:rPr>
                      <w:rFonts w:hint="default" w:ascii="Times New Roman" w:hAnsi="Times New Roman" w:cs="Times New Roman"/>
                      <w:color w:val="auto"/>
                      <w:sz w:val="21"/>
                      <w:szCs w:val="21"/>
                    </w:rPr>
                  </w:pPr>
                </w:p>
              </w:tc>
            </w:tr>
            <w:tr w14:paraId="118FE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239F6F73">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tcBorders>
                    <w:tl2br w:val="nil"/>
                    <w:tr2bl w:val="nil"/>
                  </w:tcBorders>
                  <w:shd w:val="clear" w:color="auto" w:fill="auto"/>
                  <w:tcMar>
                    <w:left w:w="57" w:type="dxa"/>
                    <w:right w:w="57" w:type="dxa"/>
                  </w:tcMar>
                  <w:vAlign w:val="center"/>
                </w:tcPr>
                <w:p w14:paraId="012621C0">
                  <w:pPr>
                    <w:spacing w:line="240" w:lineRule="auto"/>
                    <w:ind w:firstLine="0" w:firstLineChars="0"/>
                    <w:jc w:val="center"/>
                    <w:rPr>
                      <w:rFonts w:hint="default" w:ascii="Times New Roman" w:hAnsi="Times New Roman" w:cs="Times New Roman"/>
                      <w:color w:val="auto"/>
                      <w:sz w:val="21"/>
                      <w:szCs w:val="21"/>
                    </w:rPr>
                  </w:pPr>
                </w:p>
              </w:tc>
              <w:tc>
                <w:tcPr>
                  <w:tcW w:w="3265" w:type="pct"/>
                  <w:tcBorders>
                    <w:tl2br w:val="nil"/>
                    <w:tr2bl w:val="nil"/>
                  </w:tcBorders>
                  <w:shd w:val="clear" w:color="auto" w:fill="auto"/>
                  <w:tcMar>
                    <w:left w:w="57" w:type="dxa"/>
                    <w:right w:w="57" w:type="dxa"/>
                  </w:tcMar>
                  <w:vAlign w:val="center"/>
                </w:tcPr>
                <w:p w14:paraId="4083CBD6">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设备冷却水通过循环冷却水系统循环使用，定期补充新鲜水，</w:t>
                  </w:r>
                  <w:r>
                    <w:rPr>
                      <w:rFonts w:hint="default" w:ascii="Times New Roman" w:hAnsi="Times New Roman" w:cs="Times New Roman"/>
                      <w:color w:val="auto"/>
                      <w:sz w:val="21"/>
                      <w:szCs w:val="21"/>
                    </w:rPr>
                    <w:t>循环冷却水系统产生的排污水用于厂区</w:t>
                  </w:r>
                  <w:r>
                    <w:rPr>
                      <w:rFonts w:hint="default" w:ascii="Times New Roman" w:hAnsi="Times New Roman" w:cs="Times New Roman"/>
                      <w:color w:val="auto"/>
                      <w:sz w:val="21"/>
                      <w:szCs w:val="21"/>
                      <w:lang w:val="en-US" w:eastAsia="zh-CN"/>
                    </w:rPr>
                    <w:t>洒水降尘</w:t>
                  </w:r>
                </w:p>
              </w:tc>
              <w:tc>
                <w:tcPr>
                  <w:tcW w:w="769" w:type="pct"/>
                  <w:tcBorders>
                    <w:tl2br w:val="nil"/>
                    <w:tr2bl w:val="nil"/>
                  </w:tcBorders>
                  <w:shd w:val="clear" w:color="auto" w:fill="auto"/>
                  <w:tcMar>
                    <w:left w:w="57" w:type="dxa"/>
                    <w:right w:w="57" w:type="dxa"/>
                  </w:tcMar>
                  <w:vAlign w:val="center"/>
                </w:tcPr>
                <w:p w14:paraId="0724345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已建成</w:t>
                  </w:r>
                </w:p>
              </w:tc>
            </w:tr>
            <w:tr w14:paraId="137DFC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tcMar>
                    <w:left w:w="57" w:type="dxa"/>
                    <w:right w:w="57" w:type="dxa"/>
                  </w:tcMar>
                  <w:vAlign w:val="center"/>
                </w:tcPr>
                <w:p w14:paraId="1804DA6B">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tcBorders>
                    <w:tl2br w:val="nil"/>
                    <w:tr2bl w:val="nil"/>
                  </w:tcBorders>
                  <w:shd w:val="clear" w:color="auto" w:fill="auto"/>
                  <w:tcMar>
                    <w:left w:w="57" w:type="dxa"/>
                    <w:right w:w="57" w:type="dxa"/>
                  </w:tcMar>
                  <w:vAlign w:val="center"/>
                </w:tcPr>
                <w:p w14:paraId="17683B3F">
                  <w:pPr>
                    <w:spacing w:line="240" w:lineRule="auto"/>
                    <w:ind w:firstLine="0" w:firstLineChars="0"/>
                    <w:jc w:val="center"/>
                    <w:rPr>
                      <w:rFonts w:hint="default" w:ascii="Times New Roman" w:hAnsi="Times New Roman" w:cs="Times New Roman"/>
                      <w:color w:val="auto"/>
                      <w:sz w:val="21"/>
                      <w:szCs w:val="21"/>
                    </w:rPr>
                  </w:pPr>
                </w:p>
              </w:tc>
              <w:tc>
                <w:tcPr>
                  <w:tcW w:w="3265" w:type="pct"/>
                  <w:tcBorders>
                    <w:tl2br w:val="nil"/>
                    <w:tr2bl w:val="nil"/>
                  </w:tcBorders>
                  <w:shd w:val="clear" w:color="auto" w:fill="auto"/>
                  <w:tcMar>
                    <w:left w:w="57" w:type="dxa"/>
                    <w:right w:w="57" w:type="dxa"/>
                  </w:tcMar>
                  <w:vAlign w:val="center"/>
                </w:tcPr>
                <w:p w14:paraId="0A8C81B9">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食堂废水经油水分离器处理后和生活污水进入厂区化粪池（位于厂区西北侧，18m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），处理后定期清掏肥田，不外排</w:t>
                  </w:r>
                </w:p>
              </w:tc>
              <w:tc>
                <w:tcPr>
                  <w:tcW w:w="769" w:type="pct"/>
                  <w:tcBorders>
                    <w:tl2br w:val="nil"/>
                    <w:tr2bl w:val="nil"/>
                  </w:tcBorders>
                  <w:shd w:val="clear" w:color="auto" w:fill="auto"/>
                  <w:tcMar>
                    <w:left w:w="57" w:type="dxa"/>
                    <w:right w:w="57" w:type="dxa"/>
                  </w:tcMar>
                  <w:vAlign w:val="center"/>
                </w:tcPr>
                <w:p w14:paraId="1B09B65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油水分离器未建</w:t>
                  </w:r>
                </w:p>
              </w:tc>
            </w:tr>
            <w:tr w14:paraId="50CCCB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restart"/>
                  <w:tcBorders>
                    <w:tl2br w:val="nil"/>
                    <w:tr2bl w:val="nil"/>
                  </w:tcBorders>
                  <w:shd w:val="clear" w:color="auto" w:fill="auto"/>
                  <w:tcMar>
                    <w:left w:w="57" w:type="dxa"/>
                    <w:right w:w="57" w:type="dxa"/>
                  </w:tcMar>
                  <w:vAlign w:val="center"/>
                </w:tcPr>
                <w:p w14:paraId="32DB22F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w:t>
                  </w:r>
                </w:p>
                <w:p w14:paraId="0A33B2A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工程</w:t>
                  </w:r>
                </w:p>
              </w:tc>
              <w:tc>
                <w:tcPr>
                  <w:tcW w:w="634" w:type="pct"/>
                  <w:vMerge w:val="restart"/>
                  <w:tcBorders>
                    <w:tl2br w:val="nil"/>
                    <w:tr2bl w:val="nil"/>
                  </w:tcBorders>
                  <w:shd w:val="clear" w:color="auto" w:fill="auto"/>
                  <w:tcMar>
                    <w:left w:w="57" w:type="dxa"/>
                    <w:right w:w="57" w:type="dxa"/>
                  </w:tcMar>
                  <w:vAlign w:val="center"/>
                </w:tcPr>
                <w:p w14:paraId="797A2F5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3265" w:type="pct"/>
                  <w:tcBorders>
                    <w:tl2br w:val="nil"/>
                    <w:tr2bl w:val="nil"/>
                  </w:tcBorders>
                  <w:shd w:val="clear" w:color="auto" w:fill="auto"/>
                  <w:tcMar>
                    <w:left w:w="57" w:type="dxa"/>
                    <w:right w:w="57" w:type="dxa"/>
                  </w:tcMar>
                  <w:vAlign w:val="center"/>
                </w:tcPr>
                <w:p w14:paraId="6A6D74A6">
                  <w:pPr>
                    <w:spacing w:line="240" w:lineRule="auto"/>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原料混合过程中聚乙烯颗粒、单甘酯、发泡母粒、色母均为颗粒状，</w:t>
                  </w:r>
                  <w:r>
                    <w:rPr>
                      <w:rFonts w:hint="default" w:ascii="Times New Roman" w:hAnsi="Times New Roman" w:eastAsia="宋体" w:cs="Times New Roman"/>
                      <w:color w:val="auto"/>
                      <w:sz w:val="21"/>
                      <w:szCs w:val="21"/>
                      <w:lang w:val="en-US" w:eastAsia="zh-CN"/>
                    </w:rPr>
                    <w:t>表面无附着粉尘，</w:t>
                  </w:r>
                  <w:r>
                    <w:rPr>
                      <w:rFonts w:hint="default" w:ascii="Times New Roman" w:hAnsi="Times New Roman" w:eastAsia="宋体" w:cs="Times New Roman"/>
                      <w:color w:val="auto"/>
                      <w:sz w:val="21"/>
                      <w:szCs w:val="21"/>
                    </w:rPr>
                    <w:t>且上料过程为密闭负压抽吸上料，</w:t>
                  </w:r>
                  <w:r>
                    <w:rPr>
                      <w:rFonts w:hint="default" w:ascii="Times New Roman" w:hAnsi="Times New Roman" w:eastAsia="宋体" w:cs="Times New Roman"/>
                      <w:color w:val="auto"/>
                      <w:sz w:val="21"/>
                      <w:szCs w:val="21"/>
                      <w:lang w:val="en-US" w:eastAsia="zh-CN"/>
                    </w:rPr>
                    <w:t>生产设备均位于密闭厂房内，</w:t>
                  </w:r>
                  <w:r>
                    <w:rPr>
                      <w:rFonts w:hint="default" w:ascii="Times New Roman" w:hAnsi="Times New Roman" w:eastAsia="宋体" w:cs="Times New Roman"/>
                      <w:color w:val="auto"/>
                      <w:sz w:val="21"/>
                      <w:szCs w:val="21"/>
                      <w:lang w:val="en-US" w:eastAsia="zh-CN"/>
                    </w:rPr>
                    <w:t>粉尘产生量较小，无组织逸散</w:t>
                  </w:r>
                </w:p>
              </w:tc>
              <w:tc>
                <w:tcPr>
                  <w:tcW w:w="769" w:type="pct"/>
                  <w:vMerge w:val="restart"/>
                  <w:tcBorders>
                    <w:tl2br w:val="nil"/>
                    <w:tr2bl w:val="nil"/>
                  </w:tcBorders>
                  <w:shd w:val="clear" w:color="auto" w:fill="auto"/>
                  <w:tcMar>
                    <w:left w:w="57" w:type="dxa"/>
                    <w:right w:w="57" w:type="dxa"/>
                  </w:tcMar>
                  <w:vAlign w:val="center"/>
                </w:tcPr>
                <w:p w14:paraId="53CA3702">
                  <w:pPr>
                    <w:spacing w:line="240" w:lineRule="auto"/>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依托原有，已建成</w:t>
                  </w:r>
                </w:p>
              </w:tc>
            </w:tr>
            <w:tr w14:paraId="1D8DC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shd w:val="clear" w:color="auto" w:fill="auto"/>
                  <w:tcMar>
                    <w:left w:w="57" w:type="dxa"/>
                    <w:right w:w="57" w:type="dxa"/>
                  </w:tcMar>
                  <w:vAlign w:val="center"/>
                </w:tcPr>
                <w:p w14:paraId="53B9F431">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tcBorders>
                    <w:tl2br w:val="nil"/>
                    <w:tr2bl w:val="nil"/>
                  </w:tcBorders>
                  <w:shd w:val="clear" w:color="auto" w:fill="auto"/>
                  <w:tcMar>
                    <w:left w:w="57" w:type="dxa"/>
                    <w:right w:w="57" w:type="dxa"/>
                  </w:tcMar>
                  <w:vAlign w:val="center"/>
                </w:tcPr>
                <w:p w14:paraId="20927F43">
                  <w:pPr>
                    <w:spacing w:line="240" w:lineRule="auto"/>
                    <w:ind w:firstLine="0" w:firstLineChars="0"/>
                    <w:jc w:val="center"/>
                    <w:rPr>
                      <w:rFonts w:hint="default" w:ascii="Times New Roman" w:hAnsi="Times New Roman" w:cs="Times New Roman"/>
                      <w:color w:val="auto"/>
                      <w:sz w:val="21"/>
                      <w:szCs w:val="21"/>
                    </w:rPr>
                  </w:pPr>
                </w:p>
              </w:tc>
              <w:tc>
                <w:tcPr>
                  <w:tcW w:w="3265" w:type="pct"/>
                  <w:tcBorders>
                    <w:tl2br w:val="nil"/>
                    <w:tr2bl w:val="nil"/>
                  </w:tcBorders>
                  <w:shd w:val="clear" w:color="auto" w:fill="auto"/>
                  <w:tcMar>
                    <w:left w:w="57" w:type="dxa"/>
                    <w:right w:w="57" w:type="dxa"/>
                  </w:tcMar>
                  <w:vAlign w:val="center"/>
                </w:tcPr>
                <w:p w14:paraId="05A4F1A4">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3台发泡机出口处上方各设1个集气罩，收集的废气经一套二级活性炭吸附装置处理后由1根15m排气筒（DA001）排放</w:t>
                  </w:r>
                </w:p>
              </w:tc>
              <w:tc>
                <w:tcPr>
                  <w:tcW w:w="769" w:type="pct"/>
                  <w:vMerge w:val="continue"/>
                  <w:tcBorders>
                    <w:tl2br w:val="nil"/>
                    <w:tr2bl w:val="nil"/>
                  </w:tcBorders>
                  <w:shd w:val="clear" w:color="auto" w:fill="auto"/>
                  <w:tcMar>
                    <w:left w:w="57" w:type="dxa"/>
                    <w:right w:w="57" w:type="dxa"/>
                  </w:tcMar>
                  <w:vAlign w:val="center"/>
                </w:tcPr>
                <w:p w14:paraId="2791B95A">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r>
            <w:tr w14:paraId="1A1E9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shd w:val="clear" w:color="auto" w:fill="auto"/>
                  <w:tcMar>
                    <w:left w:w="57" w:type="dxa"/>
                    <w:right w:w="57" w:type="dxa"/>
                  </w:tcMar>
                  <w:vAlign w:val="center"/>
                </w:tcPr>
                <w:p w14:paraId="5D749266">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tcBorders>
                    <w:tl2br w:val="nil"/>
                    <w:tr2bl w:val="nil"/>
                  </w:tcBorders>
                  <w:shd w:val="clear" w:color="auto" w:fill="auto"/>
                  <w:tcMar>
                    <w:left w:w="57" w:type="dxa"/>
                    <w:right w:w="57" w:type="dxa"/>
                  </w:tcMar>
                  <w:vAlign w:val="center"/>
                </w:tcPr>
                <w:p w14:paraId="00DEB3EA">
                  <w:pPr>
                    <w:spacing w:line="240" w:lineRule="auto"/>
                    <w:ind w:firstLine="0" w:firstLineChars="0"/>
                    <w:jc w:val="center"/>
                    <w:rPr>
                      <w:rFonts w:hint="default" w:ascii="Times New Roman" w:hAnsi="Times New Roman" w:cs="Times New Roman"/>
                      <w:color w:val="auto"/>
                      <w:sz w:val="21"/>
                      <w:szCs w:val="21"/>
                    </w:rPr>
                  </w:pPr>
                </w:p>
              </w:tc>
              <w:tc>
                <w:tcPr>
                  <w:tcW w:w="3265" w:type="pct"/>
                  <w:tcBorders>
                    <w:tl2br w:val="nil"/>
                    <w:tr2bl w:val="nil"/>
                  </w:tcBorders>
                  <w:shd w:val="clear" w:color="auto" w:fill="auto"/>
                  <w:tcMar>
                    <w:left w:w="57" w:type="dxa"/>
                    <w:right w:w="57" w:type="dxa"/>
                  </w:tcMar>
                  <w:vAlign w:val="center"/>
                </w:tcPr>
                <w:p w14:paraId="29BA8F92">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复合车间在复合机、覆膜机、增厚机上方共设置4个集气罩收集，由一套二级活性炭吸附装置处理，然后通过1根15m排气筒（DA002）排放</w:t>
                  </w:r>
                </w:p>
              </w:tc>
              <w:tc>
                <w:tcPr>
                  <w:tcW w:w="769" w:type="pct"/>
                  <w:tcBorders>
                    <w:tl2br w:val="nil"/>
                    <w:tr2bl w:val="nil"/>
                  </w:tcBorders>
                  <w:shd w:val="clear" w:color="auto" w:fill="auto"/>
                  <w:tcMar>
                    <w:left w:w="57" w:type="dxa"/>
                    <w:right w:w="57" w:type="dxa"/>
                  </w:tcMar>
                  <w:vAlign w:val="center"/>
                </w:tcPr>
                <w:p w14:paraId="3FB4D75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新建2个集气罩</w:t>
                  </w:r>
                </w:p>
              </w:tc>
            </w:tr>
            <w:tr w14:paraId="11CC4B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shd w:val="clear" w:color="auto" w:fill="auto"/>
                  <w:tcMar>
                    <w:left w:w="57" w:type="dxa"/>
                    <w:right w:w="57" w:type="dxa"/>
                  </w:tcMar>
                  <w:vAlign w:val="center"/>
                </w:tcPr>
                <w:p w14:paraId="0E7CFF88">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tcBorders>
                    <w:tl2br w:val="nil"/>
                    <w:tr2bl w:val="nil"/>
                  </w:tcBorders>
                  <w:shd w:val="clear" w:color="auto" w:fill="auto"/>
                  <w:tcMar>
                    <w:left w:w="57" w:type="dxa"/>
                    <w:right w:w="57" w:type="dxa"/>
                  </w:tcMar>
                  <w:vAlign w:val="center"/>
                </w:tcPr>
                <w:p w14:paraId="75E67463">
                  <w:pPr>
                    <w:spacing w:line="240" w:lineRule="auto"/>
                    <w:ind w:firstLine="0" w:firstLineChars="0"/>
                    <w:jc w:val="center"/>
                    <w:rPr>
                      <w:rFonts w:hint="default" w:ascii="Times New Roman" w:hAnsi="Times New Roman" w:cs="Times New Roman"/>
                      <w:color w:val="auto"/>
                      <w:sz w:val="21"/>
                      <w:szCs w:val="21"/>
                    </w:rPr>
                  </w:pPr>
                </w:p>
              </w:tc>
              <w:tc>
                <w:tcPr>
                  <w:tcW w:w="3265" w:type="pct"/>
                  <w:tcBorders>
                    <w:tl2br w:val="nil"/>
                    <w:tr2bl w:val="nil"/>
                  </w:tcBorders>
                  <w:shd w:val="clear" w:color="auto" w:fill="auto"/>
                  <w:tcMar>
                    <w:left w:w="57" w:type="dxa"/>
                    <w:right w:w="57" w:type="dxa"/>
                  </w:tcMar>
                  <w:vAlign w:val="center"/>
                </w:tcPr>
                <w:p w14:paraId="5FBAA030">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深加工车间贴合机、粘胶线上方共设置9个集气罩，收集的废气用一套二级活性炭吸附装置处理后由1根15m排气筒（DA003）排放</w:t>
                  </w:r>
                </w:p>
              </w:tc>
              <w:tc>
                <w:tcPr>
                  <w:tcW w:w="769" w:type="pct"/>
                  <w:vMerge w:val="restart"/>
                  <w:tcBorders>
                    <w:tl2br w:val="nil"/>
                    <w:tr2bl w:val="nil"/>
                  </w:tcBorders>
                  <w:shd w:val="clear" w:color="auto" w:fill="auto"/>
                  <w:tcMar>
                    <w:left w:w="57" w:type="dxa"/>
                    <w:right w:w="57" w:type="dxa"/>
                  </w:tcMar>
                  <w:vAlign w:val="center"/>
                </w:tcPr>
                <w:p w14:paraId="679FABC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依托原有，已建成</w:t>
                  </w:r>
                </w:p>
              </w:tc>
            </w:tr>
            <w:tr w14:paraId="525286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tcBorders>
                    <w:tl2br w:val="nil"/>
                    <w:tr2bl w:val="nil"/>
                  </w:tcBorders>
                  <w:shd w:val="clear" w:color="auto" w:fill="auto"/>
                  <w:tcMar>
                    <w:left w:w="57" w:type="dxa"/>
                    <w:right w:w="57" w:type="dxa"/>
                  </w:tcMar>
                  <w:vAlign w:val="center"/>
                </w:tcPr>
                <w:p w14:paraId="0FB9CC51">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tcBorders>
                    <w:tl2br w:val="nil"/>
                    <w:tr2bl w:val="nil"/>
                  </w:tcBorders>
                  <w:shd w:val="clear" w:color="auto" w:fill="auto"/>
                  <w:tcMar>
                    <w:left w:w="57" w:type="dxa"/>
                    <w:right w:w="57" w:type="dxa"/>
                  </w:tcMar>
                  <w:vAlign w:val="center"/>
                </w:tcPr>
                <w:p w14:paraId="0E9FA2A2">
                  <w:pPr>
                    <w:spacing w:line="240" w:lineRule="auto"/>
                    <w:ind w:firstLine="0" w:firstLineChars="0"/>
                    <w:jc w:val="center"/>
                    <w:rPr>
                      <w:rFonts w:hint="default" w:ascii="Times New Roman" w:hAnsi="Times New Roman" w:cs="Times New Roman"/>
                      <w:color w:val="auto"/>
                      <w:sz w:val="21"/>
                      <w:szCs w:val="21"/>
                    </w:rPr>
                  </w:pPr>
                </w:p>
              </w:tc>
              <w:tc>
                <w:tcPr>
                  <w:tcW w:w="3265" w:type="pct"/>
                  <w:tcBorders>
                    <w:tl2br w:val="nil"/>
                    <w:tr2bl w:val="nil"/>
                  </w:tcBorders>
                  <w:shd w:val="clear" w:color="auto" w:fill="auto"/>
                  <w:tcMar>
                    <w:left w:w="57" w:type="dxa"/>
                    <w:right w:w="57" w:type="dxa"/>
                  </w:tcMar>
                  <w:vAlign w:val="center"/>
                </w:tcPr>
                <w:p w14:paraId="67237F41">
                  <w:pPr>
                    <w:spacing w:line="240" w:lineRule="auto"/>
                    <w:ind w:firstLine="0" w:firstLineChars="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造粒机上方设置2个集气罩，收集的废气通过一套二级活性炭吸附装置处理后，由15米高排气筒（DA004）排放；造粒工序中，边角料和不合格产品均为不规则珍珠棉片，不进行破碎，切粒后的成品亦为颗粒，生产过程中产生的粉尘极少</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无组织逸散</w:t>
                  </w:r>
                </w:p>
              </w:tc>
              <w:tc>
                <w:tcPr>
                  <w:tcW w:w="769" w:type="pct"/>
                  <w:vMerge w:val="continue"/>
                  <w:tcBorders>
                    <w:tl2br w:val="nil"/>
                    <w:tr2bl w:val="nil"/>
                  </w:tcBorders>
                  <w:shd w:val="clear" w:color="auto" w:fill="auto"/>
                  <w:tcMar>
                    <w:left w:w="57" w:type="dxa"/>
                    <w:right w:w="57" w:type="dxa"/>
                  </w:tcMar>
                  <w:vAlign w:val="center"/>
                </w:tcPr>
                <w:p w14:paraId="53424A0D">
                  <w:pPr>
                    <w:spacing w:line="240" w:lineRule="auto"/>
                    <w:ind w:firstLine="0" w:firstLineChars="0"/>
                    <w:jc w:val="center"/>
                    <w:rPr>
                      <w:rFonts w:hint="default" w:ascii="Times New Roman" w:hAnsi="Times New Roman" w:cs="Times New Roman"/>
                      <w:color w:val="auto"/>
                      <w:sz w:val="21"/>
                      <w:szCs w:val="21"/>
                    </w:rPr>
                  </w:pPr>
                </w:p>
              </w:tc>
            </w:tr>
            <w:tr w14:paraId="3C9951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30" w:type="pct"/>
                  <w:vMerge w:val="continue"/>
                  <w:tcBorders>
                    <w:tl2br w:val="nil"/>
                    <w:tr2bl w:val="nil"/>
                  </w:tcBorders>
                  <w:shd w:val="clear" w:color="auto" w:fill="auto"/>
                  <w:tcMar>
                    <w:left w:w="57" w:type="dxa"/>
                    <w:right w:w="57" w:type="dxa"/>
                  </w:tcMar>
                  <w:vAlign w:val="center"/>
                </w:tcPr>
                <w:p w14:paraId="66178A7A">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tcBorders>
                    <w:tl2br w:val="nil"/>
                    <w:tr2bl w:val="nil"/>
                  </w:tcBorders>
                  <w:shd w:val="clear" w:color="auto" w:fill="auto"/>
                  <w:tcMar>
                    <w:left w:w="57" w:type="dxa"/>
                    <w:right w:w="57" w:type="dxa"/>
                  </w:tcMar>
                  <w:vAlign w:val="center"/>
                </w:tcPr>
                <w:p w14:paraId="47468916">
                  <w:pPr>
                    <w:spacing w:line="240" w:lineRule="auto"/>
                    <w:ind w:firstLine="0" w:firstLineChars="0"/>
                    <w:jc w:val="center"/>
                    <w:rPr>
                      <w:rFonts w:hint="default" w:ascii="Times New Roman" w:hAnsi="Times New Roman" w:cs="Times New Roman"/>
                      <w:color w:val="auto"/>
                      <w:sz w:val="21"/>
                      <w:szCs w:val="21"/>
                    </w:rPr>
                  </w:pPr>
                </w:p>
              </w:tc>
              <w:tc>
                <w:tcPr>
                  <w:tcW w:w="3265" w:type="pct"/>
                  <w:tcBorders>
                    <w:tl2br w:val="nil"/>
                    <w:tr2bl w:val="nil"/>
                  </w:tcBorders>
                  <w:shd w:val="clear" w:color="auto" w:fill="auto"/>
                  <w:tcMar>
                    <w:left w:w="57" w:type="dxa"/>
                    <w:right w:w="57" w:type="dxa"/>
                  </w:tcMar>
                  <w:vAlign w:val="center"/>
                </w:tcPr>
                <w:p w14:paraId="76EB018D">
                  <w:pPr>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食堂油烟经油烟净化器处理后经引至楼顶排放（DA005）</w:t>
                  </w:r>
                </w:p>
              </w:tc>
              <w:tc>
                <w:tcPr>
                  <w:tcW w:w="769" w:type="pct"/>
                  <w:vMerge w:val="continue"/>
                  <w:tcBorders>
                    <w:tl2br w:val="nil"/>
                    <w:tr2bl w:val="nil"/>
                  </w:tcBorders>
                  <w:shd w:val="clear" w:color="auto" w:fill="auto"/>
                  <w:tcMar>
                    <w:left w:w="57" w:type="dxa"/>
                    <w:right w:w="57" w:type="dxa"/>
                  </w:tcMar>
                  <w:vAlign w:val="center"/>
                </w:tcPr>
                <w:p w14:paraId="71BB41A5">
                  <w:pPr>
                    <w:spacing w:line="240" w:lineRule="auto"/>
                    <w:ind w:firstLine="0" w:firstLineChars="0"/>
                    <w:jc w:val="center"/>
                    <w:rPr>
                      <w:rFonts w:hint="default" w:ascii="Times New Roman" w:hAnsi="Times New Roman" w:cs="Times New Roman"/>
                      <w:color w:val="auto"/>
                      <w:sz w:val="21"/>
                      <w:szCs w:val="21"/>
                    </w:rPr>
                  </w:pPr>
                </w:p>
              </w:tc>
            </w:tr>
            <w:tr w14:paraId="5552DB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30" w:type="pct"/>
                  <w:vMerge w:val="continue"/>
                  <w:vAlign w:val="center"/>
                </w:tcPr>
                <w:p w14:paraId="4741CCF4">
                  <w:pPr>
                    <w:spacing w:line="240" w:lineRule="auto"/>
                    <w:ind w:firstLine="0" w:firstLineChars="0"/>
                    <w:jc w:val="center"/>
                    <w:rPr>
                      <w:rFonts w:hint="default" w:ascii="Times New Roman" w:hAnsi="Times New Roman" w:cs="Times New Roman"/>
                      <w:color w:val="auto"/>
                      <w:sz w:val="21"/>
                      <w:szCs w:val="21"/>
                    </w:rPr>
                  </w:pPr>
                </w:p>
              </w:tc>
              <w:tc>
                <w:tcPr>
                  <w:tcW w:w="634" w:type="pct"/>
                  <w:vMerge w:val="restart"/>
                  <w:shd w:val="clear" w:color="auto" w:fill="auto"/>
                  <w:vAlign w:val="center"/>
                </w:tcPr>
                <w:p w14:paraId="7A47A01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3265" w:type="pct"/>
                  <w:shd w:val="clear" w:color="auto" w:fill="auto"/>
                  <w:vAlign w:val="center"/>
                </w:tcPr>
                <w:p w14:paraId="59B93B85">
                  <w:pPr>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设备冷却水通过循环冷却水系统循环使用，定期补充新鲜水，</w:t>
                  </w:r>
                  <w:r>
                    <w:rPr>
                      <w:rFonts w:hint="default" w:ascii="Times New Roman" w:hAnsi="Times New Roman" w:eastAsia="宋体" w:cs="Times New Roman"/>
                      <w:color w:val="auto"/>
                      <w:sz w:val="21"/>
                      <w:szCs w:val="21"/>
                    </w:rPr>
                    <w:t>循环冷却水系统产生的排污水用于厂区</w:t>
                  </w:r>
                  <w:r>
                    <w:rPr>
                      <w:rFonts w:hint="default" w:ascii="Times New Roman" w:hAnsi="Times New Roman" w:eastAsia="宋体" w:cs="Times New Roman"/>
                      <w:color w:val="auto"/>
                      <w:sz w:val="21"/>
                      <w:szCs w:val="21"/>
                      <w:lang w:val="en-US" w:eastAsia="zh-CN"/>
                    </w:rPr>
                    <w:t>洒水降尘</w:t>
                  </w:r>
                </w:p>
              </w:tc>
              <w:tc>
                <w:tcPr>
                  <w:tcW w:w="769" w:type="pct"/>
                  <w:vMerge w:val="restart"/>
                  <w:shd w:val="clear" w:color="auto" w:fill="auto"/>
                  <w:vAlign w:val="center"/>
                </w:tcPr>
                <w:p w14:paraId="1974FB4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依托原有，已建成</w:t>
                  </w:r>
                </w:p>
              </w:tc>
            </w:tr>
            <w:tr w14:paraId="38CF3A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vAlign w:val="center"/>
                </w:tcPr>
                <w:p w14:paraId="4736D5E9">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shd w:val="clear" w:color="auto" w:fill="auto"/>
                  <w:vAlign w:val="center"/>
                </w:tcPr>
                <w:p w14:paraId="0C6B6800">
                  <w:pPr>
                    <w:spacing w:line="240" w:lineRule="auto"/>
                    <w:ind w:firstLine="0" w:firstLineChars="0"/>
                    <w:jc w:val="center"/>
                    <w:rPr>
                      <w:rFonts w:hint="default" w:ascii="Times New Roman" w:hAnsi="Times New Roman" w:cs="Times New Roman"/>
                      <w:color w:val="auto"/>
                      <w:sz w:val="21"/>
                      <w:szCs w:val="21"/>
                    </w:rPr>
                  </w:pPr>
                </w:p>
              </w:tc>
              <w:tc>
                <w:tcPr>
                  <w:tcW w:w="3265" w:type="pct"/>
                  <w:shd w:val="clear" w:color="auto" w:fill="auto"/>
                  <w:vAlign w:val="center"/>
                </w:tcPr>
                <w:p w14:paraId="0DF1393E">
                  <w:pPr>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雨水经厂区内雨水系统排出厂外</w:t>
                  </w:r>
                </w:p>
              </w:tc>
              <w:tc>
                <w:tcPr>
                  <w:tcW w:w="769" w:type="pct"/>
                  <w:vMerge w:val="continue"/>
                  <w:shd w:val="clear" w:color="auto" w:fill="auto"/>
                  <w:vAlign w:val="center"/>
                </w:tcPr>
                <w:p w14:paraId="4406172D">
                  <w:pPr>
                    <w:spacing w:line="240" w:lineRule="auto"/>
                    <w:ind w:firstLine="0" w:firstLineChars="0"/>
                    <w:rPr>
                      <w:rFonts w:hint="default" w:ascii="Times New Roman" w:hAnsi="Times New Roman" w:cs="Times New Roman"/>
                      <w:color w:val="auto"/>
                      <w:sz w:val="21"/>
                      <w:szCs w:val="21"/>
                    </w:rPr>
                  </w:pPr>
                </w:p>
              </w:tc>
            </w:tr>
            <w:tr w14:paraId="47DAC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vAlign w:val="center"/>
                </w:tcPr>
                <w:p w14:paraId="56E4AF7A">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shd w:val="clear" w:color="auto" w:fill="auto"/>
                  <w:vAlign w:val="center"/>
                </w:tcPr>
                <w:p w14:paraId="38590960">
                  <w:pPr>
                    <w:spacing w:line="240" w:lineRule="auto"/>
                    <w:ind w:firstLine="0" w:firstLineChars="0"/>
                    <w:jc w:val="center"/>
                    <w:rPr>
                      <w:rFonts w:hint="default" w:ascii="Times New Roman" w:hAnsi="Times New Roman" w:cs="Times New Roman"/>
                      <w:color w:val="auto"/>
                      <w:sz w:val="21"/>
                      <w:szCs w:val="21"/>
                    </w:rPr>
                  </w:pPr>
                </w:p>
              </w:tc>
              <w:tc>
                <w:tcPr>
                  <w:tcW w:w="3265" w:type="pct"/>
                  <w:shd w:val="clear" w:color="auto" w:fill="auto"/>
                  <w:vAlign w:val="center"/>
                </w:tcPr>
                <w:p w14:paraId="398B8B7B">
                  <w:pPr>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食堂废水经油水分离器处理后和生活污水进入厂区化粪池，处理后定期清掏肥田，不外排</w:t>
                  </w:r>
                </w:p>
              </w:tc>
              <w:tc>
                <w:tcPr>
                  <w:tcW w:w="769" w:type="pct"/>
                  <w:shd w:val="clear" w:color="auto" w:fill="auto"/>
                  <w:vAlign w:val="center"/>
                </w:tcPr>
                <w:p w14:paraId="7FF9150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油水分离器未建</w:t>
                  </w:r>
                </w:p>
              </w:tc>
            </w:tr>
            <w:tr w14:paraId="723EF0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30" w:type="pct"/>
                  <w:vMerge w:val="continue"/>
                  <w:vAlign w:val="center"/>
                </w:tcPr>
                <w:p w14:paraId="072CED0A">
                  <w:pPr>
                    <w:spacing w:line="240" w:lineRule="auto"/>
                    <w:ind w:firstLine="0" w:firstLineChars="0"/>
                    <w:jc w:val="center"/>
                    <w:rPr>
                      <w:rFonts w:hint="default" w:ascii="Times New Roman" w:hAnsi="Times New Roman" w:cs="Times New Roman"/>
                      <w:color w:val="auto"/>
                      <w:sz w:val="21"/>
                      <w:szCs w:val="21"/>
                    </w:rPr>
                  </w:pPr>
                </w:p>
              </w:tc>
              <w:tc>
                <w:tcPr>
                  <w:tcW w:w="634" w:type="pct"/>
                  <w:shd w:val="clear" w:color="auto" w:fill="auto"/>
                  <w:vAlign w:val="center"/>
                </w:tcPr>
                <w:p w14:paraId="29EAED9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3265" w:type="pct"/>
                  <w:shd w:val="clear" w:color="auto" w:fill="auto"/>
                  <w:vAlign w:val="center"/>
                </w:tcPr>
                <w:p w14:paraId="023E51E3">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生产车间封闭，利用建筑物形成噪</w:t>
                  </w:r>
                  <w:r>
                    <w:rPr>
                      <w:rFonts w:hint="default" w:ascii="Times New Roman" w:hAnsi="Times New Roman" w:cs="Times New Roman"/>
                      <w:color w:val="auto"/>
                      <w:sz w:val="21"/>
                      <w:szCs w:val="21"/>
                      <w:highlight w:val="none"/>
                    </w:rPr>
                    <w:t>声屏障，阻碍噪声传播；采用低噪声设备；生产设备设置基础减震，</w:t>
                  </w:r>
                  <w:r>
                    <w:rPr>
                      <w:rFonts w:hint="default" w:ascii="Times New Roman" w:hAnsi="Times New Roman" w:cs="Times New Roman"/>
                      <w:color w:val="auto"/>
                      <w:sz w:val="21"/>
                      <w:szCs w:val="21"/>
                    </w:rPr>
                    <w:t>风机安装隔声罩，管道接口采用隔音材料包裹</w:t>
                  </w:r>
                </w:p>
              </w:tc>
              <w:tc>
                <w:tcPr>
                  <w:tcW w:w="769" w:type="pct"/>
                  <w:shd w:val="clear" w:color="auto" w:fill="auto"/>
                  <w:vAlign w:val="center"/>
                </w:tcPr>
                <w:p w14:paraId="78F1DF4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6B59E8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vAlign w:val="center"/>
                </w:tcPr>
                <w:p w14:paraId="0A99A069">
                  <w:pPr>
                    <w:spacing w:line="240" w:lineRule="auto"/>
                    <w:ind w:firstLine="0" w:firstLineChars="0"/>
                    <w:jc w:val="center"/>
                    <w:rPr>
                      <w:rFonts w:hint="default" w:ascii="Times New Roman" w:hAnsi="Times New Roman" w:cs="Times New Roman"/>
                      <w:color w:val="auto"/>
                      <w:sz w:val="21"/>
                      <w:szCs w:val="21"/>
                    </w:rPr>
                  </w:pPr>
                </w:p>
              </w:tc>
              <w:tc>
                <w:tcPr>
                  <w:tcW w:w="634" w:type="pct"/>
                  <w:vMerge w:val="restart"/>
                  <w:shd w:val="clear" w:color="auto" w:fill="auto"/>
                  <w:vAlign w:val="center"/>
                </w:tcPr>
                <w:p w14:paraId="5C11D6A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3265" w:type="pct"/>
                  <w:shd w:val="clear" w:color="auto" w:fill="auto"/>
                  <w:vAlign w:val="center"/>
                </w:tcPr>
                <w:p w14:paraId="7BF49A5B">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生活垃圾收集后由环卫部门处理</w:t>
                  </w:r>
                </w:p>
              </w:tc>
              <w:tc>
                <w:tcPr>
                  <w:tcW w:w="769" w:type="pct"/>
                  <w:shd w:val="clear" w:color="auto" w:fill="auto"/>
                  <w:vAlign w:val="center"/>
                </w:tcPr>
                <w:p w14:paraId="38F9495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依托原有，已建成</w:t>
                  </w:r>
                </w:p>
              </w:tc>
            </w:tr>
            <w:tr w14:paraId="683577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vAlign w:val="center"/>
                </w:tcPr>
                <w:p w14:paraId="47FF7C71">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shd w:val="clear" w:color="auto" w:fill="auto"/>
                  <w:vAlign w:val="center"/>
                </w:tcPr>
                <w:p w14:paraId="6FFE85A6">
                  <w:pPr>
                    <w:spacing w:line="240" w:lineRule="auto"/>
                    <w:ind w:firstLine="0" w:firstLineChars="0"/>
                    <w:jc w:val="center"/>
                    <w:rPr>
                      <w:rFonts w:hint="default" w:ascii="Times New Roman" w:hAnsi="Times New Roman" w:cs="Times New Roman"/>
                      <w:color w:val="auto"/>
                      <w:sz w:val="21"/>
                      <w:szCs w:val="21"/>
                    </w:rPr>
                  </w:pPr>
                </w:p>
              </w:tc>
              <w:tc>
                <w:tcPr>
                  <w:tcW w:w="3265" w:type="pct"/>
                  <w:shd w:val="clear" w:color="auto" w:fill="auto"/>
                  <w:vAlign w:val="center"/>
                </w:tcPr>
                <w:p w14:paraId="4516288D">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食堂废油脂定期交由资质单位回收处置，化粪池污泥定期清掏肥田</w:t>
                  </w:r>
                </w:p>
              </w:tc>
              <w:tc>
                <w:tcPr>
                  <w:tcW w:w="769" w:type="pct"/>
                  <w:shd w:val="clear" w:color="auto" w:fill="auto"/>
                  <w:vAlign w:val="center"/>
                </w:tcPr>
                <w:p w14:paraId="3D97EB8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211965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0" w:type="pct"/>
                  <w:vMerge w:val="continue"/>
                  <w:vAlign w:val="center"/>
                </w:tcPr>
                <w:p w14:paraId="19E8031C">
                  <w:pPr>
                    <w:spacing w:line="240" w:lineRule="auto"/>
                    <w:ind w:firstLine="0" w:firstLineChars="0"/>
                    <w:jc w:val="center"/>
                    <w:rPr>
                      <w:rFonts w:hint="default" w:ascii="Times New Roman" w:hAnsi="Times New Roman" w:cs="Times New Roman"/>
                      <w:color w:val="auto"/>
                      <w:sz w:val="21"/>
                      <w:szCs w:val="21"/>
                    </w:rPr>
                  </w:pPr>
                </w:p>
              </w:tc>
              <w:tc>
                <w:tcPr>
                  <w:tcW w:w="634" w:type="pct"/>
                  <w:vMerge w:val="continue"/>
                  <w:shd w:val="clear" w:color="auto" w:fill="auto"/>
                  <w:vAlign w:val="center"/>
                </w:tcPr>
                <w:p w14:paraId="43DC6E5E">
                  <w:pPr>
                    <w:spacing w:line="240" w:lineRule="auto"/>
                    <w:ind w:firstLine="0" w:firstLineChars="0"/>
                    <w:jc w:val="center"/>
                    <w:rPr>
                      <w:rFonts w:hint="default" w:ascii="Times New Roman" w:hAnsi="Times New Roman" w:cs="Times New Roman"/>
                      <w:color w:val="auto"/>
                      <w:sz w:val="21"/>
                      <w:szCs w:val="21"/>
                    </w:rPr>
                  </w:pPr>
                </w:p>
              </w:tc>
              <w:tc>
                <w:tcPr>
                  <w:tcW w:w="3265" w:type="pct"/>
                  <w:shd w:val="clear" w:color="auto" w:fill="auto"/>
                  <w:vAlign w:val="center"/>
                </w:tcPr>
                <w:p w14:paraId="632573A5">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废机油、废机油桶、废含油抹布、手套、废活性炭属于危险废物，集中收集后暂存于危废贮存库（位于厂区西侧，20m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），定期委托有资质单位处置</w:t>
                  </w:r>
                </w:p>
              </w:tc>
              <w:tc>
                <w:tcPr>
                  <w:tcW w:w="769" w:type="pct"/>
                  <w:shd w:val="clear" w:color="auto" w:fill="auto"/>
                  <w:vAlign w:val="center"/>
                </w:tcPr>
                <w:p w14:paraId="03742CE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新建</w:t>
                  </w:r>
                </w:p>
              </w:tc>
            </w:tr>
          </w:tbl>
          <w:p w14:paraId="051C9864">
            <w:pPr>
              <w:pStyle w:val="34"/>
              <w:ind w:firstLine="482"/>
              <w:rPr>
                <w:rFonts w:hint="default" w:ascii="Times New Roman" w:hAnsi="Times New Roman" w:eastAsia="宋体" w:cs="Times New Roman"/>
                <w:b/>
                <w:bCs/>
                <w:color w:val="auto"/>
              </w:rPr>
            </w:pPr>
            <w:r>
              <w:rPr>
                <w:rFonts w:hint="default" w:ascii="Times New Roman" w:hAnsi="Times New Roman" w:eastAsia="宋体" w:cs="Times New Roman"/>
                <w:b/>
                <w:bCs/>
                <w:color w:val="auto"/>
              </w:rPr>
              <w:t>4、产品方案</w:t>
            </w:r>
          </w:p>
          <w:p w14:paraId="5B17314D">
            <w:pPr>
              <w:ind w:firstLine="480"/>
              <w:rPr>
                <w:rFonts w:hint="default" w:ascii="Times New Roman" w:hAnsi="Times New Roman" w:cs="Times New Roman"/>
                <w:color w:val="auto"/>
              </w:rPr>
            </w:pPr>
            <w:r>
              <w:rPr>
                <w:rFonts w:hint="default" w:ascii="Times New Roman" w:hAnsi="Times New Roman" w:cs="Times New Roman"/>
                <w:color w:val="auto"/>
              </w:rPr>
              <w:t>本项目具体产品方案见下表。</w:t>
            </w:r>
          </w:p>
          <w:p w14:paraId="2BB1F70B">
            <w:pPr>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表2-2  项目主要产品及规模</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07"/>
              <w:gridCol w:w="1928"/>
              <w:gridCol w:w="4453"/>
            </w:tblGrid>
            <w:tr w14:paraId="157B03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pct"/>
                  <w:tcBorders>
                    <w:tl2br w:val="nil"/>
                    <w:tr2bl w:val="nil"/>
                  </w:tcBorders>
                  <w:vAlign w:val="center"/>
                </w:tcPr>
                <w:p w14:paraId="5365A3B5">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产品</w:t>
                  </w:r>
                </w:p>
              </w:tc>
              <w:tc>
                <w:tcPr>
                  <w:tcW w:w="1149" w:type="pct"/>
                  <w:tcBorders>
                    <w:tl2br w:val="nil"/>
                    <w:tr2bl w:val="nil"/>
                  </w:tcBorders>
                  <w:vAlign w:val="center"/>
                </w:tcPr>
                <w:p w14:paraId="0EDCC215">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年产量</w:t>
                  </w:r>
                </w:p>
              </w:tc>
              <w:tc>
                <w:tcPr>
                  <w:tcW w:w="2653" w:type="pct"/>
                  <w:tcBorders>
                    <w:tl2br w:val="nil"/>
                    <w:tr2bl w:val="nil"/>
                  </w:tcBorders>
                  <w:vAlign w:val="center"/>
                </w:tcPr>
                <w:p w14:paraId="5ACB4C18">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规格/型号</w:t>
                  </w:r>
                </w:p>
              </w:tc>
            </w:tr>
            <w:tr w14:paraId="21A9F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6" w:type="pct"/>
                  <w:tcBorders>
                    <w:tl2br w:val="nil"/>
                    <w:tr2bl w:val="nil"/>
                  </w:tcBorders>
                  <w:vAlign w:val="center"/>
                </w:tcPr>
                <w:p w14:paraId="600B929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珍珠棉产品</w:t>
                  </w:r>
                </w:p>
              </w:tc>
              <w:tc>
                <w:tcPr>
                  <w:tcW w:w="1149" w:type="pct"/>
                  <w:tcBorders>
                    <w:tl2br w:val="nil"/>
                    <w:tr2bl w:val="nil"/>
                  </w:tcBorders>
                  <w:vAlign w:val="center"/>
                </w:tcPr>
                <w:p w14:paraId="2836C07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828t</w:t>
                  </w:r>
                </w:p>
              </w:tc>
              <w:tc>
                <w:tcPr>
                  <w:tcW w:w="2653" w:type="pct"/>
                  <w:tcBorders>
                    <w:tl2br w:val="nil"/>
                    <w:tr2bl w:val="nil"/>
                  </w:tcBorders>
                  <w:vAlign w:val="center"/>
                </w:tcPr>
                <w:p w14:paraId="1399C95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根据用户需求定制，包括苹果托、猕猴桃托、鸡蛋托、其他包装产品等珍珠棉产品</w:t>
                  </w:r>
                </w:p>
              </w:tc>
            </w:tr>
          </w:tbl>
          <w:p w14:paraId="0FD8B191">
            <w:pPr>
              <w:pStyle w:val="34"/>
              <w:ind w:firstLine="482"/>
              <w:rPr>
                <w:rFonts w:hint="default" w:ascii="Times New Roman" w:hAnsi="Times New Roman" w:eastAsia="宋体" w:cs="Times New Roman"/>
                <w:b/>
                <w:bCs/>
                <w:color w:val="auto"/>
              </w:rPr>
            </w:pPr>
            <w:r>
              <w:rPr>
                <w:rFonts w:hint="default" w:ascii="Times New Roman" w:hAnsi="Times New Roman" w:eastAsia="宋体" w:cs="Times New Roman"/>
                <w:b/>
                <w:bCs/>
                <w:color w:val="auto"/>
              </w:rPr>
              <w:t>5、主要原辅料</w:t>
            </w:r>
          </w:p>
          <w:p w14:paraId="2A84484F">
            <w:pPr>
              <w:ind w:firstLine="480"/>
              <w:rPr>
                <w:rFonts w:hint="default" w:ascii="Times New Roman" w:hAnsi="Times New Roman" w:cs="Times New Roman"/>
                <w:color w:val="auto"/>
              </w:rPr>
            </w:pPr>
            <w:r>
              <w:rPr>
                <w:rFonts w:hint="default" w:ascii="Times New Roman" w:hAnsi="Times New Roman" w:cs="Times New Roman"/>
                <w:color w:val="auto"/>
              </w:rPr>
              <w:t>本项目主要原、辅材料消耗见下表。</w:t>
            </w:r>
          </w:p>
          <w:p w14:paraId="2A204C42">
            <w:pPr>
              <w:keepNext/>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表2-3  主要原辅材料消耗表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770"/>
              <w:gridCol w:w="899"/>
              <w:gridCol w:w="996"/>
              <w:gridCol w:w="1153"/>
              <w:gridCol w:w="2008"/>
              <w:gridCol w:w="1263"/>
            </w:tblGrid>
            <w:tr w14:paraId="5D314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32016B3D">
                  <w:pPr>
                    <w:pStyle w:val="11"/>
                    <w:keepNext/>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b/>
                      <w:snapToGrid w:val="0"/>
                      <w:color w:val="auto"/>
                      <w:sz w:val="21"/>
                    </w:rPr>
                    <w:t>名称</w:t>
                  </w:r>
                </w:p>
              </w:tc>
              <w:tc>
                <w:tcPr>
                  <w:tcW w:w="459" w:type="pct"/>
                  <w:tcBorders>
                    <w:tl2br w:val="nil"/>
                    <w:tr2bl w:val="nil"/>
                  </w:tcBorders>
                  <w:vAlign w:val="center"/>
                </w:tcPr>
                <w:p w14:paraId="708878EF">
                  <w:pPr>
                    <w:pStyle w:val="11"/>
                    <w:keepNext/>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b/>
                      <w:color w:val="auto"/>
                      <w:sz w:val="21"/>
                    </w:rPr>
                    <w:t>形态</w:t>
                  </w:r>
                </w:p>
              </w:tc>
              <w:tc>
                <w:tcPr>
                  <w:tcW w:w="535" w:type="pct"/>
                  <w:tcBorders>
                    <w:tl2br w:val="nil"/>
                    <w:tr2bl w:val="nil"/>
                  </w:tcBorders>
                  <w:vAlign w:val="center"/>
                </w:tcPr>
                <w:p w14:paraId="7B01B48D">
                  <w:pPr>
                    <w:pStyle w:val="11"/>
                    <w:keepNext/>
                    <w:spacing w:line="240" w:lineRule="auto"/>
                    <w:ind w:firstLine="0" w:firstLineChars="0"/>
                    <w:jc w:val="center"/>
                    <w:rPr>
                      <w:rFonts w:hint="default" w:ascii="Times New Roman" w:hAnsi="Times New Roman" w:cs="Times New Roman"/>
                      <w:b/>
                      <w:bCs/>
                      <w:color w:val="auto"/>
                      <w:sz w:val="21"/>
                    </w:rPr>
                  </w:pPr>
                  <w:r>
                    <w:rPr>
                      <w:rFonts w:hint="default" w:ascii="Times New Roman" w:hAnsi="Times New Roman" w:cs="Times New Roman"/>
                      <w:b/>
                      <w:snapToGrid w:val="0"/>
                      <w:color w:val="auto"/>
                      <w:sz w:val="21"/>
                    </w:rPr>
                    <w:t>用量</w:t>
                  </w:r>
                </w:p>
              </w:tc>
              <w:tc>
                <w:tcPr>
                  <w:tcW w:w="593" w:type="pct"/>
                  <w:tcBorders>
                    <w:tl2br w:val="nil"/>
                    <w:tr2bl w:val="nil"/>
                  </w:tcBorders>
                  <w:vAlign w:val="center"/>
                </w:tcPr>
                <w:p w14:paraId="31DC3F1B">
                  <w:pPr>
                    <w:pStyle w:val="11"/>
                    <w:keepNext/>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b/>
                      <w:snapToGrid w:val="0"/>
                      <w:color w:val="auto"/>
                      <w:sz w:val="21"/>
                    </w:rPr>
                    <w:t>最大储存量</w:t>
                  </w:r>
                </w:p>
              </w:tc>
              <w:tc>
                <w:tcPr>
                  <w:tcW w:w="687" w:type="pct"/>
                  <w:tcBorders>
                    <w:tl2br w:val="nil"/>
                    <w:tr2bl w:val="nil"/>
                  </w:tcBorders>
                  <w:vAlign w:val="center"/>
                </w:tcPr>
                <w:p w14:paraId="2C36C8B3">
                  <w:pPr>
                    <w:pStyle w:val="11"/>
                    <w:keepNext/>
                    <w:spacing w:line="240" w:lineRule="auto"/>
                    <w:ind w:firstLine="0" w:firstLineChars="0"/>
                    <w:jc w:val="center"/>
                    <w:rPr>
                      <w:rFonts w:hint="default" w:ascii="Times New Roman" w:hAnsi="Times New Roman" w:cs="Times New Roman"/>
                      <w:b/>
                      <w:snapToGrid w:val="0"/>
                      <w:color w:val="auto"/>
                      <w:sz w:val="21"/>
                    </w:rPr>
                  </w:pPr>
                  <w:r>
                    <w:rPr>
                      <w:rFonts w:hint="default" w:ascii="Times New Roman" w:hAnsi="Times New Roman" w:cs="Times New Roman"/>
                      <w:b/>
                      <w:snapToGrid w:val="0"/>
                      <w:color w:val="auto"/>
                      <w:sz w:val="21"/>
                    </w:rPr>
                    <w:t>单位</w:t>
                  </w:r>
                </w:p>
              </w:tc>
              <w:tc>
                <w:tcPr>
                  <w:tcW w:w="1196" w:type="pct"/>
                  <w:tcBorders>
                    <w:tl2br w:val="nil"/>
                    <w:tr2bl w:val="nil"/>
                  </w:tcBorders>
                  <w:vAlign w:val="center"/>
                </w:tcPr>
                <w:p w14:paraId="7D52D9DE">
                  <w:pPr>
                    <w:pStyle w:val="11"/>
                    <w:keepNext/>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b/>
                      <w:snapToGrid w:val="0"/>
                      <w:color w:val="auto"/>
                      <w:sz w:val="21"/>
                    </w:rPr>
                    <w:t>备注</w:t>
                  </w:r>
                </w:p>
              </w:tc>
              <w:tc>
                <w:tcPr>
                  <w:tcW w:w="752" w:type="pct"/>
                  <w:tcBorders>
                    <w:tl2br w:val="nil"/>
                    <w:tr2bl w:val="nil"/>
                  </w:tcBorders>
                  <w:vAlign w:val="center"/>
                </w:tcPr>
                <w:p w14:paraId="4C74246D">
                  <w:pPr>
                    <w:keepNext/>
                    <w:spacing w:line="240" w:lineRule="auto"/>
                    <w:ind w:firstLine="0" w:firstLineChars="0"/>
                    <w:jc w:val="center"/>
                    <w:rPr>
                      <w:rFonts w:hint="default" w:ascii="Times New Roman" w:hAnsi="Times New Roman" w:cs="Times New Roman"/>
                      <w:b/>
                      <w:snapToGrid w:val="0"/>
                      <w:color w:val="auto"/>
                      <w:sz w:val="21"/>
                      <w:szCs w:val="21"/>
                    </w:rPr>
                  </w:pPr>
                  <w:r>
                    <w:rPr>
                      <w:rFonts w:hint="default" w:ascii="Times New Roman" w:hAnsi="Times New Roman" w:cs="Times New Roman"/>
                      <w:b/>
                      <w:color w:val="auto"/>
                      <w:sz w:val="21"/>
                      <w:szCs w:val="21"/>
                    </w:rPr>
                    <w:t>来源</w:t>
                  </w:r>
                </w:p>
              </w:tc>
            </w:tr>
            <w:tr w14:paraId="327DBF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4374FB39">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kern w:val="0"/>
                      <w:sz w:val="21"/>
                      <w:szCs w:val="21"/>
                    </w:rPr>
                    <w:t>聚乙烯颗粒（LDPE）</w:t>
                  </w:r>
                </w:p>
              </w:tc>
              <w:tc>
                <w:tcPr>
                  <w:tcW w:w="459" w:type="pct"/>
                  <w:tcBorders>
                    <w:tl2br w:val="nil"/>
                    <w:tr2bl w:val="nil"/>
                  </w:tcBorders>
                  <w:vAlign w:val="center"/>
                </w:tcPr>
                <w:p w14:paraId="57936FDD">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color w:val="auto"/>
                      <w:sz w:val="21"/>
                    </w:rPr>
                    <w:t>颗粒</w:t>
                  </w:r>
                </w:p>
              </w:tc>
              <w:tc>
                <w:tcPr>
                  <w:tcW w:w="535" w:type="pct"/>
                  <w:tcBorders>
                    <w:tl2br w:val="nil"/>
                    <w:tr2bl w:val="nil"/>
                  </w:tcBorders>
                  <w:vAlign w:val="center"/>
                </w:tcPr>
                <w:p w14:paraId="5D1C6CCE">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kern w:val="0"/>
                      <w:sz w:val="21"/>
                    </w:rPr>
                    <w:t>400</w:t>
                  </w:r>
                </w:p>
              </w:tc>
              <w:tc>
                <w:tcPr>
                  <w:tcW w:w="593" w:type="pct"/>
                  <w:tcBorders>
                    <w:tl2br w:val="nil"/>
                    <w:tr2bl w:val="nil"/>
                  </w:tcBorders>
                  <w:vAlign w:val="center"/>
                </w:tcPr>
                <w:p w14:paraId="127CDAC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60</w:t>
                  </w:r>
                </w:p>
              </w:tc>
              <w:tc>
                <w:tcPr>
                  <w:tcW w:w="687" w:type="pct"/>
                  <w:tcBorders>
                    <w:tl2br w:val="nil"/>
                    <w:tr2bl w:val="nil"/>
                  </w:tcBorders>
                  <w:vAlign w:val="center"/>
                </w:tcPr>
                <w:p w14:paraId="792AB386">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t</w:t>
                  </w:r>
                </w:p>
              </w:tc>
              <w:tc>
                <w:tcPr>
                  <w:tcW w:w="1196" w:type="pct"/>
                  <w:tcBorders>
                    <w:tl2br w:val="nil"/>
                    <w:tr2bl w:val="nil"/>
                  </w:tcBorders>
                  <w:vAlign w:val="center"/>
                </w:tcPr>
                <w:p w14:paraId="5687A0A1">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袋装</w:t>
                  </w:r>
                </w:p>
              </w:tc>
              <w:tc>
                <w:tcPr>
                  <w:tcW w:w="752" w:type="pct"/>
                  <w:tcBorders>
                    <w:tl2br w:val="nil"/>
                    <w:tr2bl w:val="nil"/>
                  </w:tcBorders>
                  <w:vAlign w:val="center"/>
                </w:tcPr>
                <w:p w14:paraId="697842EF">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外购新料</w:t>
                  </w:r>
                </w:p>
              </w:tc>
            </w:tr>
            <w:tr w14:paraId="2CF4E6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00A24A0E">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单甘酯</w:t>
                  </w:r>
                </w:p>
              </w:tc>
              <w:tc>
                <w:tcPr>
                  <w:tcW w:w="459" w:type="pct"/>
                  <w:tcBorders>
                    <w:tl2br w:val="nil"/>
                    <w:tr2bl w:val="nil"/>
                  </w:tcBorders>
                  <w:vAlign w:val="center"/>
                </w:tcPr>
                <w:p w14:paraId="34DCF846">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color w:val="auto"/>
                      <w:sz w:val="21"/>
                    </w:rPr>
                    <w:t>颗粒</w:t>
                  </w:r>
                </w:p>
              </w:tc>
              <w:tc>
                <w:tcPr>
                  <w:tcW w:w="535" w:type="pct"/>
                  <w:tcBorders>
                    <w:tl2br w:val="nil"/>
                    <w:tr2bl w:val="nil"/>
                  </w:tcBorders>
                  <w:vAlign w:val="center"/>
                </w:tcPr>
                <w:p w14:paraId="57829122">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kern w:val="0"/>
                      <w:sz w:val="21"/>
                    </w:rPr>
                    <w:t>9</w:t>
                  </w:r>
                </w:p>
              </w:tc>
              <w:tc>
                <w:tcPr>
                  <w:tcW w:w="593" w:type="pct"/>
                  <w:tcBorders>
                    <w:tl2br w:val="nil"/>
                    <w:tr2bl w:val="nil"/>
                  </w:tcBorders>
                  <w:vAlign w:val="center"/>
                </w:tcPr>
                <w:p w14:paraId="27E2D87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687" w:type="pct"/>
                  <w:tcBorders>
                    <w:tl2br w:val="nil"/>
                    <w:tr2bl w:val="nil"/>
                  </w:tcBorders>
                  <w:vAlign w:val="center"/>
                </w:tcPr>
                <w:p w14:paraId="22020C2B">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t</w:t>
                  </w:r>
                </w:p>
              </w:tc>
              <w:tc>
                <w:tcPr>
                  <w:tcW w:w="1196" w:type="pct"/>
                  <w:tcBorders>
                    <w:tl2br w:val="nil"/>
                    <w:tr2bl w:val="nil"/>
                  </w:tcBorders>
                  <w:vAlign w:val="center"/>
                </w:tcPr>
                <w:p w14:paraId="4A8BF4FF">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袋装</w:t>
                  </w:r>
                </w:p>
              </w:tc>
              <w:tc>
                <w:tcPr>
                  <w:tcW w:w="752" w:type="pct"/>
                  <w:tcBorders>
                    <w:tl2br w:val="nil"/>
                    <w:tr2bl w:val="nil"/>
                  </w:tcBorders>
                  <w:vAlign w:val="center"/>
                </w:tcPr>
                <w:p w14:paraId="7A691C63">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外购</w:t>
                  </w:r>
                </w:p>
              </w:tc>
            </w:tr>
            <w:tr w14:paraId="7D1074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450DADDC">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kern w:val="0"/>
                      <w:sz w:val="21"/>
                      <w:szCs w:val="21"/>
                    </w:rPr>
                    <w:t>色母</w:t>
                  </w:r>
                </w:p>
              </w:tc>
              <w:tc>
                <w:tcPr>
                  <w:tcW w:w="459" w:type="pct"/>
                  <w:tcBorders>
                    <w:tl2br w:val="nil"/>
                    <w:tr2bl w:val="nil"/>
                  </w:tcBorders>
                  <w:vAlign w:val="center"/>
                </w:tcPr>
                <w:p w14:paraId="116D56F1">
                  <w:pPr>
                    <w:pStyle w:val="11"/>
                    <w:spacing w:line="240" w:lineRule="auto"/>
                    <w:ind w:firstLine="0" w:firstLineChars="0"/>
                    <w:jc w:val="center"/>
                    <w:rPr>
                      <w:rFonts w:hint="default" w:ascii="Times New Roman" w:hAnsi="Times New Roman" w:cs="Times New Roman"/>
                      <w:bCs/>
                      <w:color w:val="auto"/>
                      <w:kern w:val="0"/>
                      <w:sz w:val="21"/>
                    </w:rPr>
                  </w:pPr>
                  <w:r>
                    <w:rPr>
                      <w:rFonts w:hint="default" w:ascii="Times New Roman" w:hAnsi="Times New Roman" w:cs="Times New Roman"/>
                      <w:color w:val="auto"/>
                      <w:sz w:val="21"/>
                    </w:rPr>
                    <w:t>颗粒</w:t>
                  </w:r>
                </w:p>
              </w:tc>
              <w:tc>
                <w:tcPr>
                  <w:tcW w:w="535" w:type="pct"/>
                  <w:tcBorders>
                    <w:tl2br w:val="nil"/>
                    <w:tr2bl w:val="nil"/>
                  </w:tcBorders>
                  <w:vAlign w:val="center"/>
                </w:tcPr>
                <w:p w14:paraId="48A3D932">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kern w:val="0"/>
                      <w:sz w:val="21"/>
                    </w:rPr>
                    <w:t>0.5</w:t>
                  </w:r>
                </w:p>
              </w:tc>
              <w:tc>
                <w:tcPr>
                  <w:tcW w:w="593" w:type="pct"/>
                  <w:tcBorders>
                    <w:tl2br w:val="nil"/>
                    <w:tr2bl w:val="nil"/>
                  </w:tcBorders>
                  <w:vAlign w:val="center"/>
                </w:tcPr>
                <w:p w14:paraId="34BEE0B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w:t>
                  </w:r>
                </w:p>
              </w:tc>
              <w:tc>
                <w:tcPr>
                  <w:tcW w:w="687" w:type="pct"/>
                  <w:tcBorders>
                    <w:tl2br w:val="nil"/>
                    <w:tr2bl w:val="nil"/>
                  </w:tcBorders>
                  <w:vAlign w:val="center"/>
                </w:tcPr>
                <w:p w14:paraId="7A8CCCC2">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t</w:t>
                  </w:r>
                </w:p>
              </w:tc>
              <w:tc>
                <w:tcPr>
                  <w:tcW w:w="1196" w:type="pct"/>
                  <w:tcBorders>
                    <w:tl2br w:val="nil"/>
                    <w:tr2bl w:val="nil"/>
                  </w:tcBorders>
                  <w:vAlign w:val="center"/>
                </w:tcPr>
                <w:p w14:paraId="543FB83A">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袋装</w:t>
                  </w:r>
                </w:p>
              </w:tc>
              <w:tc>
                <w:tcPr>
                  <w:tcW w:w="752" w:type="pct"/>
                  <w:tcBorders>
                    <w:tl2br w:val="nil"/>
                    <w:tr2bl w:val="nil"/>
                  </w:tcBorders>
                  <w:vAlign w:val="center"/>
                </w:tcPr>
                <w:p w14:paraId="1B8A318C">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外购</w:t>
                  </w:r>
                </w:p>
              </w:tc>
            </w:tr>
            <w:tr w14:paraId="3F673C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60A5D0CF">
                  <w:pPr>
                    <w:spacing w:line="240" w:lineRule="auto"/>
                    <w:ind w:firstLine="0" w:firstLineChars="0"/>
                    <w:jc w:val="center"/>
                    <w:rPr>
                      <w:rFonts w:hint="default" w:ascii="Times New Roman" w:hAnsi="Times New Roman" w:cs="Times New Roman"/>
                      <w:bCs/>
                      <w:snapToGrid w:val="0"/>
                      <w:color w:val="auto"/>
                      <w:sz w:val="21"/>
                      <w:szCs w:val="21"/>
                    </w:rPr>
                  </w:pPr>
                  <w:r>
                    <w:rPr>
                      <w:rFonts w:hint="default" w:ascii="Times New Roman" w:hAnsi="Times New Roman" w:cs="Times New Roman"/>
                      <w:bCs/>
                      <w:color w:val="auto"/>
                      <w:kern w:val="0"/>
                      <w:sz w:val="21"/>
                      <w:szCs w:val="21"/>
                    </w:rPr>
                    <w:t>热熔胶</w:t>
                  </w:r>
                </w:p>
              </w:tc>
              <w:tc>
                <w:tcPr>
                  <w:tcW w:w="459" w:type="pct"/>
                  <w:tcBorders>
                    <w:tl2br w:val="nil"/>
                    <w:tr2bl w:val="nil"/>
                  </w:tcBorders>
                  <w:vAlign w:val="center"/>
                </w:tcPr>
                <w:p w14:paraId="3C2719AD">
                  <w:pPr>
                    <w:pStyle w:val="11"/>
                    <w:spacing w:line="240" w:lineRule="auto"/>
                    <w:ind w:firstLine="0" w:firstLineChars="0"/>
                    <w:jc w:val="center"/>
                    <w:rPr>
                      <w:rFonts w:hint="default" w:ascii="Times New Roman" w:hAnsi="Times New Roman" w:cs="Times New Roman"/>
                      <w:bCs/>
                      <w:color w:val="auto"/>
                      <w:kern w:val="0"/>
                      <w:sz w:val="21"/>
                    </w:rPr>
                  </w:pPr>
                  <w:r>
                    <w:rPr>
                      <w:rFonts w:hint="default" w:ascii="Times New Roman" w:hAnsi="Times New Roman" w:cs="Times New Roman"/>
                      <w:color w:val="auto"/>
                      <w:sz w:val="21"/>
                    </w:rPr>
                    <w:t>颗粒</w:t>
                  </w:r>
                </w:p>
              </w:tc>
              <w:tc>
                <w:tcPr>
                  <w:tcW w:w="535" w:type="pct"/>
                  <w:tcBorders>
                    <w:tl2br w:val="nil"/>
                    <w:tr2bl w:val="nil"/>
                  </w:tcBorders>
                  <w:vAlign w:val="center"/>
                </w:tcPr>
                <w:p w14:paraId="4497C5C3">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kern w:val="0"/>
                      <w:sz w:val="21"/>
                    </w:rPr>
                    <w:t>7</w:t>
                  </w:r>
                </w:p>
              </w:tc>
              <w:tc>
                <w:tcPr>
                  <w:tcW w:w="593" w:type="pct"/>
                  <w:tcBorders>
                    <w:tl2br w:val="nil"/>
                    <w:tr2bl w:val="nil"/>
                  </w:tcBorders>
                  <w:vAlign w:val="center"/>
                </w:tcPr>
                <w:p w14:paraId="4E7AAA6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687" w:type="pct"/>
                  <w:tcBorders>
                    <w:tl2br w:val="nil"/>
                    <w:tr2bl w:val="nil"/>
                  </w:tcBorders>
                  <w:vAlign w:val="center"/>
                </w:tcPr>
                <w:p w14:paraId="421148DB">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t</w:t>
                  </w:r>
                </w:p>
              </w:tc>
              <w:tc>
                <w:tcPr>
                  <w:tcW w:w="1196" w:type="pct"/>
                  <w:tcBorders>
                    <w:tl2br w:val="nil"/>
                    <w:tr2bl w:val="nil"/>
                  </w:tcBorders>
                  <w:vAlign w:val="center"/>
                </w:tcPr>
                <w:p w14:paraId="1BDB182E">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袋装</w:t>
                  </w:r>
                </w:p>
              </w:tc>
              <w:tc>
                <w:tcPr>
                  <w:tcW w:w="752" w:type="pct"/>
                  <w:tcBorders>
                    <w:tl2br w:val="nil"/>
                    <w:tr2bl w:val="nil"/>
                  </w:tcBorders>
                  <w:vAlign w:val="center"/>
                </w:tcPr>
                <w:p w14:paraId="145DAF99">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外购</w:t>
                  </w:r>
                </w:p>
              </w:tc>
            </w:tr>
            <w:tr w14:paraId="3D30BE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099FAA9D">
                  <w:pPr>
                    <w:spacing w:line="240" w:lineRule="auto"/>
                    <w:ind w:firstLine="0" w:firstLineChars="0"/>
                    <w:jc w:val="center"/>
                    <w:rPr>
                      <w:rFonts w:hint="default" w:ascii="Times New Roman" w:hAnsi="Times New Roman" w:cs="Times New Roman"/>
                      <w:bCs/>
                      <w:snapToGrid w:val="0"/>
                      <w:color w:val="auto"/>
                      <w:sz w:val="21"/>
                      <w:szCs w:val="21"/>
                    </w:rPr>
                  </w:pPr>
                  <w:r>
                    <w:rPr>
                      <w:rFonts w:hint="default" w:ascii="Times New Roman" w:hAnsi="Times New Roman" w:cs="Times New Roman"/>
                      <w:bCs/>
                      <w:color w:val="auto"/>
                      <w:kern w:val="0"/>
                      <w:sz w:val="21"/>
                      <w:szCs w:val="21"/>
                    </w:rPr>
                    <w:t>丁烷</w:t>
                  </w:r>
                </w:p>
              </w:tc>
              <w:tc>
                <w:tcPr>
                  <w:tcW w:w="459" w:type="pct"/>
                  <w:tcBorders>
                    <w:tl2br w:val="nil"/>
                    <w:tr2bl w:val="nil"/>
                  </w:tcBorders>
                  <w:vAlign w:val="center"/>
                </w:tcPr>
                <w:p w14:paraId="638B4467">
                  <w:pPr>
                    <w:pStyle w:val="11"/>
                    <w:spacing w:line="240" w:lineRule="auto"/>
                    <w:ind w:firstLine="0" w:firstLineChars="0"/>
                    <w:jc w:val="center"/>
                    <w:rPr>
                      <w:rFonts w:hint="default" w:ascii="Times New Roman" w:hAnsi="Times New Roman" w:cs="Times New Roman"/>
                      <w:bCs/>
                      <w:color w:val="auto"/>
                      <w:kern w:val="0"/>
                      <w:sz w:val="21"/>
                    </w:rPr>
                  </w:pPr>
                  <w:r>
                    <w:rPr>
                      <w:rFonts w:hint="default" w:ascii="Times New Roman" w:hAnsi="Times New Roman" w:cs="Times New Roman"/>
                      <w:color w:val="auto"/>
                      <w:sz w:val="21"/>
                    </w:rPr>
                    <w:t>气态</w:t>
                  </w:r>
                </w:p>
              </w:tc>
              <w:tc>
                <w:tcPr>
                  <w:tcW w:w="535" w:type="pct"/>
                  <w:tcBorders>
                    <w:tl2br w:val="nil"/>
                    <w:tr2bl w:val="nil"/>
                  </w:tcBorders>
                  <w:vAlign w:val="center"/>
                </w:tcPr>
                <w:p w14:paraId="01EB0ACB">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kern w:val="0"/>
                      <w:sz w:val="21"/>
                    </w:rPr>
                    <w:t>1.2</w:t>
                  </w:r>
                </w:p>
              </w:tc>
              <w:tc>
                <w:tcPr>
                  <w:tcW w:w="593" w:type="pct"/>
                  <w:tcBorders>
                    <w:tl2br w:val="nil"/>
                    <w:tr2bl w:val="nil"/>
                  </w:tcBorders>
                  <w:vAlign w:val="center"/>
                </w:tcPr>
                <w:p w14:paraId="48D60DE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687" w:type="pct"/>
                  <w:tcBorders>
                    <w:tl2br w:val="nil"/>
                    <w:tr2bl w:val="nil"/>
                  </w:tcBorders>
                  <w:vAlign w:val="center"/>
                </w:tcPr>
                <w:p w14:paraId="5CA93461">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t</w:t>
                  </w:r>
                </w:p>
              </w:tc>
              <w:tc>
                <w:tcPr>
                  <w:tcW w:w="1196" w:type="pct"/>
                  <w:tcBorders>
                    <w:tl2br w:val="nil"/>
                    <w:tr2bl w:val="nil"/>
                  </w:tcBorders>
                  <w:vAlign w:val="center"/>
                </w:tcPr>
                <w:p w14:paraId="6BC9CCF2">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瓶装</w:t>
                  </w:r>
                </w:p>
              </w:tc>
              <w:tc>
                <w:tcPr>
                  <w:tcW w:w="752" w:type="pct"/>
                  <w:tcBorders>
                    <w:tl2br w:val="nil"/>
                    <w:tr2bl w:val="nil"/>
                  </w:tcBorders>
                  <w:vAlign w:val="center"/>
                </w:tcPr>
                <w:p w14:paraId="2F85D986">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外购</w:t>
                  </w:r>
                </w:p>
              </w:tc>
            </w:tr>
            <w:tr w14:paraId="62E09E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14741D7E">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发泡母粒</w:t>
                  </w:r>
                </w:p>
              </w:tc>
              <w:tc>
                <w:tcPr>
                  <w:tcW w:w="459" w:type="pct"/>
                  <w:tcBorders>
                    <w:tl2br w:val="nil"/>
                    <w:tr2bl w:val="nil"/>
                  </w:tcBorders>
                  <w:vAlign w:val="center"/>
                </w:tcPr>
                <w:p w14:paraId="11F49F93">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颗粒</w:t>
                  </w:r>
                </w:p>
              </w:tc>
              <w:tc>
                <w:tcPr>
                  <w:tcW w:w="535" w:type="pct"/>
                  <w:tcBorders>
                    <w:tl2br w:val="nil"/>
                    <w:tr2bl w:val="nil"/>
                  </w:tcBorders>
                  <w:vAlign w:val="center"/>
                </w:tcPr>
                <w:p w14:paraId="713182FF">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2.86</w:t>
                  </w:r>
                </w:p>
              </w:tc>
              <w:tc>
                <w:tcPr>
                  <w:tcW w:w="593" w:type="pct"/>
                  <w:tcBorders>
                    <w:tl2br w:val="nil"/>
                    <w:tr2bl w:val="nil"/>
                  </w:tcBorders>
                  <w:vAlign w:val="center"/>
                </w:tcPr>
                <w:p w14:paraId="130FE0E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687" w:type="pct"/>
                  <w:tcBorders>
                    <w:tl2br w:val="nil"/>
                    <w:tr2bl w:val="nil"/>
                  </w:tcBorders>
                  <w:vAlign w:val="center"/>
                </w:tcPr>
                <w:p w14:paraId="337BB836">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t</w:t>
                  </w:r>
                </w:p>
              </w:tc>
              <w:tc>
                <w:tcPr>
                  <w:tcW w:w="1196" w:type="pct"/>
                  <w:tcBorders>
                    <w:tl2br w:val="nil"/>
                    <w:tr2bl w:val="nil"/>
                  </w:tcBorders>
                  <w:vAlign w:val="center"/>
                </w:tcPr>
                <w:p w14:paraId="5738E6A5">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袋装</w:t>
                  </w:r>
                </w:p>
              </w:tc>
              <w:tc>
                <w:tcPr>
                  <w:tcW w:w="752" w:type="pct"/>
                  <w:tcBorders>
                    <w:tl2br w:val="nil"/>
                    <w:tr2bl w:val="nil"/>
                  </w:tcBorders>
                  <w:vAlign w:val="center"/>
                </w:tcPr>
                <w:p w14:paraId="46D49D68">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外购</w:t>
                  </w:r>
                </w:p>
              </w:tc>
            </w:tr>
            <w:tr w14:paraId="60AC1D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040381FF">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卷材珍珠棉</w:t>
                  </w:r>
                </w:p>
              </w:tc>
              <w:tc>
                <w:tcPr>
                  <w:tcW w:w="459" w:type="pct"/>
                  <w:tcBorders>
                    <w:tl2br w:val="nil"/>
                    <w:tr2bl w:val="nil"/>
                  </w:tcBorders>
                  <w:vAlign w:val="center"/>
                </w:tcPr>
                <w:p w14:paraId="6CCD4639">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固态</w:t>
                  </w:r>
                </w:p>
              </w:tc>
              <w:tc>
                <w:tcPr>
                  <w:tcW w:w="535" w:type="pct"/>
                  <w:tcBorders>
                    <w:tl2br w:val="nil"/>
                    <w:tr2bl w:val="nil"/>
                  </w:tcBorders>
                  <w:vAlign w:val="center"/>
                </w:tcPr>
                <w:p w14:paraId="5225082E">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500</w:t>
                  </w:r>
                </w:p>
              </w:tc>
              <w:tc>
                <w:tcPr>
                  <w:tcW w:w="593" w:type="pct"/>
                  <w:tcBorders>
                    <w:tl2br w:val="nil"/>
                    <w:tr2bl w:val="nil"/>
                  </w:tcBorders>
                  <w:vAlign w:val="center"/>
                </w:tcPr>
                <w:p w14:paraId="4A1FCAA3">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40</w:t>
                  </w:r>
                </w:p>
              </w:tc>
              <w:tc>
                <w:tcPr>
                  <w:tcW w:w="687" w:type="pct"/>
                  <w:tcBorders>
                    <w:tl2br w:val="nil"/>
                    <w:tr2bl w:val="nil"/>
                  </w:tcBorders>
                  <w:vAlign w:val="center"/>
                </w:tcPr>
                <w:p w14:paraId="2C938703">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t</w:t>
                  </w:r>
                </w:p>
              </w:tc>
              <w:tc>
                <w:tcPr>
                  <w:tcW w:w="1196" w:type="pct"/>
                  <w:tcBorders>
                    <w:tl2br w:val="nil"/>
                    <w:tr2bl w:val="nil"/>
                  </w:tcBorders>
                  <w:vAlign w:val="center"/>
                </w:tcPr>
                <w:p w14:paraId="4F6DA241">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color w:val="auto"/>
                      <w:sz w:val="21"/>
                    </w:rPr>
                    <w:t>外购捆装，主要冬季使用</w:t>
                  </w:r>
                </w:p>
              </w:tc>
              <w:tc>
                <w:tcPr>
                  <w:tcW w:w="752" w:type="pct"/>
                  <w:tcBorders>
                    <w:tl2br w:val="nil"/>
                    <w:tr2bl w:val="nil"/>
                  </w:tcBorders>
                  <w:vAlign w:val="center"/>
                </w:tcPr>
                <w:p w14:paraId="6D92D05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外购</w:t>
                  </w:r>
                </w:p>
              </w:tc>
            </w:tr>
            <w:tr w14:paraId="6AC330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shd w:val="clear" w:color="auto" w:fill="auto"/>
                  <w:vAlign w:val="center"/>
                </w:tcPr>
                <w:p w14:paraId="36CBDE45">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PE膜</w:t>
                  </w:r>
                </w:p>
              </w:tc>
              <w:tc>
                <w:tcPr>
                  <w:tcW w:w="459" w:type="pct"/>
                  <w:tcBorders>
                    <w:tl2br w:val="nil"/>
                    <w:tr2bl w:val="nil"/>
                  </w:tcBorders>
                  <w:shd w:val="clear" w:color="auto" w:fill="auto"/>
                  <w:vAlign w:val="center"/>
                </w:tcPr>
                <w:p w14:paraId="3FB198BD">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固态</w:t>
                  </w:r>
                </w:p>
              </w:tc>
              <w:tc>
                <w:tcPr>
                  <w:tcW w:w="535" w:type="pct"/>
                  <w:tcBorders>
                    <w:tl2br w:val="nil"/>
                    <w:tr2bl w:val="nil"/>
                  </w:tcBorders>
                  <w:vAlign w:val="center"/>
                </w:tcPr>
                <w:p w14:paraId="28CEE86D">
                  <w:pPr>
                    <w:pStyle w:val="11"/>
                    <w:spacing w:line="240" w:lineRule="auto"/>
                    <w:ind w:firstLine="0" w:firstLineChars="0"/>
                    <w:jc w:val="center"/>
                    <w:rPr>
                      <w:rFonts w:hint="default" w:ascii="Times New Roman" w:hAnsi="Times New Roman" w:eastAsia="宋体" w:cs="Times New Roman"/>
                      <w:color w:val="auto"/>
                      <w:sz w:val="21"/>
                      <w:lang w:val="en-US" w:eastAsia="zh-CN"/>
                    </w:rPr>
                  </w:pPr>
                  <w:r>
                    <w:rPr>
                      <w:rFonts w:hint="default" w:ascii="Times New Roman" w:hAnsi="Times New Roman" w:cs="Times New Roman"/>
                      <w:color w:val="auto"/>
                      <w:sz w:val="21"/>
                    </w:rPr>
                    <w:t>2.85</w:t>
                  </w:r>
                  <w:r>
                    <w:rPr>
                      <w:rFonts w:hint="default" w:ascii="Times New Roman" w:hAnsi="Times New Roman" w:cs="Times New Roman"/>
                      <w:color w:val="auto"/>
                      <w:sz w:val="21"/>
                      <w:lang w:val="en-US" w:eastAsia="zh-CN"/>
                    </w:rPr>
                    <w:t>6</w:t>
                  </w:r>
                </w:p>
              </w:tc>
              <w:tc>
                <w:tcPr>
                  <w:tcW w:w="593" w:type="pct"/>
                  <w:tcBorders>
                    <w:tl2br w:val="nil"/>
                    <w:tr2bl w:val="nil"/>
                  </w:tcBorders>
                  <w:vAlign w:val="center"/>
                </w:tcPr>
                <w:p w14:paraId="0688D80B">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1.0</w:t>
                  </w:r>
                </w:p>
              </w:tc>
              <w:tc>
                <w:tcPr>
                  <w:tcW w:w="687" w:type="pct"/>
                  <w:tcBorders>
                    <w:tl2br w:val="nil"/>
                    <w:tr2bl w:val="nil"/>
                  </w:tcBorders>
                  <w:vAlign w:val="center"/>
                </w:tcPr>
                <w:p w14:paraId="6713AC39">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t</w:t>
                  </w:r>
                </w:p>
              </w:tc>
              <w:tc>
                <w:tcPr>
                  <w:tcW w:w="1196" w:type="pct"/>
                  <w:tcBorders>
                    <w:tl2br w:val="nil"/>
                    <w:tr2bl w:val="nil"/>
                  </w:tcBorders>
                  <w:vAlign w:val="center"/>
                </w:tcPr>
                <w:p w14:paraId="79B2E539">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袋装</w:t>
                  </w:r>
                </w:p>
              </w:tc>
              <w:tc>
                <w:tcPr>
                  <w:tcW w:w="752" w:type="pct"/>
                  <w:tcBorders>
                    <w:tl2br w:val="nil"/>
                    <w:tr2bl w:val="nil"/>
                  </w:tcBorders>
                  <w:vAlign w:val="center"/>
                </w:tcPr>
                <w:p w14:paraId="1FBE71EE">
                  <w:pPr>
                    <w:spacing w:line="240" w:lineRule="auto"/>
                    <w:ind w:firstLine="0" w:firstLineChars="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外购</w:t>
                  </w:r>
                </w:p>
              </w:tc>
            </w:tr>
            <w:tr w14:paraId="05A935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33138D80">
                  <w:pPr>
                    <w:spacing w:line="240" w:lineRule="auto"/>
                    <w:ind w:firstLine="0" w:firstLineChars="0"/>
                    <w:jc w:val="center"/>
                    <w:rPr>
                      <w:rFonts w:hint="default" w:ascii="Times New Roman" w:hAnsi="Times New Roman" w:cs="Times New Roman"/>
                      <w:bCs/>
                      <w:snapToGrid w:val="0"/>
                      <w:color w:val="auto"/>
                      <w:sz w:val="21"/>
                      <w:szCs w:val="21"/>
                    </w:rPr>
                  </w:pPr>
                  <w:r>
                    <w:rPr>
                      <w:rFonts w:hint="default" w:ascii="Times New Roman" w:hAnsi="Times New Roman" w:cs="Times New Roman"/>
                      <w:bCs/>
                      <w:color w:val="auto"/>
                      <w:kern w:val="0"/>
                      <w:sz w:val="21"/>
                      <w:szCs w:val="21"/>
                    </w:rPr>
                    <w:t>甲醇</w:t>
                  </w:r>
                </w:p>
              </w:tc>
              <w:tc>
                <w:tcPr>
                  <w:tcW w:w="459" w:type="pct"/>
                  <w:tcBorders>
                    <w:tl2br w:val="nil"/>
                    <w:tr2bl w:val="nil"/>
                  </w:tcBorders>
                  <w:vAlign w:val="center"/>
                </w:tcPr>
                <w:p w14:paraId="2D566F25">
                  <w:pPr>
                    <w:pStyle w:val="11"/>
                    <w:spacing w:line="240" w:lineRule="auto"/>
                    <w:ind w:firstLine="0" w:firstLineChars="0"/>
                    <w:jc w:val="center"/>
                    <w:rPr>
                      <w:rFonts w:hint="default" w:ascii="Times New Roman" w:hAnsi="Times New Roman" w:cs="Times New Roman"/>
                      <w:bCs/>
                      <w:color w:val="auto"/>
                      <w:kern w:val="0"/>
                      <w:sz w:val="21"/>
                    </w:rPr>
                  </w:pPr>
                  <w:r>
                    <w:rPr>
                      <w:rFonts w:hint="default" w:ascii="Times New Roman" w:hAnsi="Times New Roman" w:cs="Times New Roman"/>
                      <w:color w:val="auto"/>
                      <w:kern w:val="0"/>
                      <w:sz w:val="21"/>
                    </w:rPr>
                    <w:t>/</w:t>
                  </w:r>
                </w:p>
              </w:tc>
              <w:tc>
                <w:tcPr>
                  <w:tcW w:w="535" w:type="pct"/>
                  <w:tcBorders>
                    <w:tl2br w:val="nil"/>
                    <w:tr2bl w:val="nil"/>
                  </w:tcBorders>
                  <w:vAlign w:val="center"/>
                </w:tcPr>
                <w:p w14:paraId="79451528">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kern w:val="0"/>
                      <w:sz w:val="21"/>
                    </w:rPr>
                    <w:t>4800</w:t>
                  </w:r>
                </w:p>
              </w:tc>
              <w:tc>
                <w:tcPr>
                  <w:tcW w:w="593" w:type="pct"/>
                  <w:tcBorders>
                    <w:tl2br w:val="nil"/>
                    <w:tr2bl w:val="nil"/>
                  </w:tcBorders>
                  <w:vAlign w:val="center"/>
                </w:tcPr>
                <w:p w14:paraId="6A5E21BD">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400</w:t>
                  </w:r>
                </w:p>
              </w:tc>
              <w:tc>
                <w:tcPr>
                  <w:tcW w:w="687" w:type="pct"/>
                  <w:tcBorders>
                    <w:tl2br w:val="nil"/>
                    <w:tr2bl w:val="nil"/>
                  </w:tcBorders>
                  <w:vAlign w:val="center"/>
                </w:tcPr>
                <w:p w14:paraId="3D7A7535">
                  <w:pPr>
                    <w:pStyle w:val="11"/>
                    <w:spacing w:line="240" w:lineRule="auto"/>
                    <w:ind w:firstLine="0" w:firstLineChars="0"/>
                    <w:jc w:val="center"/>
                    <w:rPr>
                      <w:rFonts w:hint="default" w:ascii="Times New Roman" w:hAnsi="Times New Roman" w:eastAsia="宋体" w:cs="Times New Roman"/>
                      <w:bCs/>
                      <w:color w:val="auto"/>
                      <w:sz w:val="21"/>
                    </w:rPr>
                  </w:pPr>
                  <w:r>
                    <w:rPr>
                      <w:rFonts w:hint="default" w:ascii="Times New Roman" w:hAnsi="Times New Roman" w:eastAsia="宋体" w:cs="Times New Roman"/>
                      <w:bCs/>
                      <w:color w:val="auto"/>
                      <w:sz w:val="21"/>
                    </w:rPr>
                    <w:t>L</w:t>
                  </w:r>
                </w:p>
              </w:tc>
              <w:tc>
                <w:tcPr>
                  <w:tcW w:w="1196" w:type="pct"/>
                  <w:tcBorders>
                    <w:tl2br w:val="nil"/>
                    <w:tr2bl w:val="nil"/>
                  </w:tcBorders>
                  <w:vAlign w:val="center"/>
                </w:tcPr>
                <w:p w14:paraId="3F7767E9">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罐装，用于食堂燃料</w:t>
                  </w:r>
                </w:p>
              </w:tc>
              <w:tc>
                <w:tcPr>
                  <w:tcW w:w="752" w:type="pct"/>
                  <w:tcBorders>
                    <w:tl2br w:val="nil"/>
                    <w:tr2bl w:val="nil"/>
                  </w:tcBorders>
                  <w:vAlign w:val="center"/>
                </w:tcPr>
                <w:p w14:paraId="4FEE4F4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外购</w:t>
                  </w:r>
                </w:p>
              </w:tc>
            </w:tr>
            <w:tr w14:paraId="3EA7C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133A82B3">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水</w:t>
                  </w:r>
                </w:p>
              </w:tc>
              <w:tc>
                <w:tcPr>
                  <w:tcW w:w="459" w:type="pct"/>
                  <w:tcBorders>
                    <w:tl2br w:val="nil"/>
                    <w:tr2bl w:val="nil"/>
                  </w:tcBorders>
                  <w:vAlign w:val="center"/>
                </w:tcPr>
                <w:p w14:paraId="308BD050">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w:t>
                  </w:r>
                </w:p>
              </w:tc>
              <w:tc>
                <w:tcPr>
                  <w:tcW w:w="535" w:type="pct"/>
                  <w:tcBorders>
                    <w:tl2br w:val="nil"/>
                    <w:tr2bl w:val="nil"/>
                  </w:tcBorders>
                  <w:vAlign w:val="center"/>
                </w:tcPr>
                <w:p w14:paraId="5E881FDA">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1501.84</w:t>
                  </w:r>
                </w:p>
              </w:tc>
              <w:tc>
                <w:tcPr>
                  <w:tcW w:w="593" w:type="pct"/>
                  <w:tcBorders>
                    <w:tl2br w:val="nil"/>
                    <w:tr2bl w:val="nil"/>
                  </w:tcBorders>
                  <w:vAlign w:val="center"/>
                </w:tcPr>
                <w:p w14:paraId="61F28A4B">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w:t>
                  </w:r>
                </w:p>
              </w:tc>
              <w:tc>
                <w:tcPr>
                  <w:tcW w:w="687" w:type="pct"/>
                  <w:tcBorders>
                    <w:tl2br w:val="nil"/>
                    <w:tr2bl w:val="nil"/>
                  </w:tcBorders>
                  <w:vAlign w:val="center"/>
                </w:tcPr>
                <w:p w14:paraId="13164C7F">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m</w:t>
                  </w:r>
                  <w:r>
                    <w:rPr>
                      <w:rFonts w:hint="default" w:ascii="Times New Roman" w:hAnsi="Times New Roman" w:cs="Times New Roman"/>
                      <w:bCs/>
                      <w:color w:val="auto"/>
                      <w:sz w:val="21"/>
                      <w:vertAlign w:val="superscript"/>
                    </w:rPr>
                    <w:t>3</w:t>
                  </w:r>
                </w:p>
              </w:tc>
              <w:tc>
                <w:tcPr>
                  <w:tcW w:w="1196" w:type="pct"/>
                  <w:tcBorders>
                    <w:tl2br w:val="nil"/>
                    <w:tr2bl w:val="nil"/>
                  </w:tcBorders>
                  <w:vAlign w:val="center"/>
                </w:tcPr>
                <w:p w14:paraId="572DC415">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厂区井水、饮用水</w:t>
                  </w:r>
                </w:p>
              </w:tc>
              <w:tc>
                <w:tcPr>
                  <w:tcW w:w="752" w:type="pct"/>
                  <w:tcBorders>
                    <w:tl2br w:val="nil"/>
                    <w:tr2bl w:val="nil"/>
                  </w:tcBorders>
                  <w:vAlign w:val="center"/>
                </w:tcPr>
                <w:p w14:paraId="4A4E36FF">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井水、外购</w:t>
                  </w:r>
                </w:p>
              </w:tc>
            </w:tr>
            <w:tr w14:paraId="39DE53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74" w:type="pct"/>
                  <w:tcBorders>
                    <w:tl2br w:val="nil"/>
                    <w:tr2bl w:val="nil"/>
                  </w:tcBorders>
                  <w:vAlign w:val="center"/>
                </w:tcPr>
                <w:p w14:paraId="00E936C0">
                  <w:pPr>
                    <w:spacing w:line="240" w:lineRule="auto"/>
                    <w:ind w:firstLine="0" w:firstLineChars="0"/>
                    <w:jc w:val="center"/>
                    <w:rPr>
                      <w:rFonts w:hint="default" w:ascii="Times New Roman" w:hAnsi="Times New Roman" w:cs="Times New Roman"/>
                      <w:bCs/>
                      <w:snapToGrid w:val="0"/>
                      <w:color w:val="auto"/>
                      <w:sz w:val="21"/>
                      <w:szCs w:val="21"/>
                    </w:rPr>
                  </w:pPr>
                  <w:r>
                    <w:rPr>
                      <w:rFonts w:hint="default" w:ascii="Times New Roman" w:hAnsi="Times New Roman" w:cs="Times New Roman"/>
                      <w:bCs/>
                      <w:color w:val="auto"/>
                      <w:kern w:val="0"/>
                      <w:sz w:val="21"/>
                      <w:szCs w:val="21"/>
                    </w:rPr>
                    <w:t>电</w:t>
                  </w:r>
                </w:p>
              </w:tc>
              <w:tc>
                <w:tcPr>
                  <w:tcW w:w="459" w:type="pct"/>
                  <w:tcBorders>
                    <w:tl2br w:val="nil"/>
                    <w:tr2bl w:val="nil"/>
                  </w:tcBorders>
                  <w:vAlign w:val="center"/>
                </w:tcPr>
                <w:p w14:paraId="61957940">
                  <w:pPr>
                    <w:pStyle w:val="11"/>
                    <w:spacing w:line="240" w:lineRule="auto"/>
                    <w:ind w:firstLine="0" w:firstLineChars="0"/>
                    <w:jc w:val="center"/>
                    <w:rPr>
                      <w:rFonts w:hint="default" w:ascii="Times New Roman" w:hAnsi="Times New Roman" w:cs="Times New Roman"/>
                      <w:bCs/>
                      <w:color w:val="auto"/>
                      <w:kern w:val="0"/>
                      <w:sz w:val="21"/>
                    </w:rPr>
                  </w:pPr>
                  <w:r>
                    <w:rPr>
                      <w:rFonts w:hint="default" w:ascii="Times New Roman" w:hAnsi="Times New Roman" w:cs="Times New Roman"/>
                      <w:bCs/>
                      <w:color w:val="auto"/>
                      <w:kern w:val="0"/>
                      <w:sz w:val="21"/>
                    </w:rPr>
                    <w:t>/</w:t>
                  </w:r>
                </w:p>
              </w:tc>
              <w:tc>
                <w:tcPr>
                  <w:tcW w:w="535" w:type="pct"/>
                  <w:tcBorders>
                    <w:tl2br w:val="nil"/>
                    <w:tr2bl w:val="nil"/>
                  </w:tcBorders>
                  <w:vAlign w:val="center"/>
                </w:tcPr>
                <w:p w14:paraId="7685B21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Cs/>
                      <w:color w:val="auto"/>
                      <w:kern w:val="0"/>
                      <w:sz w:val="21"/>
                      <w:szCs w:val="21"/>
                    </w:rPr>
                    <w:t>58</w:t>
                  </w:r>
                </w:p>
              </w:tc>
              <w:tc>
                <w:tcPr>
                  <w:tcW w:w="593" w:type="pct"/>
                  <w:tcBorders>
                    <w:tl2br w:val="nil"/>
                    <w:tr2bl w:val="nil"/>
                  </w:tcBorders>
                  <w:vAlign w:val="center"/>
                </w:tcPr>
                <w:p w14:paraId="7DFB90D4">
                  <w:pPr>
                    <w:pStyle w:val="11"/>
                    <w:spacing w:line="240" w:lineRule="auto"/>
                    <w:ind w:firstLine="0" w:firstLineChars="0"/>
                    <w:jc w:val="center"/>
                    <w:rPr>
                      <w:rFonts w:hint="default" w:ascii="Times New Roman" w:hAnsi="Times New Roman" w:cs="Times New Roman"/>
                      <w:bCs/>
                      <w:color w:val="auto"/>
                      <w:kern w:val="0"/>
                      <w:sz w:val="21"/>
                    </w:rPr>
                  </w:pPr>
                  <w:r>
                    <w:rPr>
                      <w:rFonts w:hint="default" w:ascii="Times New Roman" w:hAnsi="Times New Roman" w:cs="Times New Roman"/>
                      <w:bCs/>
                      <w:color w:val="auto"/>
                      <w:kern w:val="0"/>
                      <w:sz w:val="21"/>
                    </w:rPr>
                    <w:t>/</w:t>
                  </w:r>
                </w:p>
              </w:tc>
              <w:tc>
                <w:tcPr>
                  <w:tcW w:w="687" w:type="pct"/>
                  <w:tcBorders>
                    <w:tl2br w:val="nil"/>
                    <w:tr2bl w:val="nil"/>
                  </w:tcBorders>
                  <w:vAlign w:val="center"/>
                </w:tcPr>
                <w:p w14:paraId="1FDACA12">
                  <w:pPr>
                    <w:spacing w:line="240" w:lineRule="auto"/>
                    <w:ind w:firstLine="0" w:firstLineChars="0"/>
                    <w:jc w:val="center"/>
                    <w:rPr>
                      <w:rFonts w:hint="default" w:ascii="Times New Roman" w:hAnsi="Times New Roman" w:cs="Times New Roman"/>
                      <w:b/>
                      <w:color w:val="auto"/>
                      <w:kern w:val="0"/>
                      <w:sz w:val="21"/>
                      <w:szCs w:val="21"/>
                    </w:rPr>
                  </w:pPr>
                  <w:r>
                    <w:rPr>
                      <w:rFonts w:hint="default" w:ascii="Times New Roman" w:hAnsi="Times New Roman" w:cs="Times New Roman"/>
                      <w:bCs/>
                      <w:color w:val="auto"/>
                      <w:kern w:val="0"/>
                      <w:sz w:val="21"/>
                      <w:szCs w:val="21"/>
                    </w:rPr>
                    <w:t>万kWh</w:t>
                  </w:r>
                </w:p>
              </w:tc>
              <w:tc>
                <w:tcPr>
                  <w:tcW w:w="1196" w:type="pct"/>
                  <w:tcBorders>
                    <w:tl2br w:val="nil"/>
                    <w:tr2bl w:val="nil"/>
                  </w:tcBorders>
                  <w:vAlign w:val="center"/>
                </w:tcPr>
                <w:p w14:paraId="3CBF7868">
                  <w:pPr>
                    <w:pStyle w:val="11"/>
                    <w:spacing w:line="240" w:lineRule="auto"/>
                    <w:ind w:firstLine="0" w:firstLineChars="0"/>
                    <w:jc w:val="center"/>
                    <w:rPr>
                      <w:rFonts w:hint="default" w:ascii="Times New Roman" w:hAnsi="Times New Roman" w:cs="Times New Roman"/>
                      <w:bCs/>
                      <w:color w:val="auto"/>
                      <w:sz w:val="21"/>
                    </w:rPr>
                  </w:pPr>
                  <w:r>
                    <w:rPr>
                      <w:rFonts w:hint="default" w:ascii="Times New Roman" w:hAnsi="Times New Roman" w:cs="Times New Roman"/>
                      <w:bCs/>
                      <w:color w:val="auto"/>
                      <w:sz w:val="21"/>
                    </w:rPr>
                    <w:t>乡镇电网</w:t>
                  </w:r>
                </w:p>
              </w:tc>
              <w:tc>
                <w:tcPr>
                  <w:tcW w:w="752" w:type="pct"/>
                  <w:tcBorders>
                    <w:tl2br w:val="nil"/>
                    <w:tr2bl w:val="nil"/>
                  </w:tcBorders>
                  <w:vAlign w:val="center"/>
                </w:tcPr>
                <w:p w14:paraId="18A11042">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乡镇电网</w:t>
                  </w:r>
                </w:p>
              </w:tc>
            </w:tr>
          </w:tbl>
          <w:p w14:paraId="0B8B4ECF">
            <w:pPr>
              <w:ind w:firstLine="482"/>
              <w:rPr>
                <w:rFonts w:hint="default" w:ascii="Times New Roman" w:hAnsi="Times New Roman" w:cs="Times New Roman"/>
                <w:b/>
                <w:bCs/>
                <w:color w:val="auto"/>
              </w:rPr>
            </w:pPr>
            <w:r>
              <w:rPr>
                <w:rFonts w:hint="default" w:ascii="Times New Roman" w:hAnsi="Times New Roman" w:cs="Times New Roman"/>
                <w:b/>
                <w:bCs/>
                <w:color w:val="auto"/>
              </w:rPr>
              <w:t>原辅材料理化性质：</w:t>
            </w:r>
          </w:p>
          <w:p w14:paraId="7524AEE3">
            <w:pPr>
              <w:ind w:firstLine="480"/>
              <w:rPr>
                <w:rFonts w:hint="default" w:ascii="Times New Roman" w:hAnsi="Times New Roman" w:cs="Times New Roman"/>
                <w:color w:val="auto"/>
              </w:rPr>
            </w:pPr>
            <w:r>
              <w:rPr>
                <w:rFonts w:hint="default" w:ascii="Times New Roman" w:hAnsi="Times New Roman" w:cs="Times New Roman"/>
                <w:color w:val="auto"/>
              </w:rPr>
              <w:t>（1）聚乙烯颗粒（LDPE）：低密度聚乙烯，又称</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"https://baike.so.com/doc/6180313-6393559.html"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高压聚乙烯</w:t>
            </w:r>
            <w:r>
              <w:rPr>
                <w:rFonts w:hint="default" w:ascii="Times New Roman" w:hAnsi="Times New Roman" w:cs="Times New Roman"/>
                <w:color w:val="auto"/>
              </w:rPr>
              <w:fldChar w:fldCharType="end"/>
            </w:r>
            <w:r>
              <w:rPr>
                <w:rFonts w:hint="default" w:ascii="Times New Roman" w:hAnsi="Times New Roman" w:cs="Times New Roman"/>
                <w:color w:val="auto"/>
              </w:rPr>
              <w:t>，是一种塑料材料，它适合热塑性成型加工的各种成型工艺，</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"https://baike.so.com/doc/6918547-7140491.html"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成型</w:t>
            </w:r>
            <w:r>
              <w:rPr>
                <w:rFonts w:hint="default" w:ascii="Times New Roman" w:hAnsi="Times New Roman" w:cs="Times New Roman"/>
                <w:color w:val="auto"/>
              </w:rPr>
              <w:fldChar w:fldCharType="end"/>
            </w:r>
            <w:r>
              <w:rPr>
                <w:rFonts w:hint="default" w:ascii="Times New Roman" w:hAnsi="Times New Roman" w:cs="Times New Roman"/>
                <w:color w:val="auto"/>
              </w:rPr>
              <w:t>加工性好。低分子量的一般是无色、无臭、无味、无毒的液体。高分子量的纯品是乳白色蜡状固体粉末。密度约0.837g/cm</w:t>
            </w:r>
            <w:r>
              <w:rPr>
                <w:rFonts w:hint="default" w:ascii="Times New Roman" w:hAnsi="Times New Roman" w:cs="Times New Roman"/>
                <w:color w:val="auto"/>
                <w:vertAlign w:val="superscript"/>
              </w:rPr>
              <w:t>3</w:t>
            </w:r>
            <w:r>
              <w:rPr>
                <w:rFonts w:hint="default" w:ascii="Times New Roman" w:hAnsi="Times New Roman" w:cs="Times New Roman"/>
                <w:color w:val="auto"/>
              </w:rPr>
              <w:t>，熔点130℃～145℃。不溶于水，微溶于</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"https://baike.so.com/doc/5757356-5970118.html"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烃类</w:t>
            </w:r>
            <w:r>
              <w:rPr>
                <w:rFonts w:hint="default" w:ascii="Times New Roman" w:hAnsi="Times New Roman" w:cs="Times New Roman"/>
                <w:color w:val="auto"/>
              </w:rPr>
              <w:fldChar w:fldCharType="end"/>
            </w:r>
            <w:r>
              <w:rPr>
                <w:rFonts w:hint="default" w:ascii="Times New Roman" w:hAnsi="Times New Roman" w:cs="Times New Roman"/>
                <w:color w:val="auto"/>
              </w:rPr>
              <w:t>、</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"https://baike.so.com/doc/140879-148896.html"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甲苯</w:t>
            </w:r>
            <w:r>
              <w:rPr>
                <w:rFonts w:hint="default" w:ascii="Times New Roman" w:hAnsi="Times New Roman" w:cs="Times New Roman"/>
                <w:color w:val="auto"/>
              </w:rPr>
              <w:fldChar w:fldCharType="end"/>
            </w:r>
            <w:r>
              <w:rPr>
                <w:rFonts w:hint="default" w:ascii="Times New Roman" w:hAnsi="Times New Roman" w:cs="Times New Roman"/>
                <w:color w:val="auto"/>
              </w:rPr>
              <w:t>等。能耐大多数酸碱的侵蚀，吸水性小，在低温时仍能保持柔软性，电绝缘性高。成型温度为180℃左右，有良好的热稳定性，分解温度为300℃。</w:t>
            </w:r>
          </w:p>
          <w:p w14:paraId="30014E9A">
            <w:pPr>
              <w:ind w:firstLine="480"/>
              <w:rPr>
                <w:rFonts w:hint="default" w:ascii="Times New Roman" w:hAnsi="Times New Roman" w:cs="Times New Roman"/>
                <w:color w:val="auto"/>
              </w:rPr>
            </w:pPr>
            <w:r>
              <w:rPr>
                <w:rFonts w:hint="default" w:ascii="Times New Roman" w:hAnsi="Times New Roman" w:cs="Times New Roman"/>
                <w:color w:val="auto"/>
              </w:rPr>
              <w:t>（2）单甘酯（GMS）：单甘酯化学名为单十八（烷）酸丙三醇酯，分子式为C</w:t>
            </w:r>
            <w:r>
              <w:rPr>
                <w:rFonts w:hint="default" w:ascii="Times New Roman" w:hAnsi="Times New Roman" w:cs="Times New Roman"/>
                <w:color w:val="auto"/>
                <w:vertAlign w:val="subscript"/>
              </w:rPr>
              <w:t>21</w:t>
            </w:r>
            <w:r>
              <w:rPr>
                <w:rFonts w:hint="default" w:ascii="Times New Roman" w:hAnsi="Times New Roman" w:cs="Times New Roman"/>
                <w:color w:val="auto"/>
              </w:rPr>
              <w:t>H</w:t>
            </w:r>
            <w:r>
              <w:rPr>
                <w:rFonts w:hint="default" w:ascii="Times New Roman" w:hAnsi="Times New Roman" w:cs="Times New Roman"/>
                <w:color w:val="auto"/>
                <w:vertAlign w:val="subscript"/>
              </w:rPr>
              <w:t>42</w:t>
            </w:r>
            <w:r>
              <w:rPr>
                <w:rFonts w:hint="default" w:ascii="Times New Roman" w:hAnsi="Times New Roman" w:cs="Times New Roman"/>
                <w:color w:val="auto"/>
              </w:rPr>
              <w:t>O</w:t>
            </w:r>
            <w:r>
              <w:rPr>
                <w:rFonts w:hint="default" w:ascii="Times New Roman" w:hAnsi="Times New Roman" w:cs="Times New Roman"/>
                <w:color w:val="auto"/>
                <w:vertAlign w:val="subscript"/>
              </w:rPr>
              <w:t>4</w:t>
            </w:r>
            <w:r>
              <w:rPr>
                <w:rFonts w:hint="default" w:ascii="Times New Roman" w:hAnsi="Times New Roman" w:cs="Times New Roman"/>
                <w:color w:val="auto"/>
              </w:rPr>
              <w:t>；沸点为476.9℃，熔点56-58℃，白色或淡黄色蜡状固体，无臭，无味；溶于乙醇、苯、丙酮、矿物油、脂肪油等热的有机溶剂，不溶于水，但在强烈搅拌下可分散于热水中呈乳浊液。由于单甘酯含有亲水基团-OH基、亲油基团-COOR基，因而它既是一种良好的表面活性剂，又是LDPE润滑剂，在塑料工业中主要用作脱模剂、增塑剂和抗静电剂，特别是用于塑料发泡制品中的抗缩剂。在珍珠棉发泡过程中，单甘酯的存在使发泡剂易于均有分布在聚合物熔体中，从而起到匀泡和稳泡的作用，同时又起到抗缩的作用。</w:t>
            </w:r>
          </w:p>
          <w:p w14:paraId="5039F2D9">
            <w:pPr>
              <w:ind w:firstLine="480"/>
              <w:rPr>
                <w:rFonts w:hint="default" w:ascii="Times New Roman" w:hAnsi="Times New Roman" w:cs="Times New Roman"/>
                <w:color w:val="auto"/>
              </w:rPr>
            </w:pPr>
            <w:r>
              <w:rPr>
                <w:rFonts w:hint="default" w:ascii="Times New Roman" w:hAnsi="Times New Roman" w:cs="Times New Roman"/>
                <w:color w:val="auto"/>
              </w:rPr>
              <w:t>（3）色母：（Color Master Batch）全称叫</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"https://baike.so.com/doc/2751431-2903787.html"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色母粒</w:t>
            </w:r>
            <w:r>
              <w:rPr>
                <w:rFonts w:hint="default" w:ascii="Times New Roman" w:hAnsi="Times New Roman" w:cs="Times New Roman"/>
                <w:color w:val="auto"/>
              </w:rPr>
              <w:fldChar w:fldCharType="end"/>
            </w:r>
            <w:r>
              <w:rPr>
                <w:rFonts w:hint="default" w:ascii="Times New Roman" w:hAnsi="Times New Roman" w:cs="Times New Roman"/>
                <w:color w:val="auto"/>
              </w:rPr>
              <w:t>，也叫</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"https://baike.so.com/doc/7570868-7844962.html"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色种</w:t>
            </w:r>
            <w:r>
              <w:rPr>
                <w:rFonts w:hint="default" w:ascii="Times New Roman" w:hAnsi="Times New Roman" w:cs="Times New Roman"/>
                <w:color w:val="auto"/>
              </w:rPr>
              <w:fldChar w:fldCharType="end"/>
            </w:r>
            <w:r>
              <w:rPr>
                <w:rFonts w:hint="default" w:ascii="Times New Roman" w:hAnsi="Times New Roman" w:cs="Times New Roman"/>
                <w:color w:val="auto"/>
              </w:rPr>
              <w:t>，是一种新型高分子</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"https://baike.so.com/doc/316987-335616.html"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材料</w:t>
            </w:r>
            <w:r>
              <w:rPr>
                <w:rFonts w:hint="default" w:ascii="Times New Roman" w:hAnsi="Times New Roman" w:cs="Times New Roman"/>
                <w:color w:val="auto"/>
              </w:rPr>
              <w:fldChar w:fldCharType="end"/>
            </w:r>
            <w:r>
              <w:rPr>
                <w:rFonts w:hint="default" w:ascii="Times New Roman" w:hAnsi="Times New Roman" w:cs="Times New Roman"/>
                <w:color w:val="auto"/>
              </w:rPr>
              <w:t>专用</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"https://baike.so.com/doc/5841620-6054452.html"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着色剂</w:t>
            </w:r>
            <w:r>
              <w:rPr>
                <w:rFonts w:hint="default" w:ascii="Times New Roman" w:hAnsi="Times New Roman" w:cs="Times New Roman"/>
                <w:color w:val="auto"/>
              </w:rPr>
              <w:fldChar w:fldCharType="end"/>
            </w:r>
            <w:r>
              <w:rPr>
                <w:rFonts w:hint="default" w:ascii="Times New Roman" w:hAnsi="Times New Roman" w:cs="Times New Roman"/>
                <w:color w:val="auto"/>
              </w:rPr>
              <w:t>，亦称颜料制备物（Pigment Preparation）。色母主要用在塑料上。色母由</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"https://baike.so.com/doc/5658159-5870810.html"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颜料</w:t>
            </w:r>
            <w:r>
              <w:rPr>
                <w:rFonts w:hint="default" w:ascii="Times New Roman" w:hAnsi="Times New Roman" w:cs="Times New Roman"/>
                <w:color w:val="auto"/>
              </w:rPr>
              <w:fldChar w:fldCharType="end"/>
            </w:r>
            <w:r>
              <w:rPr>
                <w:rFonts w:hint="default" w:ascii="Times New Roman" w:hAnsi="Times New Roman" w:cs="Times New Roman"/>
                <w:color w:val="auto"/>
              </w:rPr>
              <w:t>或</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"https://baike.so.com/doc/1423526-1504748.html"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染料</w:t>
            </w:r>
            <w:r>
              <w:rPr>
                <w:rFonts w:hint="default" w:ascii="Times New Roman" w:hAnsi="Times New Roman" w:cs="Times New Roman"/>
                <w:color w:val="auto"/>
              </w:rPr>
              <w:fldChar w:fldCharType="end"/>
            </w:r>
            <w:r>
              <w:rPr>
                <w:rFonts w:hint="default" w:ascii="Times New Roman" w:hAnsi="Times New Roman" w:cs="Times New Roman"/>
                <w:color w:val="auto"/>
              </w:rPr>
              <w:t>、载体和</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"https://baike.so.com/doc/2801901-2957314.html"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添加剂</w:t>
            </w:r>
            <w:r>
              <w:rPr>
                <w:rFonts w:hint="default" w:ascii="Times New Roman" w:hAnsi="Times New Roman" w:cs="Times New Roman"/>
                <w:color w:val="auto"/>
              </w:rPr>
              <w:fldChar w:fldCharType="end"/>
            </w:r>
            <w:r>
              <w:rPr>
                <w:rFonts w:hint="default" w:ascii="Times New Roman" w:hAnsi="Times New Roman" w:cs="Times New Roman"/>
                <w:color w:val="auto"/>
              </w:rPr>
              <w:t>三种基本要素所组成，是把超常量的</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"https://baike.so.com/doc/5658159-5870810.html"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颜料</w:t>
            </w:r>
            <w:r>
              <w:rPr>
                <w:rFonts w:hint="default" w:ascii="Times New Roman" w:hAnsi="Times New Roman" w:cs="Times New Roman"/>
                <w:color w:val="auto"/>
              </w:rPr>
              <w:fldChar w:fldCharType="end"/>
            </w:r>
            <w:r>
              <w:rPr>
                <w:rFonts w:hint="default" w:ascii="Times New Roman" w:hAnsi="Times New Roman" w:cs="Times New Roman"/>
                <w:color w:val="auto"/>
              </w:rPr>
              <w:t>均匀载附于</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"https://baike.so.com/doc/703586-744632.html"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树脂</w:t>
            </w:r>
            <w:r>
              <w:rPr>
                <w:rFonts w:hint="default" w:ascii="Times New Roman" w:hAnsi="Times New Roman" w:cs="Times New Roman"/>
                <w:color w:val="auto"/>
              </w:rPr>
              <w:fldChar w:fldCharType="end"/>
            </w:r>
            <w:r>
              <w:rPr>
                <w:rFonts w:hint="default" w:ascii="Times New Roman" w:hAnsi="Times New Roman" w:cs="Times New Roman"/>
                <w:color w:val="auto"/>
              </w:rPr>
              <w:t>之中而制得的聚集体，可称颜料浓缩物（Pigment Concentration），所以它的着色力高于</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"https://baike.so.com/doc/5658159-5870810.html"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颜料</w:t>
            </w:r>
            <w:r>
              <w:rPr>
                <w:rFonts w:hint="default" w:ascii="Times New Roman" w:hAnsi="Times New Roman" w:cs="Times New Roman"/>
                <w:color w:val="auto"/>
              </w:rPr>
              <w:fldChar w:fldCharType="end"/>
            </w:r>
            <w:r>
              <w:rPr>
                <w:rFonts w:hint="default" w:ascii="Times New Roman" w:hAnsi="Times New Roman" w:cs="Times New Roman"/>
                <w:color w:val="auto"/>
              </w:rPr>
              <w:t>本身。加工时用少量色母料和未着色树脂掺混，就可达到设计颜料浓度的着色树脂或制品。</w:t>
            </w:r>
          </w:p>
          <w:p w14:paraId="748BD3CD">
            <w:pPr>
              <w:ind w:firstLine="480"/>
              <w:rPr>
                <w:rFonts w:hint="default" w:ascii="Times New Roman" w:hAnsi="Times New Roman" w:cs="Times New Roman"/>
                <w:color w:val="auto"/>
              </w:rPr>
            </w:pPr>
            <w:r>
              <w:rPr>
                <w:rFonts w:hint="default" w:ascii="Times New Roman" w:hAnsi="Times New Roman" w:cs="Times New Roman"/>
                <w:color w:val="auto"/>
              </w:rPr>
              <w:t>（4）热熔胶：EVA热熔胶是一种不需</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"https://baike.so.com/doc/1355777-1433373.html" \t "https://baike.so.com/doc/_blank"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溶剂</w:t>
            </w:r>
            <w:r>
              <w:rPr>
                <w:rFonts w:hint="default" w:ascii="Times New Roman" w:hAnsi="Times New Roman" w:cs="Times New Roman"/>
                <w:color w:val="auto"/>
              </w:rPr>
              <w:fldChar w:fldCharType="end"/>
            </w:r>
            <w:r>
              <w:rPr>
                <w:rFonts w:hint="default" w:ascii="Times New Roman" w:hAnsi="Times New Roman" w:cs="Times New Roman"/>
                <w:color w:val="auto"/>
              </w:rPr>
              <w:t>、不含水分100%的固体可熔性聚合物；它在常温下为固体，加热熔融到一定温度变为能流动，且有一定粘性的液体。熔融后的EVA热熔胶，呈浅棕色或白色。EVA是一种塑料物料，由乙烯（E）及乙烯基醋酸盐（VA）以自由基反应聚合而成的固态物质，热熔胶热分解温度为230~250℃，EVA聚合物聚合程度≥85%，剩余15%为未聚合反应完全的乙烯、乙烯基醋酸盐。</w:t>
            </w:r>
          </w:p>
          <w:p w14:paraId="37A79936">
            <w:pPr>
              <w:ind w:firstLine="480"/>
              <w:rPr>
                <w:rFonts w:hint="default" w:ascii="Times New Roman" w:hAnsi="Times New Roman" w:cs="Times New Roman"/>
                <w:color w:val="auto"/>
              </w:rPr>
            </w:pPr>
            <w:bookmarkStart w:id="2" w:name="3624987-3810785-2"/>
            <w:bookmarkEnd w:id="2"/>
            <w:r>
              <w:rPr>
                <w:rFonts w:hint="default" w:ascii="Times New Roman" w:hAnsi="Times New Roman" w:cs="Times New Roman"/>
                <w:color w:val="auto"/>
              </w:rPr>
              <w:t>（5）丁烷（C</w:t>
            </w:r>
            <w:r>
              <w:rPr>
                <w:rFonts w:hint="default" w:ascii="Times New Roman" w:hAnsi="Times New Roman" w:cs="Times New Roman"/>
                <w:color w:val="auto"/>
                <w:vertAlign w:val="subscript"/>
              </w:rPr>
              <w:t>4</w:t>
            </w:r>
            <w:r>
              <w:rPr>
                <w:rFonts w:hint="default" w:ascii="Times New Roman" w:hAnsi="Times New Roman" w:cs="Times New Roman"/>
                <w:color w:val="auto"/>
              </w:rPr>
              <w:t>H</w:t>
            </w:r>
            <w:r>
              <w:rPr>
                <w:rFonts w:hint="default" w:ascii="Times New Roman" w:hAnsi="Times New Roman" w:cs="Times New Roman"/>
                <w:color w:val="auto"/>
                <w:vertAlign w:val="subscript"/>
              </w:rPr>
              <w:t>10</w:t>
            </w:r>
            <w:r>
              <w:rPr>
                <w:rFonts w:hint="default" w:ascii="Times New Roman" w:hAnsi="Times New Roman" w:cs="Times New Roman"/>
                <w:color w:val="auto"/>
              </w:rPr>
              <w:t>）：丁烷为饱和碳氢化合物，是一种无色可燃性气体，闪点为-60℃、熔点-138.35℃、凝固点为-135C、燃烧温度：405℃，丁烷与空气混合后能形成爆炸性混合物，遇火、高热后有爆炸危险，爆炸上限%（V/V）：8.5、爆炸下限%（V/V）：1.5，还易泄漏，与氧化剂接触猛烈反应，气体比空气重，能在较低处扩散到相当远的地方，遇火源会着火回燃。丁烷除直接用作燃料外，还用作溶剂、制冷剂和有机合成原料。用于二次石油回收的流溢剂，树脂发泡剂，海水转化为新鲜水的致冷剂，以及烯烃齐格勒聚合溶剂等。</w:t>
            </w:r>
          </w:p>
          <w:p w14:paraId="0381836E">
            <w:pPr>
              <w:ind w:firstLine="480"/>
              <w:rPr>
                <w:rFonts w:hint="default" w:ascii="Times New Roman" w:hAnsi="Times New Roman" w:cs="Times New Roman"/>
                <w:color w:val="auto"/>
              </w:rPr>
            </w:pPr>
            <w:r>
              <w:rPr>
                <w:rFonts w:hint="default" w:ascii="Times New Roman" w:hAnsi="Times New Roman" w:cs="Times New Roman"/>
                <w:color w:val="auto"/>
              </w:rPr>
              <w:t>（6）发泡母粒：为硅酸镁盐类矿物滑石族滑石，主要成分为含水</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"https://baike.baidu.com/item/%E7%A1%85%E9%85%B8%E9%95%81/2565123" \t "https://baike.baidu.com/item/%E6%BB%91%E7%9F%B3%E7%B2%89/_blank"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硅酸镁</w:t>
            </w:r>
            <w:r>
              <w:rPr>
                <w:rFonts w:hint="default" w:ascii="Times New Roman" w:hAnsi="Times New Roman" w:cs="Times New Roman"/>
                <w:color w:val="auto"/>
              </w:rPr>
              <w:fldChar w:fldCharType="end"/>
            </w:r>
            <w:r>
              <w:rPr>
                <w:rFonts w:hint="default" w:ascii="Times New Roman" w:hAnsi="Times New Roman" w:cs="Times New Roman"/>
                <w:color w:val="auto"/>
              </w:rPr>
              <w:t>，经粉碎后，用</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"https://baike.baidu.com/item/%E7%9B%90%E9%85%B8/114516" \t "https://baike.baidu.com/item/%E6%BB%91%E7%9F%B3%E7%B2%89/_blank"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盐酸</w:t>
            </w:r>
            <w:r>
              <w:rPr>
                <w:rFonts w:hint="default" w:ascii="Times New Roman" w:hAnsi="Times New Roman" w:cs="Times New Roman"/>
                <w:color w:val="auto"/>
              </w:rPr>
              <w:fldChar w:fldCharType="end"/>
            </w:r>
            <w:r>
              <w:rPr>
                <w:rFonts w:hint="default" w:ascii="Times New Roman" w:hAnsi="Times New Roman" w:cs="Times New Roman"/>
                <w:color w:val="auto"/>
              </w:rPr>
              <w:t>处理，水洗，</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"https://baike.baidu.com/item/%E5%B9%B2%E7%87%A5/10697533" \t "https://baike.baidu.com/item/%E6%BB%91%E7%9F%B3%E7%B2%89/_blank" </w:instrText>
            </w:r>
            <w:r>
              <w:rPr>
                <w:rFonts w:hint="default" w:ascii="Times New Roman" w:hAnsi="Times New Roman" w:cs="Times New Roman"/>
                <w:color w:val="auto"/>
              </w:rPr>
              <w:fldChar w:fldCharType="separate"/>
            </w:r>
            <w:r>
              <w:rPr>
                <w:rFonts w:hint="default" w:ascii="Times New Roman" w:hAnsi="Times New Roman" w:cs="Times New Roman"/>
                <w:color w:val="auto"/>
              </w:rPr>
              <w:t>干燥</w:t>
            </w:r>
            <w:r>
              <w:rPr>
                <w:rFonts w:hint="default" w:ascii="Times New Roman" w:hAnsi="Times New Roman" w:cs="Times New Roman"/>
                <w:color w:val="auto"/>
              </w:rPr>
              <w:fldChar w:fldCharType="end"/>
            </w:r>
            <w:r>
              <w:rPr>
                <w:rFonts w:hint="default" w:ascii="Times New Roman" w:hAnsi="Times New Roman" w:cs="Times New Roman"/>
                <w:color w:val="auto"/>
              </w:rPr>
              <w:t>而成。常用于塑料类、纸类产品的填料，橡胶填料和橡胶制品防黏剂，高级油漆涂料等。</w:t>
            </w:r>
          </w:p>
          <w:p w14:paraId="730A0B61">
            <w:pPr>
              <w:ind w:firstLine="482"/>
              <w:rPr>
                <w:rFonts w:hint="default" w:ascii="Times New Roman" w:hAnsi="Times New Roman" w:cs="Times New Roman"/>
                <w:color w:val="auto"/>
              </w:rPr>
            </w:pPr>
            <w:r>
              <w:rPr>
                <w:rFonts w:hint="default" w:ascii="Times New Roman" w:hAnsi="Times New Roman" w:cs="Times New Roman"/>
                <w:b/>
                <w:bCs/>
                <w:color w:val="auto"/>
              </w:rPr>
              <w:t>6、物料平衡</w:t>
            </w:r>
          </w:p>
          <w:p w14:paraId="79702308">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b/>
                <w:color w:val="auto"/>
              </w:rPr>
              <w:t>表2-4  项目物料平衡表（t/a）</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13"/>
              <w:gridCol w:w="1052"/>
              <w:gridCol w:w="3965"/>
              <w:gridCol w:w="1055"/>
            </w:tblGrid>
            <w:tr w14:paraId="28A48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6" w:type="pct"/>
                  <w:gridSpan w:val="2"/>
                  <w:vAlign w:val="center"/>
                </w:tcPr>
                <w:p w14:paraId="1E5BB595">
                  <w:pPr>
                    <w:keepLines/>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投入</w:t>
                  </w:r>
                </w:p>
              </w:tc>
              <w:tc>
                <w:tcPr>
                  <w:tcW w:w="2993" w:type="pct"/>
                  <w:gridSpan w:val="2"/>
                  <w:vAlign w:val="center"/>
                </w:tcPr>
                <w:p w14:paraId="1303FBEE">
                  <w:pPr>
                    <w:keepLines/>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输出</w:t>
                  </w:r>
                </w:p>
              </w:tc>
            </w:tr>
            <w:tr w14:paraId="6D86BB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vAlign w:val="center"/>
                </w:tcPr>
                <w:p w14:paraId="7ED2CE53">
                  <w:pPr>
                    <w:keepLines/>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投入</w:t>
                  </w:r>
                </w:p>
              </w:tc>
              <w:tc>
                <w:tcPr>
                  <w:tcW w:w="627" w:type="pct"/>
                  <w:vAlign w:val="center"/>
                </w:tcPr>
                <w:p w14:paraId="114E86C3">
                  <w:pPr>
                    <w:keepLines/>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使用量</w:t>
                  </w:r>
                </w:p>
              </w:tc>
              <w:tc>
                <w:tcPr>
                  <w:tcW w:w="2364" w:type="pct"/>
                  <w:vAlign w:val="center"/>
                </w:tcPr>
                <w:p w14:paraId="646B1B76">
                  <w:pPr>
                    <w:keepLines/>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种类</w:t>
                  </w:r>
                </w:p>
              </w:tc>
              <w:tc>
                <w:tcPr>
                  <w:tcW w:w="629" w:type="pct"/>
                  <w:vAlign w:val="center"/>
                </w:tcPr>
                <w:p w14:paraId="014FF596">
                  <w:pPr>
                    <w:keepLines/>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数量</w:t>
                  </w:r>
                </w:p>
              </w:tc>
            </w:tr>
            <w:tr w14:paraId="06385C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shd w:val="clear" w:color="auto" w:fill="auto"/>
                  <w:vAlign w:val="center"/>
                </w:tcPr>
                <w:p w14:paraId="67B952E6">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聚乙烯颗粒（LDPE）</w:t>
                  </w:r>
                </w:p>
              </w:tc>
              <w:tc>
                <w:tcPr>
                  <w:tcW w:w="1052" w:type="dxa"/>
                  <w:shd w:val="clear" w:color="auto" w:fill="auto"/>
                  <w:vAlign w:val="center"/>
                </w:tcPr>
                <w:p w14:paraId="62E0FE97">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360</w:t>
                  </w:r>
                </w:p>
              </w:tc>
              <w:tc>
                <w:tcPr>
                  <w:tcW w:w="2364" w:type="pct"/>
                  <w:vAlign w:val="center"/>
                </w:tcPr>
                <w:p w14:paraId="16E9A1A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产品</w:t>
                  </w:r>
                </w:p>
              </w:tc>
              <w:tc>
                <w:tcPr>
                  <w:tcW w:w="1055" w:type="dxa"/>
                  <w:vAlign w:val="center"/>
                </w:tcPr>
                <w:p w14:paraId="7608225A">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828</w:t>
                  </w:r>
                </w:p>
              </w:tc>
            </w:tr>
            <w:tr w14:paraId="118BD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shd w:val="clear" w:color="auto" w:fill="auto"/>
                  <w:vAlign w:val="center"/>
                </w:tcPr>
                <w:p w14:paraId="75D1BC2A">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单甘酯</w:t>
                  </w:r>
                </w:p>
              </w:tc>
              <w:tc>
                <w:tcPr>
                  <w:tcW w:w="1052" w:type="dxa"/>
                  <w:shd w:val="clear" w:color="auto" w:fill="auto"/>
                  <w:vAlign w:val="center"/>
                </w:tcPr>
                <w:p w14:paraId="507F1750">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w:t>
                  </w:r>
                </w:p>
              </w:tc>
              <w:tc>
                <w:tcPr>
                  <w:tcW w:w="2364" w:type="pct"/>
                  <w:vAlign w:val="center"/>
                </w:tcPr>
                <w:p w14:paraId="4E7EA001">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活性炭吸附量</w:t>
                  </w:r>
                </w:p>
              </w:tc>
              <w:tc>
                <w:tcPr>
                  <w:tcW w:w="1055" w:type="dxa"/>
                  <w:vAlign w:val="center"/>
                </w:tcPr>
                <w:p w14:paraId="5FB23C28">
                  <w:pPr>
                    <w:keepLines/>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1.560</w:t>
                  </w:r>
                </w:p>
              </w:tc>
            </w:tr>
            <w:tr w14:paraId="70C434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shd w:val="clear" w:color="auto" w:fill="auto"/>
                  <w:vAlign w:val="center"/>
                </w:tcPr>
                <w:p w14:paraId="15D05F96">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色母</w:t>
                  </w:r>
                </w:p>
              </w:tc>
              <w:tc>
                <w:tcPr>
                  <w:tcW w:w="1052" w:type="dxa"/>
                  <w:shd w:val="clear" w:color="auto" w:fill="auto"/>
                  <w:vAlign w:val="center"/>
                </w:tcPr>
                <w:p w14:paraId="4ACE515E">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2364" w:type="pct"/>
                  <w:vAlign w:val="center"/>
                </w:tcPr>
                <w:p w14:paraId="5FDEF3D3">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有机废气（非甲烷总烃）有组织排放量</w:t>
                  </w:r>
                </w:p>
              </w:tc>
              <w:tc>
                <w:tcPr>
                  <w:tcW w:w="1055" w:type="dxa"/>
                  <w:vAlign w:val="center"/>
                </w:tcPr>
                <w:p w14:paraId="58B072CC">
                  <w:pPr>
                    <w:keepLines/>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2.773</w:t>
                  </w:r>
                </w:p>
              </w:tc>
            </w:tr>
            <w:tr w14:paraId="04A8F1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shd w:val="clear" w:color="auto" w:fill="auto"/>
                  <w:vAlign w:val="center"/>
                </w:tcPr>
                <w:p w14:paraId="40C6E7D0">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热熔胶</w:t>
                  </w:r>
                </w:p>
              </w:tc>
              <w:tc>
                <w:tcPr>
                  <w:tcW w:w="1052" w:type="dxa"/>
                  <w:shd w:val="clear" w:color="auto" w:fill="auto"/>
                  <w:vAlign w:val="center"/>
                </w:tcPr>
                <w:p w14:paraId="7DBC49FE">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2364" w:type="pct"/>
                  <w:shd w:val="clear" w:color="auto" w:fill="auto"/>
                  <w:vAlign w:val="center"/>
                </w:tcPr>
                <w:p w14:paraId="6592264B">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有机废气（非甲烷总烃）无组织排放量</w:t>
                  </w:r>
                </w:p>
              </w:tc>
              <w:tc>
                <w:tcPr>
                  <w:tcW w:w="1055" w:type="dxa"/>
                  <w:shd w:val="clear" w:color="auto" w:fill="auto"/>
                  <w:vAlign w:val="center"/>
                </w:tcPr>
                <w:p w14:paraId="1A89CEDD">
                  <w:pPr>
                    <w:keepLines/>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1.083</w:t>
                  </w:r>
                </w:p>
              </w:tc>
            </w:tr>
            <w:tr w14:paraId="4CDDC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shd w:val="clear" w:color="auto" w:fill="auto"/>
                  <w:vAlign w:val="center"/>
                </w:tcPr>
                <w:p w14:paraId="1016BB7E">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丁烷</w:t>
                  </w:r>
                </w:p>
              </w:tc>
              <w:tc>
                <w:tcPr>
                  <w:tcW w:w="1052" w:type="dxa"/>
                  <w:shd w:val="clear" w:color="auto" w:fill="auto"/>
                  <w:vAlign w:val="center"/>
                </w:tcPr>
                <w:p w14:paraId="006B58C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w:t>
                  </w:r>
                </w:p>
              </w:tc>
              <w:tc>
                <w:tcPr>
                  <w:tcW w:w="3965" w:type="dxa"/>
                  <w:vAlign w:val="center"/>
                </w:tcPr>
                <w:p w14:paraId="65C4C00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055" w:type="dxa"/>
                  <w:vAlign w:val="center"/>
                </w:tcPr>
                <w:p w14:paraId="26EF54A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43D880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shd w:val="clear" w:color="auto" w:fill="auto"/>
                  <w:vAlign w:val="center"/>
                </w:tcPr>
                <w:p w14:paraId="3DF4DCE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发泡母粒</w:t>
                  </w:r>
                </w:p>
              </w:tc>
              <w:tc>
                <w:tcPr>
                  <w:tcW w:w="1052" w:type="dxa"/>
                  <w:shd w:val="clear" w:color="auto" w:fill="auto"/>
                  <w:vAlign w:val="center"/>
                </w:tcPr>
                <w:p w14:paraId="282DE41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2.86</w:t>
                  </w:r>
                </w:p>
              </w:tc>
              <w:tc>
                <w:tcPr>
                  <w:tcW w:w="2364" w:type="pct"/>
                  <w:vAlign w:val="center"/>
                </w:tcPr>
                <w:p w14:paraId="10EF603F">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055" w:type="dxa"/>
                  <w:vAlign w:val="center"/>
                </w:tcPr>
                <w:p w14:paraId="070F1CC0">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586CB2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shd w:val="clear" w:color="auto" w:fill="auto"/>
                  <w:vAlign w:val="center"/>
                </w:tcPr>
                <w:p w14:paraId="622F45BA">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卷材珍珠棉</w:t>
                  </w:r>
                </w:p>
              </w:tc>
              <w:tc>
                <w:tcPr>
                  <w:tcW w:w="1052" w:type="dxa"/>
                  <w:shd w:val="clear" w:color="auto" w:fill="auto"/>
                  <w:vAlign w:val="center"/>
                </w:tcPr>
                <w:p w14:paraId="052D52B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450</w:t>
                  </w:r>
                </w:p>
              </w:tc>
              <w:tc>
                <w:tcPr>
                  <w:tcW w:w="2364" w:type="pct"/>
                  <w:vAlign w:val="center"/>
                </w:tcPr>
                <w:p w14:paraId="432B4835">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055" w:type="dxa"/>
                  <w:vAlign w:val="center"/>
                </w:tcPr>
                <w:p w14:paraId="571394F9">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3BB9F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vAlign w:val="center"/>
                </w:tcPr>
                <w:p w14:paraId="36569425">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PE膜</w:t>
                  </w:r>
                </w:p>
              </w:tc>
              <w:tc>
                <w:tcPr>
                  <w:tcW w:w="1052" w:type="dxa"/>
                  <w:vAlign w:val="center"/>
                </w:tcPr>
                <w:p w14:paraId="07B721C5">
                  <w:pPr>
                    <w:keepLines/>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2.85</w:t>
                  </w:r>
                  <w:r>
                    <w:rPr>
                      <w:rFonts w:hint="default" w:ascii="Times New Roman" w:hAnsi="Times New Roman" w:cs="Times New Roman"/>
                      <w:color w:val="auto"/>
                      <w:sz w:val="21"/>
                      <w:szCs w:val="21"/>
                      <w:lang w:val="en-US" w:eastAsia="zh-CN"/>
                    </w:rPr>
                    <w:t>6</w:t>
                  </w:r>
                </w:p>
              </w:tc>
              <w:tc>
                <w:tcPr>
                  <w:tcW w:w="2364" w:type="pct"/>
                  <w:vAlign w:val="center"/>
                </w:tcPr>
                <w:p w14:paraId="649B3C2E">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055" w:type="dxa"/>
                  <w:vAlign w:val="center"/>
                </w:tcPr>
                <w:p w14:paraId="514B88EB">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3F555E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79" w:type="pct"/>
                  <w:vAlign w:val="center"/>
                </w:tcPr>
                <w:p w14:paraId="2A774BEB">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合计</w:t>
                  </w:r>
                </w:p>
              </w:tc>
              <w:tc>
                <w:tcPr>
                  <w:tcW w:w="1052" w:type="dxa"/>
                  <w:shd w:val="clear" w:color="auto" w:fill="auto"/>
                  <w:vAlign w:val="center"/>
                </w:tcPr>
                <w:p w14:paraId="0637ED83">
                  <w:pPr>
                    <w:keepLines/>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833.41</w:t>
                  </w:r>
                  <w:r>
                    <w:rPr>
                      <w:rFonts w:hint="default" w:ascii="Times New Roman" w:hAnsi="Times New Roman" w:cs="Times New Roman"/>
                      <w:color w:val="auto"/>
                      <w:sz w:val="21"/>
                      <w:szCs w:val="21"/>
                      <w:lang w:val="en-US" w:eastAsia="zh-CN"/>
                    </w:rPr>
                    <w:t>6</w:t>
                  </w:r>
                </w:p>
              </w:tc>
              <w:tc>
                <w:tcPr>
                  <w:tcW w:w="2364" w:type="pct"/>
                  <w:vAlign w:val="center"/>
                </w:tcPr>
                <w:p w14:paraId="669031A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合计</w:t>
                  </w:r>
                </w:p>
              </w:tc>
              <w:tc>
                <w:tcPr>
                  <w:tcW w:w="1055" w:type="dxa"/>
                  <w:shd w:val="clear" w:color="auto" w:fill="auto"/>
                  <w:vAlign w:val="center"/>
                </w:tcPr>
                <w:p w14:paraId="40F7BC1A">
                  <w:pPr>
                    <w:keepLines/>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833.41</w:t>
                  </w:r>
                  <w:r>
                    <w:rPr>
                      <w:rFonts w:hint="default" w:ascii="Times New Roman" w:hAnsi="Times New Roman" w:cs="Times New Roman"/>
                      <w:color w:val="auto"/>
                      <w:sz w:val="21"/>
                      <w:szCs w:val="21"/>
                      <w:lang w:val="en-US" w:eastAsia="zh-CN"/>
                    </w:rPr>
                    <w:t>6</w:t>
                  </w:r>
                </w:p>
              </w:tc>
            </w:tr>
          </w:tbl>
          <w:p w14:paraId="41A714F3">
            <w:pPr>
              <w:spacing w:line="240" w:lineRule="auto"/>
              <w:ind w:firstLine="422"/>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备注：本项目边角料和不合格产品经造粒机加工后作为原料颗粒回用，本次不纳入物料平衡计算。</w:t>
            </w:r>
          </w:p>
          <w:p w14:paraId="70109030">
            <w:pPr>
              <w:ind w:firstLine="482"/>
              <w:rPr>
                <w:rFonts w:hint="default" w:ascii="Times New Roman" w:hAnsi="Times New Roman" w:cs="Times New Roman"/>
                <w:b/>
                <w:bCs/>
                <w:color w:val="auto"/>
              </w:rPr>
            </w:pPr>
            <w:r>
              <w:rPr>
                <w:rFonts w:hint="default" w:ascii="Times New Roman" w:hAnsi="Times New Roman" w:cs="Times New Roman"/>
                <w:b/>
                <w:bCs/>
                <w:color w:val="auto"/>
              </w:rPr>
              <w:t>7、主要生产设备</w:t>
            </w:r>
          </w:p>
          <w:p w14:paraId="10B65255">
            <w:pPr>
              <w:keepNext/>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表2-5  主要生产设备</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1344"/>
              <w:gridCol w:w="723"/>
              <w:gridCol w:w="723"/>
              <w:gridCol w:w="1486"/>
              <w:gridCol w:w="1953"/>
              <w:gridCol w:w="1533"/>
            </w:tblGrid>
            <w:tr w14:paraId="4A0ECC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4C99B20D">
                  <w:pPr>
                    <w:pStyle w:val="11"/>
                    <w:keepNext/>
                    <w:keepLines/>
                    <w:spacing w:line="240" w:lineRule="auto"/>
                    <w:ind w:firstLine="0" w:firstLineChars="0"/>
                    <w:jc w:val="center"/>
                    <w:rPr>
                      <w:rFonts w:hint="default" w:ascii="Times New Roman" w:hAnsi="Times New Roman" w:cs="Times New Roman"/>
                      <w:b/>
                      <w:bCs/>
                      <w:color w:val="auto"/>
                      <w:sz w:val="21"/>
                    </w:rPr>
                  </w:pPr>
                  <w:r>
                    <w:rPr>
                      <w:rFonts w:hint="default" w:ascii="Times New Roman" w:hAnsi="Times New Roman" w:cs="Times New Roman"/>
                      <w:b/>
                      <w:bCs/>
                      <w:color w:val="auto"/>
                      <w:sz w:val="21"/>
                    </w:rPr>
                    <w:t>序号</w:t>
                  </w:r>
                </w:p>
              </w:tc>
              <w:tc>
                <w:tcPr>
                  <w:tcW w:w="801" w:type="pct"/>
                  <w:tcBorders>
                    <w:tl2br w:val="nil"/>
                    <w:tr2bl w:val="nil"/>
                  </w:tcBorders>
                  <w:shd w:val="clear" w:color="auto" w:fill="auto"/>
                  <w:vAlign w:val="center"/>
                </w:tcPr>
                <w:p w14:paraId="3B5DEFD8">
                  <w:pPr>
                    <w:pStyle w:val="11"/>
                    <w:keepNext/>
                    <w:keepLines/>
                    <w:spacing w:line="240" w:lineRule="auto"/>
                    <w:ind w:firstLine="0" w:firstLineChars="0"/>
                    <w:jc w:val="center"/>
                    <w:rPr>
                      <w:rFonts w:hint="default" w:ascii="Times New Roman" w:hAnsi="Times New Roman" w:cs="Times New Roman"/>
                      <w:b/>
                      <w:bCs/>
                      <w:color w:val="auto"/>
                      <w:sz w:val="21"/>
                    </w:rPr>
                  </w:pPr>
                  <w:r>
                    <w:rPr>
                      <w:rFonts w:hint="default" w:ascii="Times New Roman" w:hAnsi="Times New Roman" w:cs="Times New Roman"/>
                      <w:b/>
                      <w:bCs/>
                      <w:color w:val="auto"/>
                      <w:sz w:val="21"/>
                    </w:rPr>
                    <w:t>名称</w:t>
                  </w:r>
                </w:p>
              </w:tc>
              <w:tc>
                <w:tcPr>
                  <w:tcW w:w="431" w:type="pct"/>
                  <w:tcBorders>
                    <w:tl2br w:val="nil"/>
                    <w:tr2bl w:val="nil"/>
                  </w:tcBorders>
                  <w:shd w:val="clear" w:color="auto" w:fill="auto"/>
                  <w:vAlign w:val="center"/>
                </w:tcPr>
                <w:p w14:paraId="55B01B5C">
                  <w:pPr>
                    <w:pStyle w:val="11"/>
                    <w:keepNext/>
                    <w:keepLines/>
                    <w:spacing w:line="240" w:lineRule="auto"/>
                    <w:ind w:firstLine="0" w:firstLineChars="0"/>
                    <w:jc w:val="center"/>
                    <w:rPr>
                      <w:rFonts w:hint="default" w:ascii="Times New Roman" w:hAnsi="Times New Roman" w:cs="Times New Roman"/>
                      <w:b/>
                      <w:bCs/>
                      <w:color w:val="auto"/>
                      <w:sz w:val="21"/>
                    </w:rPr>
                  </w:pPr>
                  <w:r>
                    <w:rPr>
                      <w:rFonts w:hint="default" w:ascii="Times New Roman" w:hAnsi="Times New Roman" w:cs="Times New Roman"/>
                      <w:b/>
                      <w:bCs/>
                      <w:color w:val="auto"/>
                      <w:sz w:val="21"/>
                    </w:rPr>
                    <w:t>单位</w:t>
                  </w:r>
                </w:p>
              </w:tc>
              <w:tc>
                <w:tcPr>
                  <w:tcW w:w="431" w:type="pct"/>
                  <w:tcBorders>
                    <w:tl2br w:val="nil"/>
                    <w:tr2bl w:val="nil"/>
                  </w:tcBorders>
                  <w:shd w:val="clear" w:color="auto" w:fill="auto"/>
                  <w:vAlign w:val="center"/>
                </w:tcPr>
                <w:p w14:paraId="7D4BE5F6">
                  <w:pPr>
                    <w:pStyle w:val="11"/>
                    <w:keepNext/>
                    <w:keepLines/>
                    <w:spacing w:line="240" w:lineRule="auto"/>
                    <w:ind w:firstLine="0" w:firstLineChars="0"/>
                    <w:jc w:val="center"/>
                    <w:rPr>
                      <w:rFonts w:hint="default" w:ascii="Times New Roman" w:hAnsi="Times New Roman" w:cs="Times New Roman"/>
                      <w:b/>
                      <w:bCs/>
                      <w:color w:val="auto"/>
                      <w:sz w:val="21"/>
                    </w:rPr>
                  </w:pPr>
                  <w:r>
                    <w:rPr>
                      <w:rFonts w:hint="default" w:ascii="Times New Roman" w:hAnsi="Times New Roman" w:cs="Times New Roman"/>
                      <w:b/>
                      <w:bCs/>
                      <w:color w:val="auto"/>
                      <w:sz w:val="21"/>
                    </w:rPr>
                    <w:t>数量</w:t>
                  </w:r>
                </w:p>
              </w:tc>
              <w:tc>
                <w:tcPr>
                  <w:tcW w:w="886" w:type="pct"/>
                  <w:tcBorders>
                    <w:tl2br w:val="nil"/>
                    <w:tr2bl w:val="nil"/>
                  </w:tcBorders>
                  <w:shd w:val="clear" w:color="auto" w:fill="auto"/>
                  <w:vAlign w:val="center"/>
                </w:tcPr>
                <w:p w14:paraId="3B31B0CD">
                  <w:pPr>
                    <w:pStyle w:val="11"/>
                    <w:keepNext/>
                    <w:keepLines/>
                    <w:spacing w:line="240" w:lineRule="auto"/>
                    <w:ind w:firstLine="0" w:firstLineChars="0"/>
                    <w:jc w:val="center"/>
                    <w:rPr>
                      <w:rFonts w:hint="default" w:ascii="Times New Roman" w:hAnsi="Times New Roman" w:cs="Times New Roman"/>
                      <w:b/>
                      <w:bCs/>
                      <w:color w:val="auto"/>
                      <w:sz w:val="21"/>
                    </w:rPr>
                  </w:pPr>
                  <w:r>
                    <w:rPr>
                      <w:rFonts w:hint="default" w:ascii="Times New Roman" w:hAnsi="Times New Roman" w:cs="Times New Roman"/>
                      <w:b/>
                      <w:bCs/>
                      <w:color w:val="auto"/>
                      <w:sz w:val="21"/>
                    </w:rPr>
                    <w:t>设备型号</w:t>
                  </w:r>
                </w:p>
              </w:tc>
              <w:tc>
                <w:tcPr>
                  <w:tcW w:w="1164" w:type="pct"/>
                  <w:tcBorders>
                    <w:tl2br w:val="nil"/>
                    <w:tr2bl w:val="nil"/>
                  </w:tcBorders>
                  <w:shd w:val="clear" w:color="auto" w:fill="auto"/>
                  <w:vAlign w:val="center"/>
                </w:tcPr>
                <w:p w14:paraId="3CBB22E9">
                  <w:pPr>
                    <w:pStyle w:val="11"/>
                    <w:keepNext/>
                    <w:keepLines/>
                    <w:spacing w:line="240" w:lineRule="auto"/>
                    <w:ind w:firstLine="0" w:firstLineChars="0"/>
                    <w:jc w:val="center"/>
                    <w:rPr>
                      <w:rFonts w:hint="default" w:ascii="Times New Roman" w:hAnsi="Times New Roman" w:cs="Times New Roman"/>
                      <w:b/>
                      <w:bCs/>
                      <w:color w:val="auto"/>
                      <w:sz w:val="21"/>
                    </w:rPr>
                  </w:pPr>
                  <w:r>
                    <w:rPr>
                      <w:rFonts w:hint="default" w:ascii="Times New Roman" w:hAnsi="Times New Roman" w:cs="Times New Roman"/>
                      <w:b/>
                      <w:bCs/>
                      <w:color w:val="auto"/>
                      <w:sz w:val="21"/>
                    </w:rPr>
                    <w:t>放置位置</w:t>
                  </w:r>
                </w:p>
              </w:tc>
              <w:tc>
                <w:tcPr>
                  <w:tcW w:w="914" w:type="pct"/>
                  <w:tcBorders>
                    <w:tl2br w:val="nil"/>
                    <w:tr2bl w:val="nil"/>
                  </w:tcBorders>
                  <w:shd w:val="clear" w:color="auto" w:fill="auto"/>
                  <w:vAlign w:val="center"/>
                </w:tcPr>
                <w:p w14:paraId="7F69DE66">
                  <w:pPr>
                    <w:pStyle w:val="11"/>
                    <w:keepNext/>
                    <w:keepLines/>
                    <w:spacing w:line="240" w:lineRule="auto"/>
                    <w:ind w:firstLine="0" w:firstLineChars="0"/>
                    <w:jc w:val="center"/>
                    <w:rPr>
                      <w:rFonts w:hint="default" w:ascii="Times New Roman" w:hAnsi="Times New Roman" w:cs="Times New Roman"/>
                      <w:b/>
                      <w:bCs/>
                      <w:color w:val="auto"/>
                      <w:sz w:val="21"/>
                    </w:rPr>
                  </w:pPr>
                  <w:r>
                    <w:rPr>
                      <w:rFonts w:hint="default" w:ascii="Times New Roman" w:hAnsi="Times New Roman" w:cs="Times New Roman"/>
                      <w:b/>
                      <w:bCs/>
                      <w:color w:val="auto"/>
                      <w:sz w:val="21"/>
                    </w:rPr>
                    <w:t>备注</w:t>
                  </w:r>
                </w:p>
              </w:tc>
            </w:tr>
            <w:tr w14:paraId="3B8AE5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0B04287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01" w:type="pct"/>
                  <w:tcBorders>
                    <w:tl2br w:val="nil"/>
                    <w:tr2bl w:val="nil"/>
                  </w:tcBorders>
                  <w:shd w:val="clear" w:color="auto" w:fill="auto"/>
                  <w:vAlign w:val="center"/>
                </w:tcPr>
                <w:p w14:paraId="2BD3C14B">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造粒机</w:t>
                  </w:r>
                </w:p>
              </w:tc>
              <w:tc>
                <w:tcPr>
                  <w:tcW w:w="431" w:type="pct"/>
                  <w:tcBorders>
                    <w:tl2br w:val="nil"/>
                    <w:tr2bl w:val="nil"/>
                  </w:tcBorders>
                  <w:shd w:val="clear" w:color="auto" w:fill="auto"/>
                  <w:vAlign w:val="center"/>
                </w:tcPr>
                <w:p w14:paraId="0536E07D">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757E8D25">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220B2D49">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tcBorders>
                    <w:tl2br w:val="nil"/>
                    <w:tr2bl w:val="nil"/>
                  </w:tcBorders>
                  <w:shd w:val="clear" w:color="auto" w:fill="auto"/>
                  <w:vAlign w:val="center"/>
                </w:tcPr>
                <w:p w14:paraId="402370F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回收车间</w:t>
                  </w:r>
                </w:p>
              </w:tc>
              <w:tc>
                <w:tcPr>
                  <w:tcW w:w="914" w:type="pct"/>
                  <w:tcBorders>
                    <w:tl2br w:val="nil"/>
                    <w:tr2bl w:val="nil"/>
                  </w:tcBorders>
                  <w:shd w:val="clear" w:color="auto" w:fill="auto"/>
                  <w:vAlign w:val="center"/>
                </w:tcPr>
                <w:p w14:paraId="7D3003EC">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4CC4B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7C36FF8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w:t>
                  </w:r>
                </w:p>
              </w:tc>
              <w:tc>
                <w:tcPr>
                  <w:tcW w:w="801" w:type="pct"/>
                  <w:tcBorders>
                    <w:tl2br w:val="nil"/>
                    <w:tr2bl w:val="nil"/>
                  </w:tcBorders>
                  <w:shd w:val="clear" w:color="auto" w:fill="auto"/>
                  <w:vAlign w:val="center"/>
                </w:tcPr>
                <w:p w14:paraId="0175641E">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分切机</w:t>
                  </w:r>
                </w:p>
              </w:tc>
              <w:tc>
                <w:tcPr>
                  <w:tcW w:w="431" w:type="pct"/>
                  <w:tcBorders>
                    <w:tl2br w:val="nil"/>
                    <w:tr2bl w:val="nil"/>
                  </w:tcBorders>
                  <w:shd w:val="clear" w:color="auto" w:fill="auto"/>
                  <w:vAlign w:val="center"/>
                </w:tcPr>
                <w:p w14:paraId="16D9C45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31C7E18C">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886" w:type="pct"/>
                  <w:tcBorders>
                    <w:tl2br w:val="nil"/>
                    <w:tr2bl w:val="nil"/>
                  </w:tcBorders>
                  <w:shd w:val="clear" w:color="auto" w:fill="auto"/>
                  <w:vAlign w:val="center"/>
                </w:tcPr>
                <w:p w14:paraId="1E5C0347">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tcBorders>
                    <w:tl2br w:val="nil"/>
                    <w:tr2bl w:val="nil"/>
                  </w:tcBorders>
                  <w:shd w:val="clear" w:color="auto" w:fill="auto"/>
                  <w:vAlign w:val="center"/>
                </w:tcPr>
                <w:p w14:paraId="1B803F2C">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裁床车间</w:t>
                  </w:r>
                </w:p>
              </w:tc>
              <w:tc>
                <w:tcPr>
                  <w:tcW w:w="914" w:type="pct"/>
                  <w:tcBorders>
                    <w:tl2br w:val="nil"/>
                    <w:tr2bl w:val="nil"/>
                  </w:tcBorders>
                  <w:shd w:val="clear" w:color="auto" w:fill="auto"/>
                  <w:vAlign w:val="center"/>
                </w:tcPr>
                <w:p w14:paraId="17F0C92B">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58D47E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7BEDF46E">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3</w:t>
                  </w:r>
                </w:p>
              </w:tc>
              <w:tc>
                <w:tcPr>
                  <w:tcW w:w="801" w:type="pct"/>
                  <w:tcBorders>
                    <w:tl2br w:val="nil"/>
                    <w:tr2bl w:val="nil"/>
                  </w:tcBorders>
                  <w:shd w:val="clear" w:color="auto" w:fill="auto"/>
                  <w:vAlign w:val="center"/>
                </w:tcPr>
                <w:p w14:paraId="3CAF8F49">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卷材裁片机</w:t>
                  </w:r>
                </w:p>
              </w:tc>
              <w:tc>
                <w:tcPr>
                  <w:tcW w:w="431" w:type="pct"/>
                  <w:tcBorders>
                    <w:tl2br w:val="nil"/>
                    <w:tr2bl w:val="nil"/>
                  </w:tcBorders>
                  <w:shd w:val="clear" w:color="auto" w:fill="auto"/>
                  <w:vAlign w:val="center"/>
                </w:tcPr>
                <w:p w14:paraId="75DEB19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2AAB4C4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886" w:type="pct"/>
                  <w:tcBorders>
                    <w:tl2br w:val="nil"/>
                    <w:tr2bl w:val="nil"/>
                  </w:tcBorders>
                  <w:shd w:val="clear" w:color="auto" w:fill="auto"/>
                  <w:vAlign w:val="center"/>
                </w:tcPr>
                <w:p w14:paraId="6F5FF7CF">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tcBorders>
                    <w:tl2br w:val="nil"/>
                    <w:tr2bl w:val="nil"/>
                  </w:tcBorders>
                  <w:shd w:val="clear" w:color="auto" w:fill="auto"/>
                  <w:vAlign w:val="center"/>
                </w:tcPr>
                <w:p w14:paraId="362DC0A6">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裁片车间</w:t>
                  </w:r>
                </w:p>
              </w:tc>
              <w:tc>
                <w:tcPr>
                  <w:tcW w:w="914" w:type="pct"/>
                  <w:tcBorders>
                    <w:tl2br w:val="nil"/>
                    <w:tr2bl w:val="nil"/>
                  </w:tcBorders>
                  <w:shd w:val="clear" w:color="auto" w:fill="auto"/>
                  <w:vAlign w:val="center"/>
                </w:tcPr>
                <w:p w14:paraId="531AF8F2">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5266C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25AF841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4</w:t>
                  </w:r>
                </w:p>
              </w:tc>
              <w:tc>
                <w:tcPr>
                  <w:tcW w:w="801" w:type="pct"/>
                  <w:tcBorders>
                    <w:tl2br w:val="nil"/>
                    <w:tr2bl w:val="nil"/>
                  </w:tcBorders>
                  <w:shd w:val="clear" w:color="auto" w:fill="auto"/>
                  <w:vAlign w:val="center"/>
                </w:tcPr>
                <w:p w14:paraId="27E3B461">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发泡机</w:t>
                  </w:r>
                </w:p>
              </w:tc>
              <w:tc>
                <w:tcPr>
                  <w:tcW w:w="431" w:type="pct"/>
                  <w:tcBorders>
                    <w:tl2br w:val="nil"/>
                    <w:tr2bl w:val="nil"/>
                  </w:tcBorders>
                  <w:shd w:val="clear" w:color="auto" w:fill="auto"/>
                  <w:vAlign w:val="center"/>
                </w:tcPr>
                <w:p w14:paraId="2D4F177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5D8B908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3</w:t>
                  </w:r>
                </w:p>
              </w:tc>
              <w:tc>
                <w:tcPr>
                  <w:tcW w:w="886" w:type="pct"/>
                  <w:tcBorders>
                    <w:tl2br w:val="nil"/>
                    <w:tr2bl w:val="nil"/>
                  </w:tcBorders>
                  <w:shd w:val="clear" w:color="auto" w:fill="auto"/>
                  <w:vAlign w:val="center"/>
                </w:tcPr>
                <w:p w14:paraId="3972C788">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restart"/>
                  <w:tcBorders>
                    <w:tl2br w:val="nil"/>
                    <w:tr2bl w:val="nil"/>
                  </w:tcBorders>
                  <w:shd w:val="clear" w:color="auto" w:fill="auto"/>
                  <w:vAlign w:val="center"/>
                </w:tcPr>
                <w:p w14:paraId="6B13D80A">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发泡车间</w:t>
                  </w:r>
                </w:p>
              </w:tc>
              <w:tc>
                <w:tcPr>
                  <w:tcW w:w="914" w:type="pct"/>
                  <w:tcBorders>
                    <w:tl2br w:val="nil"/>
                    <w:tr2bl w:val="nil"/>
                  </w:tcBorders>
                  <w:shd w:val="clear" w:color="auto" w:fill="auto"/>
                  <w:vAlign w:val="center"/>
                </w:tcPr>
                <w:p w14:paraId="644030BE">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4411F7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48ECEA7D">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5</w:t>
                  </w:r>
                </w:p>
              </w:tc>
              <w:tc>
                <w:tcPr>
                  <w:tcW w:w="801" w:type="pct"/>
                  <w:tcBorders>
                    <w:tl2br w:val="nil"/>
                    <w:tr2bl w:val="nil"/>
                  </w:tcBorders>
                  <w:shd w:val="clear" w:color="auto" w:fill="auto"/>
                  <w:vAlign w:val="center"/>
                </w:tcPr>
                <w:p w14:paraId="4BB7B464">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冷却塔</w:t>
                  </w:r>
                </w:p>
              </w:tc>
              <w:tc>
                <w:tcPr>
                  <w:tcW w:w="431" w:type="pct"/>
                  <w:tcBorders>
                    <w:tl2br w:val="nil"/>
                    <w:tr2bl w:val="nil"/>
                  </w:tcBorders>
                  <w:shd w:val="clear" w:color="auto" w:fill="auto"/>
                  <w:vAlign w:val="center"/>
                </w:tcPr>
                <w:p w14:paraId="3E8B8283">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5400497E">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128D27B9">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32CF95F3">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01FEDD2B">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54EDF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4C1A3513">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6</w:t>
                  </w:r>
                </w:p>
              </w:tc>
              <w:tc>
                <w:tcPr>
                  <w:tcW w:w="801" w:type="pct"/>
                  <w:tcBorders>
                    <w:tl2br w:val="nil"/>
                    <w:tr2bl w:val="nil"/>
                  </w:tcBorders>
                  <w:shd w:val="clear" w:color="auto" w:fill="auto"/>
                  <w:vAlign w:val="center"/>
                </w:tcPr>
                <w:p w14:paraId="3E9F9D13">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复合机</w:t>
                  </w:r>
                </w:p>
              </w:tc>
              <w:tc>
                <w:tcPr>
                  <w:tcW w:w="431" w:type="pct"/>
                  <w:tcBorders>
                    <w:tl2br w:val="nil"/>
                    <w:tr2bl w:val="nil"/>
                  </w:tcBorders>
                  <w:shd w:val="clear" w:color="auto" w:fill="auto"/>
                  <w:vAlign w:val="center"/>
                </w:tcPr>
                <w:p w14:paraId="4D53AB6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4B02C327">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w:t>
                  </w:r>
                </w:p>
              </w:tc>
              <w:tc>
                <w:tcPr>
                  <w:tcW w:w="886" w:type="pct"/>
                  <w:tcBorders>
                    <w:tl2br w:val="nil"/>
                    <w:tr2bl w:val="nil"/>
                  </w:tcBorders>
                  <w:shd w:val="clear" w:color="auto" w:fill="auto"/>
                  <w:vAlign w:val="center"/>
                </w:tcPr>
                <w:p w14:paraId="2C7CF39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restart"/>
                  <w:tcBorders>
                    <w:tl2br w:val="nil"/>
                    <w:tr2bl w:val="nil"/>
                  </w:tcBorders>
                  <w:shd w:val="clear" w:color="auto" w:fill="auto"/>
                  <w:vAlign w:val="center"/>
                </w:tcPr>
                <w:p w14:paraId="7F343F57">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复合车间</w:t>
                  </w:r>
                </w:p>
              </w:tc>
              <w:tc>
                <w:tcPr>
                  <w:tcW w:w="914" w:type="pct"/>
                  <w:tcBorders>
                    <w:tl2br w:val="nil"/>
                    <w:tr2bl w:val="nil"/>
                  </w:tcBorders>
                  <w:shd w:val="clear" w:color="auto" w:fill="auto"/>
                  <w:vAlign w:val="center"/>
                </w:tcPr>
                <w:p w14:paraId="2C9A750A">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24E474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7E352422">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7</w:t>
                  </w:r>
                </w:p>
              </w:tc>
              <w:tc>
                <w:tcPr>
                  <w:tcW w:w="801" w:type="pct"/>
                  <w:tcBorders>
                    <w:tl2br w:val="nil"/>
                    <w:tr2bl w:val="nil"/>
                  </w:tcBorders>
                  <w:shd w:val="clear" w:color="auto" w:fill="auto"/>
                  <w:vAlign w:val="center"/>
                </w:tcPr>
                <w:p w14:paraId="731DC6C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扎板机</w:t>
                  </w:r>
                </w:p>
              </w:tc>
              <w:tc>
                <w:tcPr>
                  <w:tcW w:w="431" w:type="pct"/>
                  <w:tcBorders>
                    <w:tl2br w:val="nil"/>
                    <w:tr2bl w:val="nil"/>
                  </w:tcBorders>
                  <w:shd w:val="clear" w:color="auto" w:fill="auto"/>
                  <w:vAlign w:val="center"/>
                </w:tcPr>
                <w:p w14:paraId="7C3836D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1067F015">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12DD9629">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79C35ADC">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1F4063E9">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07FEFA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28D9B8F8">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8</w:t>
                  </w:r>
                </w:p>
              </w:tc>
              <w:tc>
                <w:tcPr>
                  <w:tcW w:w="801" w:type="pct"/>
                  <w:tcBorders>
                    <w:tl2br w:val="nil"/>
                    <w:tr2bl w:val="nil"/>
                  </w:tcBorders>
                  <w:shd w:val="clear" w:color="auto" w:fill="auto"/>
                  <w:vAlign w:val="center"/>
                </w:tcPr>
                <w:p w14:paraId="29A4053D">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板材裁片机</w:t>
                  </w:r>
                </w:p>
              </w:tc>
              <w:tc>
                <w:tcPr>
                  <w:tcW w:w="431" w:type="pct"/>
                  <w:tcBorders>
                    <w:tl2br w:val="nil"/>
                    <w:tr2bl w:val="nil"/>
                  </w:tcBorders>
                  <w:shd w:val="clear" w:color="auto" w:fill="auto"/>
                  <w:vAlign w:val="center"/>
                </w:tcPr>
                <w:p w14:paraId="0888F27D">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5B2ABD7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w:t>
                  </w:r>
                </w:p>
              </w:tc>
              <w:tc>
                <w:tcPr>
                  <w:tcW w:w="886" w:type="pct"/>
                  <w:tcBorders>
                    <w:tl2br w:val="nil"/>
                    <w:tr2bl w:val="nil"/>
                  </w:tcBorders>
                  <w:shd w:val="clear" w:color="auto" w:fill="auto"/>
                  <w:vAlign w:val="center"/>
                </w:tcPr>
                <w:p w14:paraId="796C7F56">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7F971F5E">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56469381">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71E420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44E1AD2A">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9</w:t>
                  </w:r>
                </w:p>
              </w:tc>
              <w:tc>
                <w:tcPr>
                  <w:tcW w:w="801" w:type="pct"/>
                  <w:tcBorders>
                    <w:tl2br w:val="nil"/>
                    <w:tr2bl w:val="nil"/>
                  </w:tcBorders>
                  <w:shd w:val="clear" w:color="auto" w:fill="auto"/>
                  <w:vAlign w:val="center"/>
                </w:tcPr>
                <w:p w14:paraId="2E2C07B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增厚机</w:t>
                  </w:r>
                </w:p>
              </w:tc>
              <w:tc>
                <w:tcPr>
                  <w:tcW w:w="431" w:type="pct"/>
                  <w:tcBorders>
                    <w:tl2br w:val="nil"/>
                    <w:tr2bl w:val="nil"/>
                  </w:tcBorders>
                  <w:shd w:val="clear" w:color="auto" w:fill="auto"/>
                  <w:vAlign w:val="center"/>
                </w:tcPr>
                <w:p w14:paraId="37782D1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2BACC2A6">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7D654A7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395619CC">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12AC9C01">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1747CF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048063CB">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10</w:t>
                  </w:r>
                </w:p>
              </w:tc>
              <w:tc>
                <w:tcPr>
                  <w:tcW w:w="801" w:type="pct"/>
                  <w:tcBorders>
                    <w:tl2br w:val="nil"/>
                    <w:tr2bl w:val="nil"/>
                  </w:tcBorders>
                  <w:shd w:val="clear" w:color="auto" w:fill="auto"/>
                  <w:vAlign w:val="center"/>
                </w:tcPr>
                <w:p w14:paraId="5EF1487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覆膜机</w:t>
                  </w:r>
                </w:p>
              </w:tc>
              <w:tc>
                <w:tcPr>
                  <w:tcW w:w="431" w:type="pct"/>
                  <w:tcBorders>
                    <w:tl2br w:val="nil"/>
                    <w:tr2bl w:val="nil"/>
                  </w:tcBorders>
                  <w:shd w:val="clear" w:color="auto" w:fill="auto"/>
                  <w:vAlign w:val="center"/>
                </w:tcPr>
                <w:p w14:paraId="5A0DB7A8">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0CACA77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62FA7A37">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3245BF27">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4D92B2C7">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625FD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77021575">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11</w:t>
                  </w:r>
                </w:p>
              </w:tc>
              <w:tc>
                <w:tcPr>
                  <w:tcW w:w="801" w:type="pct"/>
                  <w:tcBorders>
                    <w:tl2br w:val="nil"/>
                    <w:tr2bl w:val="nil"/>
                  </w:tcBorders>
                  <w:shd w:val="clear" w:color="auto" w:fill="auto"/>
                  <w:vAlign w:val="center"/>
                </w:tcPr>
                <w:p w14:paraId="43EEFEE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冲压机</w:t>
                  </w:r>
                </w:p>
              </w:tc>
              <w:tc>
                <w:tcPr>
                  <w:tcW w:w="431" w:type="pct"/>
                  <w:tcBorders>
                    <w:tl2br w:val="nil"/>
                    <w:tr2bl w:val="nil"/>
                  </w:tcBorders>
                  <w:shd w:val="clear" w:color="auto" w:fill="auto"/>
                  <w:vAlign w:val="center"/>
                </w:tcPr>
                <w:p w14:paraId="2BDD565E">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48B353EB">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5</w:t>
                  </w:r>
                </w:p>
              </w:tc>
              <w:tc>
                <w:tcPr>
                  <w:tcW w:w="886" w:type="pct"/>
                  <w:tcBorders>
                    <w:tl2br w:val="nil"/>
                    <w:tr2bl w:val="nil"/>
                  </w:tcBorders>
                  <w:shd w:val="clear" w:color="auto" w:fill="auto"/>
                  <w:vAlign w:val="center"/>
                </w:tcPr>
                <w:p w14:paraId="329C2477">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restart"/>
                  <w:tcBorders>
                    <w:tl2br w:val="nil"/>
                    <w:tr2bl w:val="nil"/>
                  </w:tcBorders>
                  <w:shd w:val="clear" w:color="auto" w:fill="auto"/>
                  <w:vAlign w:val="center"/>
                </w:tcPr>
                <w:p w14:paraId="2B52477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深加工车间</w:t>
                  </w:r>
                </w:p>
              </w:tc>
              <w:tc>
                <w:tcPr>
                  <w:tcW w:w="914" w:type="pct"/>
                  <w:tcBorders>
                    <w:tl2br w:val="nil"/>
                    <w:tr2bl w:val="nil"/>
                  </w:tcBorders>
                  <w:shd w:val="clear" w:color="auto" w:fill="auto"/>
                  <w:vAlign w:val="center"/>
                </w:tcPr>
                <w:p w14:paraId="75749141">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7FEFF5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1749A87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12</w:t>
                  </w:r>
                </w:p>
              </w:tc>
              <w:tc>
                <w:tcPr>
                  <w:tcW w:w="801" w:type="pct"/>
                  <w:tcBorders>
                    <w:tl2br w:val="nil"/>
                    <w:tr2bl w:val="nil"/>
                  </w:tcBorders>
                  <w:shd w:val="clear" w:color="auto" w:fill="auto"/>
                  <w:vAlign w:val="center"/>
                </w:tcPr>
                <w:p w14:paraId="7329075F">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全自动冲压排废机</w:t>
                  </w:r>
                </w:p>
              </w:tc>
              <w:tc>
                <w:tcPr>
                  <w:tcW w:w="431" w:type="pct"/>
                  <w:tcBorders>
                    <w:tl2br w:val="nil"/>
                    <w:tr2bl w:val="nil"/>
                  </w:tcBorders>
                  <w:shd w:val="clear" w:color="auto" w:fill="auto"/>
                  <w:vAlign w:val="center"/>
                </w:tcPr>
                <w:p w14:paraId="200669DF">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62DA26B7">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w:t>
                  </w:r>
                </w:p>
              </w:tc>
              <w:tc>
                <w:tcPr>
                  <w:tcW w:w="886" w:type="pct"/>
                  <w:tcBorders>
                    <w:tl2br w:val="nil"/>
                    <w:tr2bl w:val="nil"/>
                  </w:tcBorders>
                  <w:shd w:val="clear" w:color="auto" w:fill="auto"/>
                  <w:vAlign w:val="center"/>
                </w:tcPr>
                <w:p w14:paraId="0C979413">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0E7AFE53">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0C95C82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1用1备</w:t>
                  </w:r>
                </w:p>
              </w:tc>
            </w:tr>
            <w:tr w14:paraId="14C520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43D3759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13</w:t>
                  </w:r>
                </w:p>
              </w:tc>
              <w:tc>
                <w:tcPr>
                  <w:tcW w:w="801" w:type="pct"/>
                  <w:tcBorders>
                    <w:tl2br w:val="nil"/>
                    <w:tr2bl w:val="nil"/>
                  </w:tcBorders>
                  <w:shd w:val="clear" w:color="auto" w:fill="auto"/>
                  <w:vAlign w:val="center"/>
                </w:tcPr>
                <w:p w14:paraId="322BC546">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排废机</w:t>
                  </w:r>
                </w:p>
              </w:tc>
              <w:tc>
                <w:tcPr>
                  <w:tcW w:w="431" w:type="pct"/>
                  <w:tcBorders>
                    <w:tl2br w:val="nil"/>
                    <w:tr2bl w:val="nil"/>
                  </w:tcBorders>
                  <w:shd w:val="clear" w:color="auto" w:fill="auto"/>
                  <w:vAlign w:val="center"/>
                </w:tcPr>
                <w:p w14:paraId="1D15C80F">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4104DE2E">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w:t>
                  </w:r>
                </w:p>
              </w:tc>
              <w:tc>
                <w:tcPr>
                  <w:tcW w:w="886" w:type="pct"/>
                  <w:tcBorders>
                    <w:tl2br w:val="nil"/>
                    <w:tr2bl w:val="nil"/>
                  </w:tcBorders>
                  <w:shd w:val="clear" w:color="auto" w:fill="auto"/>
                  <w:vAlign w:val="center"/>
                </w:tcPr>
                <w:p w14:paraId="4E8099BA">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49F2F3CF">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31B4D6A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移动式，备用</w:t>
                  </w:r>
                </w:p>
              </w:tc>
            </w:tr>
            <w:tr w14:paraId="153E5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3008671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14</w:t>
                  </w:r>
                </w:p>
              </w:tc>
              <w:tc>
                <w:tcPr>
                  <w:tcW w:w="801" w:type="pct"/>
                  <w:tcBorders>
                    <w:tl2br w:val="nil"/>
                    <w:tr2bl w:val="nil"/>
                  </w:tcBorders>
                  <w:shd w:val="clear" w:color="auto" w:fill="auto"/>
                  <w:vAlign w:val="center"/>
                </w:tcPr>
                <w:p w14:paraId="3A3C683A">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自动贴合机</w:t>
                  </w:r>
                </w:p>
              </w:tc>
              <w:tc>
                <w:tcPr>
                  <w:tcW w:w="431" w:type="pct"/>
                  <w:tcBorders>
                    <w:tl2br w:val="nil"/>
                    <w:tr2bl w:val="nil"/>
                  </w:tcBorders>
                  <w:shd w:val="clear" w:color="auto" w:fill="auto"/>
                  <w:vAlign w:val="center"/>
                </w:tcPr>
                <w:p w14:paraId="2E310325">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台</w:t>
                  </w:r>
                </w:p>
              </w:tc>
              <w:tc>
                <w:tcPr>
                  <w:tcW w:w="431" w:type="pct"/>
                  <w:tcBorders>
                    <w:tl2br w:val="nil"/>
                    <w:tr2bl w:val="nil"/>
                  </w:tcBorders>
                  <w:shd w:val="clear" w:color="auto" w:fill="auto"/>
                  <w:vAlign w:val="center"/>
                </w:tcPr>
                <w:p w14:paraId="3AFEE461">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3</w:t>
                  </w:r>
                </w:p>
              </w:tc>
              <w:tc>
                <w:tcPr>
                  <w:tcW w:w="886" w:type="pct"/>
                  <w:tcBorders>
                    <w:tl2br w:val="nil"/>
                    <w:tr2bl w:val="nil"/>
                  </w:tcBorders>
                  <w:shd w:val="clear" w:color="auto" w:fill="auto"/>
                  <w:vAlign w:val="center"/>
                </w:tcPr>
                <w:p w14:paraId="5CD67659">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58C98408">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5CDD4031">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2用1备</w:t>
                  </w:r>
                </w:p>
              </w:tc>
            </w:tr>
            <w:tr w14:paraId="7A4AF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72BA3493">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15</w:t>
                  </w:r>
                </w:p>
              </w:tc>
              <w:tc>
                <w:tcPr>
                  <w:tcW w:w="801" w:type="pct"/>
                  <w:tcBorders>
                    <w:tl2br w:val="nil"/>
                    <w:tr2bl w:val="nil"/>
                  </w:tcBorders>
                  <w:shd w:val="clear" w:color="auto" w:fill="auto"/>
                  <w:vAlign w:val="center"/>
                </w:tcPr>
                <w:p w14:paraId="429249D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胶机</w:t>
                  </w:r>
                </w:p>
              </w:tc>
              <w:tc>
                <w:tcPr>
                  <w:tcW w:w="431" w:type="pct"/>
                  <w:tcBorders>
                    <w:tl2br w:val="nil"/>
                    <w:tr2bl w:val="nil"/>
                  </w:tcBorders>
                  <w:shd w:val="clear" w:color="auto" w:fill="auto"/>
                  <w:vAlign w:val="center"/>
                </w:tcPr>
                <w:p w14:paraId="2023FBA2">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45A74CC9">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4</w:t>
                  </w:r>
                </w:p>
              </w:tc>
              <w:tc>
                <w:tcPr>
                  <w:tcW w:w="886" w:type="pct"/>
                  <w:tcBorders>
                    <w:tl2br w:val="nil"/>
                    <w:tr2bl w:val="nil"/>
                  </w:tcBorders>
                  <w:shd w:val="clear" w:color="auto" w:fill="auto"/>
                  <w:vAlign w:val="center"/>
                </w:tcPr>
                <w:p w14:paraId="4B949236">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601F8EB8">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05C1AC5A">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2用2备</w:t>
                  </w:r>
                </w:p>
              </w:tc>
            </w:tr>
            <w:tr w14:paraId="4D8F29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261EA82E">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16</w:t>
                  </w:r>
                </w:p>
              </w:tc>
              <w:tc>
                <w:tcPr>
                  <w:tcW w:w="801" w:type="pct"/>
                  <w:tcBorders>
                    <w:tl2br w:val="nil"/>
                    <w:tr2bl w:val="nil"/>
                  </w:tcBorders>
                  <w:shd w:val="clear" w:color="auto" w:fill="auto"/>
                  <w:vAlign w:val="center"/>
                </w:tcPr>
                <w:p w14:paraId="7482805D">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护边机</w:t>
                  </w:r>
                </w:p>
              </w:tc>
              <w:tc>
                <w:tcPr>
                  <w:tcW w:w="431" w:type="pct"/>
                  <w:tcBorders>
                    <w:tl2br w:val="nil"/>
                    <w:tr2bl w:val="nil"/>
                  </w:tcBorders>
                  <w:shd w:val="clear" w:color="auto" w:fill="auto"/>
                  <w:vAlign w:val="center"/>
                </w:tcPr>
                <w:p w14:paraId="12C796CB">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5D0544B2">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3361D7EE">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2F2AB41F">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0A2D71DF">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移动式，备用</w:t>
                  </w:r>
                </w:p>
              </w:tc>
            </w:tr>
            <w:tr w14:paraId="73FDDE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5D1D59E7">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17</w:t>
                  </w:r>
                </w:p>
              </w:tc>
              <w:tc>
                <w:tcPr>
                  <w:tcW w:w="801" w:type="pct"/>
                  <w:tcBorders>
                    <w:tl2br w:val="nil"/>
                    <w:tr2bl w:val="nil"/>
                  </w:tcBorders>
                  <w:shd w:val="clear" w:color="auto" w:fill="auto"/>
                  <w:vAlign w:val="center"/>
                </w:tcPr>
                <w:p w14:paraId="786144A7">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压棉机</w:t>
                  </w:r>
                </w:p>
              </w:tc>
              <w:tc>
                <w:tcPr>
                  <w:tcW w:w="431" w:type="pct"/>
                  <w:tcBorders>
                    <w:tl2br w:val="nil"/>
                    <w:tr2bl w:val="nil"/>
                  </w:tcBorders>
                  <w:shd w:val="clear" w:color="auto" w:fill="auto"/>
                  <w:vAlign w:val="center"/>
                </w:tcPr>
                <w:p w14:paraId="056C1D46">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0D563D3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2</w:t>
                  </w:r>
                </w:p>
              </w:tc>
              <w:tc>
                <w:tcPr>
                  <w:tcW w:w="886" w:type="pct"/>
                  <w:tcBorders>
                    <w:tl2br w:val="nil"/>
                    <w:tr2bl w:val="nil"/>
                  </w:tcBorders>
                  <w:shd w:val="clear" w:color="auto" w:fill="auto"/>
                  <w:vAlign w:val="center"/>
                </w:tcPr>
                <w:p w14:paraId="37D82F29">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18EF304C">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6DA3F89B">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64545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tcBorders>
                    <w:tl2br w:val="nil"/>
                    <w:tr2bl w:val="nil"/>
                  </w:tcBorders>
                  <w:shd w:val="clear" w:color="auto" w:fill="auto"/>
                  <w:vAlign w:val="center"/>
                </w:tcPr>
                <w:p w14:paraId="468AC5CA">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18</w:t>
                  </w:r>
                </w:p>
              </w:tc>
              <w:tc>
                <w:tcPr>
                  <w:tcW w:w="801" w:type="pct"/>
                  <w:tcBorders>
                    <w:tl2br w:val="nil"/>
                    <w:tr2bl w:val="nil"/>
                  </w:tcBorders>
                  <w:shd w:val="clear" w:color="auto" w:fill="auto"/>
                  <w:vAlign w:val="center"/>
                </w:tcPr>
                <w:p w14:paraId="3812436A">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封口机</w:t>
                  </w:r>
                </w:p>
              </w:tc>
              <w:tc>
                <w:tcPr>
                  <w:tcW w:w="431" w:type="pct"/>
                  <w:tcBorders>
                    <w:tl2br w:val="nil"/>
                    <w:tr2bl w:val="nil"/>
                  </w:tcBorders>
                  <w:shd w:val="clear" w:color="auto" w:fill="auto"/>
                  <w:vAlign w:val="center"/>
                </w:tcPr>
                <w:p w14:paraId="2BB5FD83">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2AF7CCA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170D6AF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64" w:type="pct"/>
                  <w:vMerge w:val="continue"/>
                  <w:tcBorders>
                    <w:tl2br w:val="nil"/>
                    <w:tr2bl w:val="nil"/>
                  </w:tcBorders>
                  <w:vAlign w:val="center"/>
                </w:tcPr>
                <w:p w14:paraId="4CE81FD3">
                  <w:pPr>
                    <w:spacing w:line="240" w:lineRule="auto"/>
                    <w:ind w:firstLine="0" w:firstLineChars="0"/>
                    <w:jc w:val="center"/>
                    <w:rPr>
                      <w:rFonts w:hint="default" w:ascii="Times New Roman" w:hAnsi="Times New Roman" w:cs="Times New Roman"/>
                      <w:b/>
                      <w:color w:val="auto"/>
                      <w:sz w:val="21"/>
                      <w:szCs w:val="21"/>
                    </w:rPr>
                  </w:pPr>
                </w:p>
              </w:tc>
              <w:tc>
                <w:tcPr>
                  <w:tcW w:w="914" w:type="pct"/>
                  <w:tcBorders>
                    <w:tl2br w:val="nil"/>
                    <w:tr2bl w:val="nil"/>
                  </w:tcBorders>
                  <w:shd w:val="clear" w:color="auto" w:fill="auto"/>
                  <w:vAlign w:val="center"/>
                </w:tcPr>
                <w:p w14:paraId="4ADE226F">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126D0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vMerge w:val="restart"/>
                  <w:tcBorders>
                    <w:tl2br w:val="nil"/>
                    <w:tr2bl w:val="nil"/>
                  </w:tcBorders>
                  <w:shd w:val="clear" w:color="auto" w:fill="auto"/>
                  <w:vAlign w:val="center"/>
                </w:tcPr>
                <w:p w14:paraId="76A5439E">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19</w:t>
                  </w:r>
                </w:p>
              </w:tc>
              <w:tc>
                <w:tcPr>
                  <w:tcW w:w="801" w:type="pct"/>
                  <w:vMerge w:val="restart"/>
                  <w:tcBorders>
                    <w:tl2br w:val="nil"/>
                    <w:tr2bl w:val="nil"/>
                  </w:tcBorders>
                  <w:shd w:val="clear" w:color="auto" w:fill="auto"/>
                  <w:vAlign w:val="center"/>
                </w:tcPr>
                <w:p w14:paraId="537A3A45">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风机</w:t>
                  </w:r>
                </w:p>
              </w:tc>
              <w:tc>
                <w:tcPr>
                  <w:tcW w:w="431" w:type="pct"/>
                  <w:tcBorders>
                    <w:tl2br w:val="nil"/>
                    <w:tr2bl w:val="nil"/>
                  </w:tcBorders>
                  <w:shd w:val="clear" w:color="auto" w:fill="auto"/>
                  <w:vAlign w:val="center"/>
                </w:tcPr>
                <w:p w14:paraId="0831A0E8">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7E29AACF">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5DE3DCCC">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SFG-3-2B，20000m</w:t>
                  </w:r>
                  <w:r>
                    <w:rPr>
                      <w:rFonts w:hint="default" w:ascii="Times New Roman" w:hAnsi="Times New Roman" w:cs="Times New Roman"/>
                      <w:color w:val="auto"/>
                      <w:sz w:val="21"/>
                      <w:vertAlign w:val="superscript"/>
                    </w:rPr>
                    <w:t>3</w:t>
                  </w:r>
                  <w:r>
                    <w:rPr>
                      <w:rFonts w:hint="default" w:ascii="Times New Roman" w:hAnsi="Times New Roman" w:cs="Times New Roman"/>
                      <w:color w:val="auto"/>
                      <w:sz w:val="21"/>
                    </w:rPr>
                    <w:t>/h</w:t>
                  </w:r>
                </w:p>
              </w:tc>
              <w:tc>
                <w:tcPr>
                  <w:tcW w:w="1164" w:type="pct"/>
                  <w:tcBorders>
                    <w:tl2br w:val="nil"/>
                    <w:tr2bl w:val="nil"/>
                  </w:tcBorders>
                  <w:shd w:val="clear" w:color="auto" w:fill="auto"/>
                  <w:vAlign w:val="center"/>
                </w:tcPr>
                <w:p w14:paraId="7D45D84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发泡车间西北侧</w:t>
                  </w:r>
                </w:p>
              </w:tc>
              <w:tc>
                <w:tcPr>
                  <w:tcW w:w="914" w:type="pct"/>
                  <w:tcBorders>
                    <w:tl2br w:val="nil"/>
                    <w:tr2bl w:val="nil"/>
                  </w:tcBorders>
                  <w:shd w:val="clear" w:color="auto" w:fill="auto"/>
                  <w:vAlign w:val="center"/>
                </w:tcPr>
                <w:p w14:paraId="6C45C0F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w:t>
                  </w:r>
                </w:p>
              </w:tc>
            </w:tr>
            <w:tr w14:paraId="51DBA8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vMerge w:val="continue"/>
                  <w:tcBorders>
                    <w:tl2br w:val="nil"/>
                    <w:tr2bl w:val="nil"/>
                  </w:tcBorders>
                  <w:shd w:val="clear" w:color="auto" w:fill="auto"/>
                  <w:vAlign w:val="center"/>
                </w:tcPr>
                <w:p w14:paraId="532CD9EC">
                  <w:pPr>
                    <w:pStyle w:val="11"/>
                    <w:keepLines/>
                    <w:widowControl/>
                    <w:spacing w:line="240" w:lineRule="auto"/>
                    <w:ind w:firstLine="0" w:firstLineChars="0"/>
                    <w:jc w:val="center"/>
                    <w:rPr>
                      <w:rFonts w:hint="default" w:ascii="Times New Roman" w:hAnsi="Times New Roman" w:cs="Times New Roman"/>
                      <w:color w:val="auto"/>
                      <w:sz w:val="21"/>
                    </w:rPr>
                  </w:pPr>
                </w:p>
              </w:tc>
              <w:tc>
                <w:tcPr>
                  <w:tcW w:w="801" w:type="pct"/>
                  <w:vMerge w:val="continue"/>
                  <w:tcBorders>
                    <w:tl2br w:val="nil"/>
                    <w:tr2bl w:val="nil"/>
                  </w:tcBorders>
                  <w:shd w:val="clear" w:color="auto" w:fill="auto"/>
                  <w:vAlign w:val="center"/>
                </w:tcPr>
                <w:p w14:paraId="4D33A1ED">
                  <w:pPr>
                    <w:pStyle w:val="11"/>
                    <w:keepLines/>
                    <w:widowControl/>
                    <w:spacing w:line="240" w:lineRule="auto"/>
                    <w:ind w:firstLine="0" w:firstLineChars="0"/>
                    <w:jc w:val="center"/>
                    <w:rPr>
                      <w:rFonts w:hint="default" w:ascii="Times New Roman" w:hAnsi="Times New Roman" w:cs="Times New Roman"/>
                      <w:color w:val="auto"/>
                      <w:sz w:val="21"/>
                    </w:rPr>
                  </w:pPr>
                </w:p>
              </w:tc>
              <w:tc>
                <w:tcPr>
                  <w:tcW w:w="431" w:type="pct"/>
                  <w:tcBorders>
                    <w:tl2br w:val="nil"/>
                    <w:tr2bl w:val="nil"/>
                  </w:tcBorders>
                  <w:shd w:val="clear" w:color="auto" w:fill="auto"/>
                  <w:vAlign w:val="center"/>
                </w:tcPr>
                <w:p w14:paraId="0B2DAA4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shd w:val="clear" w:color="auto" w:fill="auto"/>
                  <w:vAlign w:val="center"/>
                </w:tcPr>
                <w:p w14:paraId="63AAE193">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06B25C6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SFG-3-3B，14490m</w:t>
                  </w:r>
                  <w:r>
                    <w:rPr>
                      <w:rFonts w:hint="default" w:ascii="Times New Roman" w:hAnsi="Times New Roman" w:cs="Times New Roman"/>
                      <w:color w:val="auto"/>
                      <w:sz w:val="21"/>
                      <w:vertAlign w:val="superscript"/>
                    </w:rPr>
                    <w:t>3</w:t>
                  </w:r>
                  <w:r>
                    <w:rPr>
                      <w:rFonts w:hint="default" w:ascii="Times New Roman" w:hAnsi="Times New Roman" w:cs="Times New Roman"/>
                      <w:color w:val="auto"/>
                      <w:sz w:val="21"/>
                    </w:rPr>
                    <w:t>/h</w:t>
                  </w:r>
                </w:p>
              </w:tc>
              <w:tc>
                <w:tcPr>
                  <w:tcW w:w="1164" w:type="pct"/>
                  <w:tcBorders>
                    <w:tl2br w:val="nil"/>
                    <w:tr2bl w:val="nil"/>
                  </w:tcBorders>
                  <w:shd w:val="clear" w:color="auto" w:fill="auto"/>
                  <w:vAlign w:val="center"/>
                </w:tcPr>
                <w:p w14:paraId="398EB863">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复合车间东南侧</w:t>
                  </w:r>
                </w:p>
              </w:tc>
              <w:tc>
                <w:tcPr>
                  <w:tcW w:w="914" w:type="pct"/>
                  <w:tcBorders>
                    <w:tl2br w:val="nil"/>
                    <w:tr2bl w:val="nil"/>
                  </w:tcBorders>
                  <w:shd w:val="clear" w:color="auto" w:fill="auto"/>
                  <w:vAlign w:val="center"/>
                </w:tcPr>
                <w:p w14:paraId="512404B4">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3C0350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vMerge w:val="continue"/>
                  <w:tcBorders>
                    <w:tl2br w:val="nil"/>
                    <w:tr2bl w:val="nil"/>
                  </w:tcBorders>
                  <w:vAlign w:val="center"/>
                </w:tcPr>
                <w:p w14:paraId="55D7B88C">
                  <w:pPr>
                    <w:pStyle w:val="11"/>
                    <w:keepLines/>
                    <w:widowControl/>
                    <w:spacing w:line="240" w:lineRule="auto"/>
                    <w:ind w:firstLine="0" w:firstLineChars="0"/>
                    <w:jc w:val="center"/>
                    <w:rPr>
                      <w:rFonts w:hint="default" w:ascii="Times New Roman" w:hAnsi="Times New Roman" w:cs="Times New Roman"/>
                      <w:color w:val="auto"/>
                      <w:sz w:val="21"/>
                    </w:rPr>
                  </w:pPr>
                </w:p>
              </w:tc>
              <w:tc>
                <w:tcPr>
                  <w:tcW w:w="801" w:type="pct"/>
                  <w:vMerge w:val="continue"/>
                  <w:tcBorders>
                    <w:tl2br w:val="nil"/>
                    <w:tr2bl w:val="nil"/>
                  </w:tcBorders>
                  <w:vAlign w:val="center"/>
                </w:tcPr>
                <w:p w14:paraId="515DF000">
                  <w:pPr>
                    <w:pStyle w:val="11"/>
                    <w:keepLines/>
                    <w:widowControl/>
                    <w:spacing w:line="240" w:lineRule="auto"/>
                    <w:ind w:firstLine="0" w:firstLineChars="0"/>
                    <w:jc w:val="center"/>
                    <w:rPr>
                      <w:rFonts w:hint="default" w:ascii="Times New Roman" w:hAnsi="Times New Roman" w:cs="Times New Roman"/>
                      <w:color w:val="auto"/>
                      <w:sz w:val="21"/>
                    </w:rPr>
                  </w:pPr>
                </w:p>
              </w:tc>
              <w:tc>
                <w:tcPr>
                  <w:tcW w:w="431" w:type="pct"/>
                  <w:tcBorders>
                    <w:tl2br w:val="nil"/>
                    <w:tr2bl w:val="nil"/>
                  </w:tcBorders>
                  <w:vAlign w:val="center"/>
                </w:tcPr>
                <w:p w14:paraId="6CCB682D">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vAlign w:val="center"/>
                </w:tcPr>
                <w:p w14:paraId="39A713A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1B4E4AB0">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SFG-3-1A，30000m</w:t>
                  </w:r>
                  <w:r>
                    <w:rPr>
                      <w:rFonts w:hint="default" w:ascii="Times New Roman" w:hAnsi="Times New Roman" w:cs="Times New Roman"/>
                      <w:color w:val="auto"/>
                      <w:sz w:val="21"/>
                      <w:vertAlign w:val="superscript"/>
                    </w:rPr>
                    <w:t>3</w:t>
                  </w:r>
                  <w:r>
                    <w:rPr>
                      <w:rFonts w:hint="default" w:ascii="Times New Roman" w:hAnsi="Times New Roman" w:cs="Times New Roman"/>
                      <w:color w:val="auto"/>
                      <w:sz w:val="21"/>
                    </w:rPr>
                    <w:t>/h</w:t>
                  </w:r>
                </w:p>
              </w:tc>
              <w:tc>
                <w:tcPr>
                  <w:tcW w:w="1164" w:type="pct"/>
                  <w:tcBorders>
                    <w:tl2br w:val="nil"/>
                    <w:tr2bl w:val="nil"/>
                  </w:tcBorders>
                  <w:shd w:val="clear" w:color="auto" w:fill="auto"/>
                  <w:vAlign w:val="center"/>
                </w:tcPr>
                <w:p w14:paraId="48F9567D">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深加工车间西北侧</w:t>
                  </w:r>
                </w:p>
              </w:tc>
              <w:tc>
                <w:tcPr>
                  <w:tcW w:w="914" w:type="pct"/>
                  <w:tcBorders>
                    <w:tl2br w:val="nil"/>
                    <w:tr2bl w:val="nil"/>
                  </w:tcBorders>
                  <w:vAlign w:val="center"/>
                </w:tcPr>
                <w:p w14:paraId="222CC36E">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2E7C6C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70" w:type="pct"/>
                  <w:vMerge w:val="continue"/>
                  <w:tcBorders>
                    <w:tl2br w:val="nil"/>
                    <w:tr2bl w:val="nil"/>
                  </w:tcBorders>
                  <w:vAlign w:val="center"/>
                </w:tcPr>
                <w:p w14:paraId="4B250CD5">
                  <w:pPr>
                    <w:pStyle w:val="11"/>
                    <w:keepLines/>
                    <w:widowControl/>
                    <w:spacing w:line="240" w:lineRule="auto"/>
                    <w:ind w:firstLine="0" w:firstLineChars="0"/>
                    <w:jc w:val="center"/>
                    <w:rPr>
                      <w:rFonts w:hint="default" w:ascii="Times New Roman" w:hAnsi="Times New Roman" w:cs="Times New Roman"/>
                      <w:color w:val="auto"/>
                      <w:sz w:val="21"/>
                    </w:rPr>
                  </w:pPr>
                </w:p>
              </w:tc>
              <w:tc>
                <w:tcPr>
                  <w:tcW w:w="801" w:type="pct"/>
                  <w:vMerge w:val="continue"/>
                  <w:tcBorders>
                    <w:tl2br w:val="nil"/>
                    <w:tr2bl w:val="nil"/>
                  </w:tcBorders>
                  <w:vAlign w:val="center"/>
                </w:tcPr>
                <w:p w14:paraId="19C1D6EA">
                  <w:pPr>
                    <w:pStyle w:val="11"/>
                    <w:keepLines/>
                    <w:widowControl/>
                    <w:spacing w:line="240" w:lineRule="auto"/>
                    <w:ind w:firstLine="0" w:firstLineChars="0"/>
                    <w:jc w:val="center"/>
                    <w:rPr>
                      <w:rFonts w:hint="default" w:ascii="Times New Roman" w:hAnsi="Times New Roman" w:cs="Times New Roman"/>
                      <w:color w:val="auto"/>
                      <w:sz w:val="21"/>
                    </w:rPr>
                  </w:pPr>
                </w:p>
              </w:tc>
              <w:tc>
                <w:tcPr>
                  <w:tcW w:w="431" w:type="pct"/>
                  <w:tcBorders>
                    <w:tl2br w:val="nil"/>
                    <w:tr2bl w:val="nil"/>
                  </w:tcBorders>
                  <w:vAlign w:val="center"/>
                </w:tcPr>
                <w:p w14:paraId="23B7F4B6">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台</w:t>
                  </w:r>
                </w:p>
              </w:tc>
              <w:tc>
                <w:tcPr>
                  <w:tcW w:w="431" w:type="pct"/>
                  <w:tcBorders>
                    <w:tl2br w:val="nil"/>
                    <w:tr2bl w:val="nil"/>
                  </w:tcBorders>
                  <w:vAlign w:val="center"/>
                </w:tcPr>
                <w:p w14:paraId="46E42EB4">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886" w:type="pct"/>
                  <w:tcBorders>
                    <w:tl2br w:val="nil"/>
                    <w:tr2bl w:val="nil"/>
                  </w:tcBorders>
                  <w:shd w:val="clear" w:color="auto" w:fill="auto"/>
                  <w:vAlign w:val="center"/>
                </w:tcPr>
                <w:p w14:paraId="5E4B5787">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SF-4-2，11000m</w:t>
                  </w:r>
                  <w:r>
                    <w:rPr>
                      <w:rFonts w:hint="default" w:ascii="Times New Roman" w:hAnsi="Times New Roman" w:cs="Times New Roman"/>
                      <w:color w:val="auto"/>
                      <w:sz w:val="21"/>
                      <w:vertAlign w:val="superscript"/>
                    </w:rPr>
                    <w:t>3</w:t>
                  </w:r>
                  <w:r>
                    <w:rPr>
                      <w:rFonts w:hint="default" w:ascii="Times New Roman" w:hAnsi="Times New Roman" w:cs="Times New Roman"/>
                      <w:color w:val="auto"/>
                      <w:sz w:val="21"/>
                    </w:rPr>
                    <w:t>/h</w:t>
                  </w:r>
                </w:p>
              </w:tc>
              <w:tc>
                <w:tcPr>
                  <w:tcW w:w="1164" w:type="pct"/>
                  <w:tcBorders>
                    <w:tl2br w:val="nil"/>
                    <w:tr2bl w:val="nil"/>
                  </w:tcBorders>
                  <w:shd w:val="clear" w:color="auto" w:fill="auto"/>
                  <w:vAlign w:val="center"/>
                </w:tcPr>
                <w:p w14:paraId="5CD18373">
                  <w:pPr>
                    <w:pStyle w:val="11"/>
                    <w:keepLines/>
                    <w:widowControl/>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sz w:val="21"/>
                    </w:rPr>
                    <w:t>回收车间南侧</w:t>
                  </w:r>
                </w:p>
              </w:tc>
              <w:tc>
                <w:tcPr>
                  <w:tcW w:w="914" w:type="pct"/>
                  <w:tcBorders>
                    <w:tl2br w:val="nil"/>
                    <w:tr2bl w:val="nil"/>
                  </w:tcBorders>
                  <w:vAlign w:val="center"/>
                </w:tcPr>
                <w:p w14:paraId="271B1C11">
                  <w:pPr>
                    <w:keepLines/>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bl>
          <w:p w14:paraId="3CB9E40E">
            <w:pPr>
              <w:ind w:firstLine="482"/>
              <w:rPr>
                <w:rFonts w:hint="default" w:ascii="Times New Roman" w:hAnsi="Times New Roman" w:cs="Times New Roman"/>
                <w:b/>
                <w:bCs/>
                <w:color w:val="auto"/>
              </w:rPr>
            </w:pPr>
            <w:r>
              <w:rPr>
                <w:rFonts w:hint="default" w:ascii="Times New Roman" w:hAnsi="Times New Roman" w:cs="Times New Roman"/>
                <w:b/>
                <w:bCs/>
                <w:color w:val="auto"/>
              </w:rPr>
              <w:t>8、平面布置</w:t>
            </w:r>
          </w:p>
          <w:p w14:paraId="4DBFA16B">
            <w:pPr>
              <w:ind w:firstLine="480"/>
              <w:rPr>
                <w:rFonts w:hint="default" w:ascii="Times New Roman" w:hAnsi="Times New Roman" w:cs="Times New Roman"/>
                <w:color w:val="auto"/>
              </w:rPr>
            </w:pPr>
            <w:r>
              <w:rPr>
                <w:rFonts w:hint="default" w:ascii="Times New Roman" w:hAnsi="Times New Roman" w:cs="Times New Roman"/>
                <w:color w:val="auto"/>
              </w:rPr>
              <w:t>本项目厂区主要出入口设置在西南侧，因本项目产品体积较大，生产区及废气处理设施无法集中布设，结合生产工艺流程，生产厂房主要布置在厂区东侧及北侧区域，满足功能分区要求，交通运输顺畅，厂区中部、西部和东南部主要为仓库及宿舍，办公用房位于深加工车间二楼，食堂、餐厅位于厂区北侧中部区域，厂区西侧设置一座危废贮存库（20m</w:t>
            </w:r>
            <w:r>
              <w:rPr>
                <w:rFonts w:hint="default" w:ascii="Times New Roman" w:hAnsi="Times New Roman" w:cs="Times New Roman"/>
                <w:color w:val="auto"/>
                <w:vertAlign w:val="superscript"/>
              </w:rPr>
              <w:t>2</w:t>
            </w:r>
            <w:r>
              <w:rPr>
                <w:rFonts w:hint="default" w:ascii="Times New Roman" w:hAnsi="Times New Roman" w:cs="Times New Roman"/>
                <w:color w:val="auto"/>
              </w:rPr>
              <w:t>），厂区平面布置功能分区明确。项目平面布置图见附图4-附图7。</w:t>
            </w:r>
          </w:p>
          <w:p w14:paraId="67EDDB33">
            <w:pPr>
              <w:pStyle w:val="34"/>
              <w:ind w:firstLine="482"/>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9、劳动定员及工作制度</w:t>
            </w:r>
          </w:p>
          <w:p w14:paraId="3F8A10D9">
            <w:pPr>
              <w:pStyle w:val="23"/>
              <w:widowControl w:val="0"/>
              <w:kinsoku w:val="0"/>
              <w:overflowPunct w:val="0"/>
              <w:spacing w:before="0" w:beforeAutospacing="0" w:after="0" w:afterAutospacing="0"/>
              <w:ind w:firstLine="480"/>
              <w:jc w:val="both"/>
              <w:outlineLvl w:val="0"/>
              <w:rPr>
                <w:rFonts w:hint="default" w:ascii="Times New Roman" w:hAnsi="Times New Roman" w:cs="Times New Roman"/>
                <w:color w:val="auto"/>
                <w:szCs w:val="24"/>
              </w:rPr>
            </w:pPr>
            <w:r>
              <w:rPr>
                <w:rFonts w:hint="default" w:ascii="Times New Roman" w:hAnsi="Times New Roman" w:cs="Times New Roman"/>
                <w:color w:val="auto"/>
                <w:szCs w:val="24"/>
              </w:rPr>
              <w:t>项目建成后员工人数为60人，年生产280天，每天工作8h，其中发泡工序年生产</w:t>
            </w:r>
            <w:r>
              <w:rPr>
                <w:rFonts w:hint="default" w:ascii="Times New Roman" w:hAnsi="Times New Roman" w:cs="Times New Roman"/>
                <w:color w:val="auto"/>
                <w:szCs w:val="24"/>
                <w:lang w:val="en-US" w:eastAsia="zh-CN"/>
              </w:rPr>
              <w:t>90</w:t>
            </w:r>
            <w:r>
              <w:rPr>
                <w:rFonts w:hint="default" w:ascii="Times New Roman" w:hAnsi="Times New Roman" w:cs="Times New Roman"/>
                <w:color w:val="auto"/>
                <w:szCs w:val="24"/>
              </w:rPr>
              <w:t>d（每年</w:t>
            </w:r>
            <w:r>
              <w:rPr>
                <w:rFonts w:hint="default" w:ascii="Times New Roman" w:hAnsi="Times New Roman" w:cs="Times New Roman"/>
                <w:color w:val="auto"/>
                <w:szCs w:val="24"/>
                <w:highlight w:val="none"/>
              </w:rPr>
              <w:t>11月-次年2月发泡工序不进</w:t>
            </w:r>
            <w:r>
              <w:rPr>
                <w:rFonts w:hint="default" w:ascii="Times New Roman" w:hAnsi="Times New Roman" w:cs="Times New Roman"/>
                <w:color w:val="auto"/>
                <w:szCs w:val="24"/>
              </w:rPr>
              <w:t>行生产），其余工序全年正常生产。</w:t>
            </w:r>
          </w:p>
          <w:p w14:paraId="2B6C62EF">
            <w:pPr>
              <w:ind w:left="-2" w:leftChars="-1" w:firstLine="525" w:firstLineChars="218"/>
              <w:rPr>
                <w:rFonts w:hint="default" w:ascii="Times New Roman" w:hAnsi="Times New Roman" w:cs="Times New Roman"/>
                <w:b/>
                <w:bCs/>
                <w:color w:val="auto"/>
                <w:kern w:val="0"/>
              </w:rPr>
            </w:pPr>
            <w:r>
              <w:rPr>
                <w:rFonts w:hint="default" w:ascii="Times New Roman" w:hAnsi="Times New Roman" w:cs="Times New Roman"/>
                <w:b/>
                <w:bCs/>
                <w:color w:val="auto"/>
                <w:kern w:val="0"/>
              </w:rPr>
              <w:t>10、公用工程</w:t>
            </w:r>
          </w:p>
          <w:p w14:paraId="6B3FDFF6">
            <w:pPr>
              <w:ind w:firstLine="480"/>
              <w:rPr>
                <w:rFonts w:hint="default" w:ascii="Times New Roman" w:hAnsi="Times New Roman" w:cs="Times New Roman"/>
                <w:bCs/>
                <w:color w:val="auto"/>
                <w:kern w:val="21"/>
              </w:rPr>
            </w:pPr>
            <w:r>
              <w:rPr>
                <w:rFonts w:hint="default" w:ascii="Times New Roman" w:hAnsi="Times New Roman" w:cs="Times New Roman"/>
                <w:bCs/>
                <w:color w:val="auto"/>
                <w:kern w:val="21"/>
              </w:rPr>
              <w:t>（1）供电</w:t>
            </w:r>
          </w:p>
          <w:p w14:paraId="533CAE98">
            <w:pPr>
              <w:ind w:firstLine="480"/>
              <w:rPr>
                <w:rFonts w:hint="default" w:ascii="Times New Roman" w:hAnsi="Times New Roman" w:cs="Times New Roman"/>
                <w:bCs/>
                <w:color w:val="auto"/>
                <w:kern w:val="21"/>
              </w:rPr>
            </w:pPr>
            <w:r>
              <w:rPr>
                <w:rFonts w:hint="default" w:ascii="Times New Roman" w:hAnsi="Times New Roman" w:cs="Times New Roman"/>
                <w:bCs/>
                <w:color w:val="auto"/>
                <w:kern w:val="21"/>
              </w:rPr>
              <w:t>用电依托原有供电线路，由西安市沣东新城斗门街道市政电网供给。</w:t>
            </w:r>
          </w:p>
          <w:p w14:paraId="6DDA7CD8">
            <w:pPr>
              <w:ind w:firstLine="480"/>
              <w:rPr>
                <w:rFonts w:hint="default" w:ascii="Times New Roman" w:hAnsi="Times New Roman" w:cs="Times New Roman"/>
                <w:bCs/>
                <w:color w:val="auto"/>
                <w:kern w:val="21"/>
              </w:rPr>
            </w:pPr>
            <w:r>
              <w:rPr>
                <w:rFonts w:hint="default" w:ascii="Times New Roman" w:hAnsi="Times New Roman" w:cs="Times New Roman"/>
                <w:bCs/>
                <w:color w:val="auto"/>
                <w:kern w:val="21"/>
              </w:rPr>
              <w:t>（2）给水</w:t>
            </w:r>
          </w:p>
          <w:p w14:paraId="012B0B01">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项目租赁现有厂房，给水依托原有给水管网。本项目用水主要为职工生活用水及循环冷却补充水。</w:t>
            </w:r>
          </w:p>
          <w:p w14:paraId="29B6E88C">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①员工生活用水</w:t>
            </w:r>
          </w:p>
          <w:p w14:paraId="67C94401">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本项目运营后设置工作人员60人，其中住宿员工20人，剩余40人不在厂区住宿。根据《行业用水定额》（DB61/T943-2020）并</w:t>
            </w:r>
            <w:r>
              <w:rPr>
                <w:rFonts w:hint="default" w:ascii="Times New Roman" w:hAnsi="Times New Roman" w:cs="Times New Roman"/>
                <w:snapToGrid w:val="0"/>
                <w:color w:val="auto"/>
              </w:rPr>
              <w:t>结合项目实际情况，住宿员工生活用水取70L/（人·d），即19.6m</w:t>
            </w:r>
            <w:r>
              <w:rPr>
                <w:rFonts w:hint="default" w:ascii="Times New Roman" w:hAnsi="Times New Roman" w:cs="Times New Roman"/>
                <w:snapToGrid w:val="0"/>
                <w:color w:val="auto"/>
                <w:vertAlign w:val="superscript"/>
              </w:rPr>
              <w:t>3</w:t>
            </w:r>
            <w:r>
              <w:rPr>
                <w:rFonts w:hint="default" w:ascii="Times New Roman" w:hAnsi="Times New Roman" w:cs="Times New Roman"/>
                <w:snapToGrid w:val="0"/>
                <w:color w:val="auto"/>
              </w:rPr>
              <w:t>/（人·a），不住宿员工生活用水取10m</w:t>
            </w:r>
            <w:r>
              <w:rPr>
                <w:rFonts w:hint="default" w:ascii="Times New Roman" w:hAnsi="Times New Roman" w:cs="Times New Roman"/>
                <w:snapToGrid w:val="0"/>
                <w:color w:val="auto"/>
                <w:vertAlign w:val="superscript"/>
              </w:rPr>
              <w:t>3</w:t>
            </w:r>
            <w:r>
              <w:rPr>
                <w:rFonts w:hint="default" w:ascii="Times New Roman" w:hAnsi="Times New Roman" w:cs="Times New Roman"/>
                <w:snapToGrid w:val="0"/>
                <w:color w:val="auto"/>
              </w:rPr>
              <w:t>/（人·a），则员工生活办公用水</w:t>
            </w:r>
            <w:r>
              <w:rPr>
                <w:rFonts w:hint="default" w:ascii="Times New Roman" w:hAnsi="Times New Roman" w:cs="Times New Roman"/>
                <w:color w:val="auto"/>
              </w:rPr>
              <w:t>量为792</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rPr>
              <w:t>/a，2.83</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rPr>
              <w:t>/d，废水产生系数按0.8计，则产生废水量为633.6</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rPr>
              <w:t>/a，2.26</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rPr>
              <w:t>/d。</w:t>
            </w:r>
          </w:p>
          <w:p w14:paraId="289C1790">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②食堂用水</w:t>
            </w:r>
          </w:p>
          <w:p w14:paraId="64A6BC48">
            <w:pPr>
              <w:ind w:firstLine="480"/>
              <w:textAlignment w:val="baseline"/>
              <w:rPr>
                <w:rFonts w:hint="default" w:ascii="Times New Roman" w:hAnsi="Times New Roman" w:cs="Times New Roman"/>
                <w:b/>
                <w:bCs/>
                <w:color w:val="auto"/>
              </w:rPr>
            </w:pPr>
            <w:r>
              <w:rPr>
                <w:rFonts w:hint="default" w:ascii="Times New Roman" w:hAnsi="Times New Roman" w:cs="Times New Roman"/>
                <w:color w:val="auto"/>
              </w:rPr>
              <w:t>参考《行业用水定额》（DB61/T943-2020）并结合实际情况，本项目食堂用水18L/（人·次），本项目提供两餐，日就餐人数60人，则食堂用水量为2.16m</w:t>
            </w:r>
            <w:r>
              <w:rPr>
                <w:rFonts w:hint="default" w:ascii="Times New Roman" w:hAnsi="Times New Roman" w:cs="Times New Roman"/>
                <w:color w:val="auto"/>
                <w:vertAlign w:val="superscript"/>
              </w:rPr>
              <w:t>3</w:t>
            </w:r>
            <w:r>
              <w:rPr>
                <w:rFonts w:hint="default" w:ascii="Times New Roman" w:hAnsi="Times New Roman" w:cs="Times New Roman"/>
                <w:color w:val="auto"/>
              </w:rPr>
              <w:t>/d，604.8m</w:t>
            </w:r>
            <w:r>
              <w:rPr>
                <w:rFonts w:hint="default" w:ascii="Times New Roman" w:hAnsi="Times New Roman" w:cs="Times New Roman"/>
                <w:color w:val="auto"/>
                <w:vertAlign w:val="superscript"/>
              </w:rPr>
              <w:t>3</w:t>
            </w:r>
            <w:r>
              <w:rPr>
                <w:rFonts w:hint="default" w:ascii="Times New Roman" w:hAnsi="Times New Roman" w:cs="Times New Roman"/>
                <w:color w:val="auto"/>
              </w:rPr>
              <w:t>/a。餐饮废水排放系数为80%，则废水量为1.73m</w:t>
            </w:r>
            <w:r>
              <w:rPr>
                <w:rFonts w:hint="default" w:ascii="Times New Roman" w:hAnsi="Times New Roman" w:cs="Times New Roman"/>
                <w:color w:val="auto"/>
                <w:vertAlign w:val="superscript"/>
              </w:rPr>
              <w:t>3</w:t>
            </w:r>
            <w:r>
              <w:rPr>
                <w:rFonts w:hint="default" w:ascii="Times New Roman" w:hAnsi="Times New Roman" w:cs="Times New Roman"/>
                <w:color w:val="auto"/>
              </w:rPr>
              <w:t>/d，483.84m</w:t>
            </w:r>
            <w:r>
              <w:rPr>
                <w:rFonts w:hint="default" w:ascii="Times New Roman" w:hAnsi="Times New Roman" w:cs="Times New Roman"/>
                <w:color w:val="auto"/>
                <w:vertAlign w:val="superscript"/>
              </w:rPr>
              <w:t>3</w:t>
            </w:r>
            <w:r>
              <w:rPr>
                <w:rFonts w:hint="default" w:ascii="Times New Roman" w:hAnsi="Times New Roman" w:cs="Times New Roman"/>
                <w:color w:val="auto"/>
              </w:rPr>
              <w:t>/a。</w:t>
            </w:r>
          </w:p>
          <w:p w14:paraId="5D6213CD">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③生产用水</w:t>
            </w:r>
          </w:p>
          <w:p w14:paraId="02042BAC">
            <w:pPr>
              <w:ind w:firstLine="480"/>
              <w:rPr>
                <w:rFonts w:hint="default" w:ascii="Times New Roman" w:hAnsi="Times New Roman" w:cs="Times New Roman"/>
                <w:color w:val="auto"/>
              </w:rPr>
            </w:pPr>
            <w:r>
              <w:rPr>
                <w:rFonts w:hint="default" w:ascii="Times New Roman" w:hAnsi="Times New Roman" w:cs="Times New Roman"/>
                <w:color w:val="auto"/>
              </w:rPr>
              <w:t>根据企业提供资料，本项目发泡挤出后的物料需要通过循环水对其间接冷却，发泡工序年生产180d，循环水量约为5.0m</w:t>
            </w:r>
            <w:r>
              <w:rPr>
                <w:rFonts w:hint="default" w:ascii="Times New Roman" w:hAnsi="Times New Roman" w:cs="Times New Roman"/>
                <w:color w:val="auto"/>
                <w:vertAlign w:val="superscript"/>
              </w:rPr>
              <w:t>3</w:t>
            </w:r>
            <w:r>
              <w:rPr>
                <w:rFonts w:hint="default" w:ascii="Times New Roman" w:hAnsi="Times New Roman" w:cs="Times New Roman"/>
                <w:color w:val="auto"/>
              </w:rPr>
              <w:t>/d，900m</w:t>
            </w:r>
            <w:r>
              <w:rPr>
                <w:rFonts w:hint="default" w:ascii="Times New Roman" w:hAnsi="Times New Roman" w:cs="Times New Roman"/>
                <w:color w:val="auto"/>
                <w:vertAlign w:val="superscript"/>
              </w:rPr>
              <w:t>3</w:t>
            </w:r>
            <w:r>
              <w:rPr>
                <w:rFonts w:hint="default" w:ascii="Times New Roman" w:hAnsi="Times New Roman" w:cs="Times New Roman"/>
                <w:color w:val="auto"/>
              </w:rPr>
              <w:t>/a，每日水量损耗量约为10%，定期补充，循环冷却水系统定期产生排污水0.01m</w:t>
            </w:r>
            <w:r>
              <w:rPr>
                <w:rFonts w:hint="default" w:ascii="Times New Roman" w:hAnsi="Times New Roman" w:cs="Times New Roman"/>
                <w:color w:val="auto"/>
                <w:vertAlign w:val="superscript"/>
              </w:rPr>
              <w:t>3</w:t>
            </w:r>
            <w:r>
              <w:rPr>
                <w:rFonts w:hint="default" w:ascii="Times New Roman" w:hAnsi="Times New Roman" w:cs="Times New Roman"/>
                <w:color w:val="auto"/>
              </w:rPr>
              <w:t>/d，1.80m</w:t>
            </w:r>
            <w:r>
              <w:rPr>
                <w:rFonts w:hint="default" w:ascii="Times New Roman" w:hAnsi="Times New Roman" w:cs="Times New Roman"/>
                <w:color w:val="auto"/>
                <w:vertAlign w:val="superscript"/>
              </w:rPr>
              <w:t>3</w:t>
            </w:r>
            <w:r>
              <w:rPr>
                <w:rFonts w:hint="default" w:ascii="Times New Roman" w:hAnsi="Times New Roman" w:cs="Times New Roman"/>
                <w:color w:val="auto"/>
              </w:rPr>
              <w:t>/a，则补充新鲜水量为0.51m</w:t>
            </w:r>
            <w:r>
              <w:rPr>
                <w:rFonts w:hint="default" w:ascii="Times New Roman" w:hAnsi="Times New Roman" w:cs="Times New Roman"/>
                <w:color w:val="auto"/>
                <w:vertAlign w:val="superscript"/>
              </w:rPr>
              <w:t>3</w:t>
            </w:r>
            <w:r>
              <w:rPr>
                <w:rFonts w:hint="default" w:ascii="Times New Roman" w:hAnsi="Times New Roman" w:cs="Times New Roman"/>
                <w:color w:val="auto"/>
              </w:rPr>
              <w:t>/d，91.8m</w:t>
            </w:r>
            <w:r>
              <w:rPr>
                <w:rFonts w:hint="default" w:ascii="Times New Roman" w:hAnsi="Times New Roman" w:cs="Times New Roman"/>
                <w:color w:val="auto"/>
                <w:vertAlign w:val="superscript"/>
              </w:rPr>
              <w:t>3</w:t>
            </w:r>
            <w:r>
              <w:rPr>
                <w:rFonts w:hint="default" w:ascii="Times New Roman" w:hAnsi="Times New Roman" w:cs="Times New Roman"/>
                <w:color w:val="auto"/>
              </w:rPr>
              <w:t>/a。</w:t>
            </w:r>
          </w:p>
          <w:p w14:paraId="4163DFD8">
            <w:pPr>
              <w:ind w:firstLine="480"/>
              <w:rPr>
                <w:rFonts w:hint="default" w:ascii="Times New Roman" w:hAnsi="Times New Roman" w:cs="Times New Roman"/>
                <w:color w:val="auto"/>
              </w:rPr>
            </w:pPr>
            <w:r>
              <w:rPr>
                <w:rFonts w:hint="default" w:ascii="Times New Roman" w:hAnsi="Times New Roman" w:cs="Times New Roman"/>
                <w:color w:val="auto"/>
              </w:rPr>
              <w:t>（3）排水</w:t>
            </w:r>
          </w:p>
          <w:p w14:paraId="00D84AD6">
            <w:pPr>
              <w:ind w:firstLine="480"/>
              <w:rPr>
                <w:rFonts w:hint="default" w:ascii="Times New Roman" w:hAnsi="Times New Roman" w:cs="Times New Roman"/>
                <w:color w:val="auto"/>
              </w:rPr>
            </w:pPr>
            <w:r>
              <w:rPr>
                <w:rFonts w:hint="default" w:ascii="Times New Roman" w:hAnsi="Times New Roman" w:cs="Times New Roman"/>
                <w:color w:val="auto"/>
              </w:rPr>
              <w:t>项目排水采用雨污分流制，雨水经厂区内雨水系统排出厂外，</w:t>
            </w:r>
            <w:r>
              <w:rPr>
                <w:rFonts w:hint="default" w:ascii="Times New Roman" w:hAnsi="Times New Roman" w:eastAsia="宋体" w:cs="Times New Roman"/>
                <w:color w:val="auto"/>
              </w:rPr>
              <w:t>设备冷却水通过循环冷却水系统循环使用，定期补充新鲜水，</w:t>
            </w:r>
            <w:r>
              <w:rPr>
                <w:rFonts w:hint="default" w:ascii="Times New Roman" w:hAnsi="Times New Roman" w:eastAsia="宋体" w:cs="Times New Roman"/>
                <w:color w:val="auto"/>
              </w:rPr>
              <w:t>循环冷却水系统产生的排污水用于厂区</w:t>
            </w:r>
            <w:r>
              <w:rPr>
                <w:rFonts w:hint="default" w:ascii="Times New Roman" w:hAnsi="Times New Roman" w:eastAsia="宋体" w:cs="Times New Roman"/>
                <w:color w:val="auto"/>
                <w:lang w:val="en-US" w:eastAsia="zh-CN"/>
              </w:rPr>
              <w:t>洒水降尘</w:t>
            </w:r>
            <w:r>
              <w:rPr>
                <w:rFonts w:hint="default" w:ascii="Times New Roman" w:hAnsi="Times New Roman" w:eastAsia="宋体" w:cs="Times New Roman"/>
                <w:color w:val="auto"/>
              </w:rPr>
              <w:t>；食堂废水经油水分离器处理后和生活污水进入厂区化粪池进行处理后定期清掏肥田，不外排。</w:t>
            </w:r>
          </w:p>
          <w:p w14:paraId="2535238A">
            <w:pPr>
              <w:ind w:firstLine="480"/>
              <w:rPr>
                <w:rFonts w:hint="default" w:ascii="Times New Roman" w:hAnsi="Times New Roman" w:cs="Times New Roman"/>
                <w:color w:val="auto"/>
              </w:rPr>
            </w:pPr>
            <w:r>
              <w:rPr>
                <w:rFonts w:hint="default" w:ascii="Times New Roman" w:hAnsi="Times New Roman" w:cs="Times New Roman"/>
                <w:color w:val="auto"/>
              </w:rPr>
              <w:t>本项目用水、排水一览表见下表，水平衡图见下图：</w:t>
            </w:r>
          </w:p>
          <w:p w14:paraId="7DEA0E7F">
            <w:pPr>
              <w:keepNext/>
              <w:spacing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表2-6  项目用排水情况一览表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1163"/>
              <w:gridCol w:w="1210"/>
              <w:gridCol w:w="1210"/>
              <w:gridCol w:w="1210"/>
              <w:gridCol w:w="2898"/>
            </w:tblGrid>
            <w:tr w14:paraId="6C1B7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8" w:type="pct"/>
                  <w:gridSpan w:val="2"/>
                  <w:tcBorders>
                    <w:tl2br w:val="nil"/>
                    <w:tr2bl w:val="nil"/>
                  </w:tcBorders>
                  <w:vAlign w:val="center"/>
                </w:tcPr>
                <w:p w14:paraId="5C0D369B">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721" w:type="pct"/>
                  <w:tcBorders>
                    <w:tl2br w:val="nil"/>
                    <w:tr2bl w:val="nil"/>
                  </w:tcBorders>
                  <w:vAlign w:val="center"/>
                </w:tcPr>
                <w:p w14:paraId="263025F9">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新鲜水用量（m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/d）</w:t>
                  </w:r>
                </w:p>
              </w:tc>
              <w:tc>
                <w:tcPr>
                  <w:tcW w:w="721" w:type="pct"/>
                  <w:tcBorders>
                    <w:tl2br w:val="nil"/>
                    <w:tr2bl w:val="nil"/>
                  </w:tcBorders>
                  <w:vAlign w:val="center"/>
                </w:tcPr>
                <w:p w14:paraId="32F21306">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损耗量</w:t>
                  </w:r>
                </w:p>
                <w:p w14:paraId="0FFFDF1A">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/d）</w:t>
                  </w:r>
                </w:p>
              </w:tc>
              <w:tc>
                <w:tcPr>
                  <w:tcW w:w="721" w:type="pct"/>
                  <w:tcBorders>
                    <w:tl2br w:val="nil"/>
                    <w:tr2bl w:val="nil"/>
                  </w:tcBorders>
                  <w:vAlign w:val="center"/>
                </w:tcPr>
                <w:p w14:paraId="500ACC1E">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排水量</w:t>
                  </w:r>
                </w:p>
                <w:p w14:paraId="2C71C96E">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/d）</w:t>
                  </w:r>
                </w:p>
              </w:tc>
              <w:tc>
                <w:tcPr>
                  <w:tcW w:w="1726" w:type="pct"/>
                  <w:tcBorders>
                    <w:tl2br w:val="nil"/>
                    <w:tr2bl w:val="nil"/>
                  </w:tcBorders>
                  <w:vAlign w:val="center"/>
                </w:tcPr>
                <w:p w14:paraId="525AB7FC">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排放去向</w:t>
                  </w:r>
                </w:p>
              </w:tc>
            </w:tr>
            <w:tr w14:paraId="6AF672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8" w:type="pct"/>
                  <w:gridSpan w:val="2"/>
                  <w:vAlign w:val="center"/>
                </w:tcPr>
                <w:p w14:paraId="3918EE7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生活用水</w:t>
                  </w:r>
                </w:p>
              </w:tc>
              <w:tc>
                <w:tcPr>
                  <w:tcW w:w="721" w:type="pct"/>
                  <w:vAlign w:val="center"/>
                </w:tcPr>
                <w:p w14:paraId="08D6BBA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2.83</w:t>
                  </w:r>
                </w:p>
              </w:tc>
              <w:tc>
                <w:tcPr>
                  <w:tcW w:w="721" w:type="pct"/>
                  <w:vAlign w:val="center"/>
                </w:tcPr>
                <w:p w14:paraId="63DC7E8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0.57</w:t>
                  </w:r>
                </w:p>
              </w:tc>
              <w:tc>
                <w:tcPr>
                  <w:tcW w:w="721" w:type="pct"/>
                  <w:vAlign w:val="center"/>
                </w:tcPr>
                <w:p w14:paraId="7ED13DA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2.26</w:t>
                  </w:r>
                </w:p>
              </w:tc>
              <w:tc>
                <w:tcPr>
                  <w:tcW w:w="1726" w:type="pct"/>
                  <w:vAlign w:val="center"/>
                </w:tcPr>
                <w:p w14:paraId="155B132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经厂区化粪池处理后定期清掏肥田，不外排</w:t>
                  </w:r>
                </w:p>
              </w:tc>
            </w:tr>
            <w:tr w14:paraId="456B8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8" w:type="pct"/>
                  <w:gridSpan w:val="2"/>
                  <w:vAlign w:val="center"/>
                </w:tcPr>
                <w:p w14:paraId="414D608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食堂用水</w:t>
                  </w:r>
                </w:p>
              </w:tc>
              <w:tc>
                <w:tcPr>
                  <w:tcW w:w="721" w:type="pct"/>
                  <w:vAlign w:val="center"/>
                </w:tcPr>
                <w:p w14:paraId="3757CA2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2.16</w:t>
                  </w:r>
                </w:p>
              </w:tc>
              <w:tc>
                <w:tcPr>
                  <w:tcW w:w="721" w:type="pct"/>
                  <w:vAlign w:val="center"/>
                </w:tcPr>
                <w:p w14:paraId="67E3DD0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0.43</w:t>
                  </w:r>
                </w:p>
              </w:tc>
              <w:tc>
                <w:tcPr>
                  <w:tcW w:w="721" w:type="pct"/>
                  <w:vAlign w:val="center"/>
                </w:tcPr>
                <w:p w14:paraId="78BC074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1.73</w:t>
                  </w:r>
                </w:p>
              </w:tc>
              <w:tc>
                <w:tcPr>
                  <w:tcW w:w="1726" w:type="pct"/>
                  <w:vAlign w:val="center"/>
                </w:tcPr>
                <w:p w14:paraId="2035FAA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经油水分离器处理后进入厂区化粪池处理，定期清掏肥田，不外排</w:t>
                  </w:r>
                </w:p>
              </w:tc>
            </w:tr>
            <w:tr w14:paraId="17144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Align w:val="center"/>
                </w:tcPr>
                <w:p w14:paraId="508A22C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生产用水</w:t>
                  </w:r>
                </w:p>
              </w:tc>
              <w:tc>
                <w:tcPr>
                  <w:tcW w:w="692" w:type="pct"/>
                  <w:vAlign w:val="center"/>
                </w:tcPr>
                <w:p w14:paraId="344ECB8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循环冷却补充水</w:t>
                  </w:r>
                </w:p>
              </w:tc>
              <w:tc>
                <w:tcPr>
                  <w:tcW w:w="721" w:type="pct"/>
                  <w:vAlign w:val="center"/>
                </w:tcPr>
                <w:p w14:paraId="1E3AF11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0.51</w:t>
                  </w:r>
                </w:p>
              </w:tc>
              <w:tc>
                <w:tcPr>
                  <w:tcW w:w="721" w:type="pct"/>
                  <w:vAlign w:val="center"/>
                </w:tcPr>
                <w:p w14:paraId="75360DC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0.50</w:t>
                  </w:r>
                </w:p>
              </w:tc>
              <w:tc>
                <w:tcPr>
                  <w:tcW w:w="721" w:type="pct"/>
                  <w:vAlign w:val="center"/>
                </w:tcPr>
                <w:p w14:paraId="61DFC4D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0.01</w:t>
                  </w:r>
                </w:p>
              </w:tc>
              <w:tc>
                <w:tcPr>
                  <w:tcW w:w="1726" w:type="pct"/>
                  <w:vAlign w:val="center"/>
                </w:tcPr>
                <w:p w14:paraId="5FDE840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循环使用，定期补充，</w:t>
                  </w:r>
                  <w:r>
                    <w:rPr>
                      <w:rFonts w:hint="default" w:ascii="Times New Roman" w:hAnsi="Times New Roman" w:cs="Times New Roman"/>
                      <w:color w:val="auto"/>
                      <w:sz w:val="21"/>
                      <w:szCs w:val="21"/>
                    </w:rPr>
                    <w:t>循环冷却水系统产生的排污水用于厂区</w:t>
                  </w:r>
                  <w:r>
                    <w:rPr>
                      <w:rFonts w:hint="default" w:ascii="Times New Roman" w:hAnsi="Times New Roman" w:cs="Times New Roman"/>
                      <w:color w:val="auto"/>
                      <w:sz w:val="21"/>
                      <w:szCs w:val="21"/>
                      <w:lang w:val="en-US" w:eastAsia="zh-CN"/>
                    </w:rPr>
                    <w:t>洒水降尘</w:t>
                  </w:r>
                </w:p>
              </w:tc>
            </w:tr>
            <w:tr w14:paraId="02F860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8" w:type="pct"/>
                  <w:gridSpan w:val="2"/>
                  <w:vAlign w:val="center"/>
                </w:tcPr>
                <w:p w14:paraId="5097B8C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合计</w:t>
                  </w:r>
                </w:p>
              </w:tc>
              <w:tc>
                <w:tcPr>
                  <w:tcW w:w="721" w:type="pct"/>
                  <w:shd w:val="clear" w:color="auto" w:fill="auto"/>
                  <w:vAlign w:val="center"/>
                </w:tcPr>
                <w:p w14:paraId="4CCE4F8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5.50</w:t>
                  </w:r>
                </w:p>
              </w:tc>
              <w:tc>
                <w:tcPr>
                  <w:tcW w:w="721" w:type="pct"/>
                  <w:shd w:val="clear" w:color="auto" w:fill="auto"/>
                  <w:vAlign w:val="center"/>
                </w:tcPr>
                <w:p w14:paraId="6CFECB1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1.50</w:t>
                  </w:r>
                </w:p>
              </w:tc>
              <w:tc>
                <w:tcPr>
                  <w:tcW w:w="721" w:type="pct"/>
                  <w:shd w:val="clear" w:color="auto" w:fill="auto"/>
                  <w:vAlign w:val="center"/>
                </w:tcPr>
                <w:p w14:paraId="14BC272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w:t>
                  </w:r>
                </w:p>
              </w:tc>
              <w:tc>
                <w:tcPr>
                  <w:tcW w:w="1726" w:type="pct"/>
                  <w:vAlign w:val="center"/>
                </w:tcPr>
                <w:p w14:paraId="41D8880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bl>
          <w:p w14:paraId="6FE6DDB8">
            <w:pPr>
              <w:ind w:firstLine="0" w:firstLineChars="0"/>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4352925" cy="2328545"/>
                  <wp:effectExtent l="0" t="0" r="0" b="0"/>
                  <wp:docPr id="3" name="ECB019B1-382A-4266-B25C-5B523AA43C14-1" descr="C:/Users/lenovo/AppData/Local/Temp/wps.VYhtZB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lenovo/AppData/Local/Temp/wps.VYhtZBwps"/>
                          <pic:cNvPicPr>
                            <a:picLocks noChangeAspect="1"/>
                          </pic:cNvPicPr>
                        </pic:nvPicPr>
                        <pic:blipFill>
                          <a:blip r:embed="rId17"/>
                          <a:stretch>
                            <a:fillRect/>
                          </a:stretch>
                        </pic:blipFill>
                        <pic:spPr>
                          <a:xfrm>
                            <a:off x="0" y="0"/>
                            <a:ext cx="4352925" cy="2328545"/>
                          </a:xfrm>
                          <a:prstGeom prst="rect">
                            <a:avLst/>
                          </a:prstGeom>
                        </pic:spPr>
                      </pic:pic>
                    </a:graphicData>
                  </a:graphic>
                </wp:inline>
              </w:drawing>
            </w:r>
          </w:p>
          <w:p w14:paraId="1E143146">
            <w:pPr>
              <w:ind w:firstLine="0" w:firstLineChars="0"/>
              <w:jc w:val="center"/>
              <w:rPr>
                <w:rFonts w:hint="default" w:ascii="Times New Roman" w:hAnsi="Times New Roman" w:cs="Times New Roman"/>
                <w:color w:val="auto"/>
              </w:rPr>
            </w:pPr>
            <w:r>
              <w:rPr>
                <w:rFonts w:hint="default" w:ascii="Times New Roman" w:hAnsi="Times New Roman" w:cs="Times New Roman"/>
                <w:b/>
                <w:bCs/>
                <w:color w:val="auto"/>
              </w:rPr>
              <w:t>图2-1  水平衡图  单位：m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/d</w:t>
            </w:r>
          </w:p>
          <w:p w14:paraId="50E477C6">
            <w:pPr>
              <w:ind w:firstLine="480"/>
              <w:rPr>
                <w:rFonts w:hint="default" w:ascii="Times New Roman" w:hAnsi="Times New Roman" w:cs="Times New Roman"/>
                <w:color w:val="auto"/>
              </w:rPr>
            </w:pPr>
            <w:r>
              <w:rPr>
                <w:rFonts w:hint="default" w:ascii="Times New Roman" w:hAnsi="Times New Roman" w:cs="Times New Roman"/>
                <w:color w:val="auto"/>
              </w:rPr>
              <w:t>（4）供暖与制冷</w:t>
            </w:r>
          </w:p>
          <w:p w14:paraId="717255FD">
            <w:pPr>
              <w:ind w:firstLine="480"/>
              <w:rPr>
                <w:rFonts w:hint="default" w:ascii="Times New Roman" w:hAnsi="Times New Roman" w:cs="Times New Roman"/>
                <w:color w:val="auto"/>
              </w:rPr>
            </w:pPr>
            <w:r>
              <w:rPr>
                <w:rFonts w:hint="default" w:ascii="Times New Roman" w:hAnsi="Times New Roman" w:cs="Times New Roman"/>
                <w:color w:val="auto"/>
              </w:rPr>
              <w:t>办公区供暖、制冷采用分体式空调。</w:t>
            </w:r>
          </w:p>
        </w:tc>
      </w:tr>
    </w:tbl>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4"/>
      </w:tblGrid>
      <w:tr w14:paraId="0153E1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456" w:type="dxa"/>
            <w:vAlign w:val="center"/>
          </w:tcPr>
          <w:p w14:paraId="3821FE5B">
            <w:pPr>
              <w:pStyle w:val="23"/>
              <w:spacing w:before="0" w:beforeAutospacing="0" w:after="0" w:afterAutospacing="0" w:line="240" w:lineRule="auto"/>
              <w:ind w:firstLine="0" w:firstLineChars="0"/>
              <w:jc w:val="center"/>
              <w:rPr>
                <w:rFonts w:hint="default" w:ascii="Times New Roman" w:hAnsi="Times New Roman" w:cs="Times New Roman"/>
                <w:color w:val="auto"/>
                <w:kern w:val="21"/>
                <w:szCs w:val="24"/>
              </w:rPr>
            </w:pPr>
            <w:r>
              <w:rPr>
                <w:rFonts w:hint="default" w:ascii="Times New Roman" w:hAnsi="Times New Roman" w:cs="Times New Roman"/>
                <w:color w:val="auto"/>
                <w:kern w:val="21"/>
                <w:szCs w:val="24"/>
              </w:rPr>
              <w:t>工艺流程和产排污环节</w:t>
            </w:r>
          </w:p>
        </w:tc>
        <w:tc>
          <w:tcPr>
            <w:tcW w:w="8604" w:type="dxa"/>
            <w:vAlign w:val="center"/>
          </w:tcPr>
          <w:p w14:paraId="6784444A">
            <w:pPr>
              <w:pStyle w:val="34"/>
              <w:numPr>
                <w:ilvl w:val="0"/>
                <w:numId w:val="2"/>
              </w:numPr>
              <w:spacing w:before="120" w:beforeLines="50"/>
              <w:ind w:firstLine="482"/>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施工期工艺流程及产污环节</w:t>
            </w:r>
          </w:p>
          <w:p w14:paraId="469613EA">
            <w:pPr>
              <w:ind w:firstLine="480"/>
              <w:rPr>
                <w:rFonts w:hint="default" w:ascii="Times New Roman" w:hAnsi="Times New Roman" w:cs="Times New Roman"/>
                <w:color w:val="auto"/>
              </w:rPr>
            </w:pPr>
            <w:r>
              <w:rPr>
                <w:rFonts w:hint="default" w:ascii="Times New Roman" w:hAnsi="Times New Roman" w:cs="Times New Roman"/>
                <w:color w:val="auto"/>
              </w:rPr>
              <w:t>项目租赁已建成厂房及现有设备，施工期主要为设备调试，项目工程较小，施工期较短，随着施工的结束，对周围声环境影响也会随之消失，对环境影响较小。</w:t>
            </w:r>
          </w:p>
          <w:p w14:paraId="5BE663C4">
            <w:pPr>
              <w:pStyle w:val="34"/>
              <w:numPr>
                <w:ilvl w:val="0"/>
                <w:numId w:val="2"/>
              </w:numPr>
              <w:spacing w:before="120" w:beforeLines="50"/>
              <w:ind w:firstLine="482"/>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运营期工艺流程</w:t>
            </w:r>
          </w:p>
          <w:p w14:paraId="71200CAD">
            <w:pPr>
              <w:ind w:firstLine="0" w:firstLineChars="0"/>
              <w:jc w:val="center"/>
              <w:rPr>
                <w:rFonts w:hint="default" w:ascii="Times New Roman" w:hAnsi="Times New Roman" w:cs="Times New Roman"/>
                <w:b/>
                <w:color w:val="auto"/>
              </w:rPr>
            </w:pPr>
            <w:r>
              <w:rPr>
                <w:rFonts w:hint="default" w:ascii="Times New Roman" w:hAnsi="Times New Roman" w:cs="Times New Roman"/>
                <w:color w:val="auto"/>
              </w:rPr>
              <w:drawing>
                <wp:inline distT="0" distB="0" distL="114300" distR="114300">
                  <wp:extent cx="4817110" cy="5284470"/>
                  <wp:effectExtent l="0" t="0" r="0" b="0"/>
                  <wp:docPr id="11" name="ECB019B1-382A-4266-B25C-5B523AA43C14-2" descr="C:/Users/lenovo/AppData/Local/Temp/wps.DZRdQL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019B1-382A-4266-B25C-5B523AA43C14-2" descr="C:/Users/lenovo/AppData/Local/Temp/wps.DZRdQLwps"/>
                          <pic:cNvPicPr>
                            <a:picLocks noChangeAspect="1"/>
                          </pic:cNvPicPr>
                        </pic:nvPicPr>
                        <pic:blipFill>
                          <a:blip r:embed="rId18"/>
                          <a:stretch>
                            <a:fillRect/>
                          </a:stretch>
                        </pic:blipFill>
                        <pic:spPr>
                          <a:xfrm>
                            <a:off x="0" y="0"/>
                            <a:ext cx="4817110" cy="5284470"/>
                          </a:xfrm>
                          <a:prstGeom prst="rect">
                            <a:avLst/>
                          </a:prstGeom>
                        </pic:spPr>
                      </pic:pic>
                    </a:graphicData>
                  </a:graphic>
                </wp:inline>
              </w:drawing>
            </w:r>
          </w:p>
          <w:p w14:paraId="48FEC1F1">
            <w:pPr>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图2-2  工艺流程图</w:t>
            </w:r>
          </w:p>
          <w:p w14:paraId="17E71DD2">
            <w:pPr>
              <w:ind w:firstLine="480"/>
              <w:rPr>
                <w:rFonts w:hint="default" w:ascii="Times New Roman" w:hAnsi="Times New Roman" w:cs="Times New Roman"/>
                <w:color w:val="auto"/>
              </w:rPr>
            </w:pPr>
            <w:r>
              <w:rPr>
                <w:rFonts w:hint="default" w:ascii="Times New Roman" w:hAnsi="Times New Roman" w:cs="Times New Roman"/>
                <w:color w:val="auto"/>
              </w:rPr>
              <w:t>（1）原料混合</w:t>
            </w:r>
          </w:p>
          <w:p w14:paraId="4F738B53">
            <w:pPr>
              <w:ind w:firstLine="480"/>
              <w:rPr>
                <w:rFonts w:hint="default" w:ascii="Times New Roman" w:hAnsi="Times New Roman" w:cs="Times New Roman"/>
                <w:color w:val="auto"/>
              </w:rPr>
            </w:pPr>
            <w:r>
              <w:rPr>
                <w:rFonts w:hint="default" w:ascii="Times New Roman" w:hAnsi="Times New Roman" w:cs="Times New Roman"/>
                <w:color w:val="auto"/>
              </w:rPr>
              <w:t>首先将聚乙烯颗粒、单甘酯、发泡母粒、色母按产品所需比例通过人工投料方式将其加入搅拌桶中，通过泵自吸加入发泡机的搅拌桶搅拌混合，由于原料聚乙烯颗粒、单甘酯、发泡母粒、色母均为颗粒状，</w:t>
            </w:r>
            <w:r>
              <w:rPr>
                <w:rFonts w:hint="default" w:ascii="Times New Roman" w:hAnsi="Times New Roman" w:cs="Times New Roman"/>
                <w:color w:val="auto"/>
                <w:lang w:val="en-US" w:eastAsia="zh-CN"/>
              </w:rPr>
              <w:t>表面无附着粉尘，</w:t>
            </w:r>
            <w:r>
              <w:rPr>
                <w:rFonts w:hint="default" w:ascii="Times New Roman" w:hAnsi="Times New Roman" w:cs="Times New Roman"/>
                <w:color w:val="auto"/>
              </w:rPr>
              <w:t>且上料过程为密闭负压抽吸上料，</w:t>
            </w:r>
            <w:r>
              <w:rPr>
                <w:rFonts w:hint="default" w:ascii="Times New Roman" w:hAnsi="Times New Roman" w:cs="Times New Roman"/>
                <w:color w:val="auto"/>
                <w:lang w:val="en-US" w:eastAsia="zh-CN"/>
              </w:rPr>
              <w:t>生产设备均位于密闭厂房内，</w:t>
            </w:r>
            <w:r>
              <w:rPr>
                <w:rFonts w:hint="default" w:ascii="Times New Roman" w:hAnsi="Times New Roman" w:cs="Times New Roman"/>
                <w:color w:val="auto"/>
              </w:rPr>
              <w:t>原料混合过程也在密闭搅拌桶内进行，因此产生的粉尘极少，可忽略不计。</w:t>
            </w:r>
          </w:p>
          <w:p w14:paraId="500C62D8">
            <w:pPr>
              <w:ind w:firstLine="480"/>
              <w:rPr>
                <w:rFonts w:hint="default" w:ascii="Times New Roman" w:hAnsi="Times New Roman" w:cs="Times New Roman"/>
                <w:color w:val="auto"/>
              </w:rPr>
            </w:pPr>
            <w:r>
              <w:rPr>
                <w:rFonts w:hint="default" w:ascii="Times New Roman" w:hAnsi="Times New Roman" w:cs="Times New Roman"/>
                <w:color w:val="auto"/>
              </w:rPr>
              <w:t>（2）发泡挤出</w:t>
            </w:r>
          </w:p>
          <w:p w14:paraId="0B85343A">
            <w:pPr>
              <w:ind w:firstLine="480"/>
              <w:rPr>
                <w:rFonts w:hint="default" w:ascii="Times New Roman" w:hAnsi="Times New Roman" w:cs="Times New Roman"/>
                <w:color w:val="auto"/>
              </w:rPr>
            </w:pPr>
            <w:r>
              <w:rPr>
                <w:rFonts w:hint="default" w:ascii="Times New Roman" w:hAnsi="Times New Roman" w:cs="Times New Roman"/>
                <w:color w:val="auto"/>
              </w:rPr>
              <w:t>聚乙烯颗粒、单甘酯、发泡母粒、色母通过泵自吸方式输送到发泡机的螺杆里混合并通过发泡机挤出工序的电加热系统将其加工成熔融态物料，对螺杆里的熔融态物料通过计量泵装置注入发泡剂（丁烷），通过挤出工序的电加热系统加热（温度在150℃-180℃），发泡剂完全均匀地分散在聚合物内，聚合物呈液体或熔融态，发泡剂此时在聚合物中可以形成真正的溶液或者仅仅是均匀地分散在聚合物中，形成二相系统，达到发泡、混合塑化的目的。整个发泡过程是经物理发泡，产生无数的独立气泡，将其加工成具有可塑性的过程，不涉及任何化学反应。通过发泡机的挤出系统混合发泡塑化后的物料进行挤出。该环节主要产生设备噪声和有机废气（以非甲烷总烃计）。</w:t>
            </w:r>
          </w:p>
          <w:p w14:paraId="281FB4D7">
            <w:pPr>
              <w:numPr>
                <w:ilvl w:val="0"/>
                <w:numId w:val="3"/>
              </w:numPr>
              <w:ind w:firstLine="480"/>
              <w:rPr>
                <w:rFonts w:hint="default" w:ascii="Times New Roman" w:hAnsi="Times New Roman" w:cs="Times New Roman"/>
                <w:color w:val="auto"/>
              </w:rPr>
            </w:pPr>
            <w:r>
              <w:rPr>
                <w:rFonts w:hint="default" w:ascii="Times New Roman" w:hAnsi="Times New Roman" w:cs="Times New Roman"/>
                <w:color w:val="auto"/>
              </w:rPr>
              <w:t>冷却成型：对挤出后的物料通过循环水对其间接冷却，此过程的循环水通过循环冷却水系统循环使用，消耗掉的水定期补充</w:t>
            </w:r>
            <w:r>
              <w:rPr>
                <w:rFonts w:hint="default" w:ascii="Times New Roman" w:hAnsi="Times New Roman" w:cs="Times New Roman"/>
                <w:color w:val="auto"/>
              </w:rPr>
              <w:t>，</w:t>
            </w:r>
            <w:r>
              <w:rPr>
                <w:rFonts w:hint="default" w:ascii="Times New Roman" w:hAnsi="Times New Roman" w:cs="Times New Roman"/>
                <w:color w:val="auto"/>
              </w:rPr>
              <w:t>循环冷却水系统产生的排污水用于厂区洒水降尘</w:t>
            </w:r>
            <w:r>
              <w:rPr>
                <w:rFonts w:hint="default" w:ascii="Times New Roman" w:hAnsi="Times New Roman" w:cs="Times New Roman"/>
                <w:color w:val="auto"/>
              </w:rPr>
              <w:t>。</w:t>
            </w:r>
          </w:p>
          <w:p w14:paraId="394D1BFE">
            <w:pPr>
              <w:ind w:firstLine="480"/>
              <w:rPr>
                <w:rFonts w:hint="default" w:ascii="Times New Roman" w:hAnsi="Times New Roman" w:cs="Times New Roman"/>
                <w:color w:val="auto"/>
              </w:rPr>
            </w:pPr>
            <w:r>
              <w:rPr>
                <w:rFonts w:hint="default" w:ascii="Times New Roman" w:hAnsi="Times New Roman" w:cs="Times New Roman"/>
                <w:color w:val="auto"/>
              </w:rPr>
              <w:t>本项目发泡工序年生产</w:t>
            </w:r>
            <w:r>
              <w:rPr>
                <w:rFonts w:hint="default" w:ascii="Times New Roman" w:hAnsi="Times New Roman" w:cs="Times New Roman"/>
                <w:color w:val="auto"/>
                <w:lang w:val="en-US" w:eastAsia="zh-CN"/>
              </w:rPr>
              <w:t>9</w:t>
            </w:r>
            <w:r>
              <w:rPr>
                <w:rFonts w:hint="default" w:ascii="Times New Roman" w:hAnsi="Times New Roman" w:cs="Times New Roman"/>
                <w:color w:val="auto"/>
              </w:rPr>
              <w:t>0d（每年11月-次年2月不进行生产）。</w:t>
            </w:r>
          </w:p>
          <w:p w14:paraId="3809D8F1">
            <w:pPr>
              <w:ind w:firstLine="480"/>
              <w:rPr>
                <w:rFonts w:hint="default" w:ascii="Times New Roman" w:hAnsi="Times New Roman" w:cs="Times New Roman"/>
                <w:color w:val="auto"/>
              </w:rPr>
            </w:pPr>
            <w:r>
              <w:rPr>
                <w:rFonts w:hint="default" w:ascii="Times New Roman" w:hAnsi="Times New Roman" w:cs="Times New Roman"/>
                <w:color w:val="auto"/>
              </w:rPr>
              <w:t>（4）定径切割：将冷却成型后的半成品通过发泡机的辅助系统对其定径切割成小卷的珍珠棉。该环节主要产生边角料和噪声。</w:t>
            </w:r>
          </w:p>
          <w:p w14:paraId="19FD204C">
            <w:pPr>
              <w:ind w:firstLine="480"/>
              <w:rPr>
                <w:rFonts w:hint="default" w:ascii="Times New Roman" w:hAnsi="Times New Roman" w:cs="Times New Roman"/>
                <w:color w:val="auto"/>
              </w:rPr>
            </w:pPr>
            <w:r>
              <w:rPr>
                <w:rFonts w:hint="default" w:ascii="Times New Roman" w:hAnsi="Times New Roman" w:cs="Times New Roman"/>
                <w:color w:val="auto"/>
              </w:rPr>
              <w:t>（5）牵引、展平：通过发泡机牵引系统将切剖好的小卷珍珠棉进行牵引，通过自然风冷或电吹风系统对其冷却，对冷却牵引好的小卷珍珠棉通过展架对其展平处理，对展平后的珍珠棉进行人工检验。</w:t>
            </w:r>
          </w:p>
          <w:p w14:paraId="216F81CF">
            <w:pPr>
              <w:ind w:firstLine="480"/>
              <w:rPr>
                <w:rFonts w:hint="default" w:ascii="Times New Roman" w:hAnsi="Times New Roman" w:cs="Times New Roman"/>
                <w:color w:val="auto"/>
              </w:rPr>
            </w:pPr>
            <w:r>
              <w:rPr>
                <w:rFonts w:hint="default" w:ascii="Times New Roman" w:hAnsi="Times New Roman" w:cs="Times New Roman"/>
                <w:color w:val="auto"/>
              </w:rPr>
              <w:t>（6）卷绕：对人工检验合格的珍珠棉通过发泡机收卷系统进行卷绕处理，经收卷后入库待用。</w:t>
            </w:r>
          </w:p>
          <w:p w14:paraId="3341F521">
            <w:pPr>
              <w:ind w:firstLine="480"/>
              <w:rPr>
                <w:rFonts w:hint="default" w:ascii="Times New Roman" w:hAnsi="Times New Roman" w:cs="Times New Roman"/>
                <w:color w:val="auto"/>
              </w:rPr>
            </w:pPr>
            <w:r>
              <w:rPr>
                <w:rFonts w:hint="default" w:ascii="Times New Roman" w:hAnsi="Times New Roman" w:cs="Times New Roman"/>
                <w:color w:val="auto"/>
              </w:rPr>
              <w:t>（7）裁切</w:t>
            </w:r>
          </w:p>
          <w:p w14:paraId="03FFEDFF">
            <w:pPr>
              <w:ind w:firstLine="480"/>
              <w:rPr>
                <w:rFonts w:hint="default" w:ascii="Times New Roman" w:hAnsi="Times New Roman" w:cs="Times New Roman"/>
                <w:color w:val="auto"/>
              </w:rPr>
            </w:pPr>
            <w:r>
              <w:rPr>
                <w:rFonts w:hint="default" w:ascii="Times New Roman" w:hAnsi="Times New Roman" w:cs="Times New Roman"/>
                <w:color w:val="auto"/>
              </w:rPr>
              <w:t>对收卷后的珍珠棉利用卷材裁片机进行裁切，用以复合工序生产。</w:t>
            </w:r>
          </w:p>
          <w:p w14:paraId="20783369">
            <w:pPr>
              <w:ind w:firstLine="480"/>
              <w:rPr>
                <w:rFonts w:hint="default" w:ascii="Times New Roman" w:hAnsi="Times New Roman" w:cs="Times New Roman"/>
                <w:color w:val="auto"/>
              </w:rPr>
            </w:pPr>
            <w:r>
              <w:rPr>
                <w:rFonts w:hint="default" w:ascii="Times New Roman" w:hAnsi="Times New Roman" w:cs="Times New Roman"/>
                <w:color w:val="auto"/>
              </w:rPr>
              <w:t>（8）复合</w:t>
            </w:r>
          </w:p>
          <w:p w14:paraId="1250F573">
            <w:pPr>
              <w:ind w:firstLine="480"/>
              <w:rPr>
                <w:rFonts w:hint="default" w:ascii="Times New Roman" w:hAnsi="Times New Roman" w:cs="Times New Roman"/>
                <w:color w:val="auto"/>
              </w:rPr>
            </w:pPr>
            <w:r>
              <w:rPr>
                <w:rFonts w:hint="default" w:ascii="Times New Roman" w:hAnsi="Times New Roman" w:cs="Times New Roman"/>
                <w:color w:val="auto"/>
              </w:rPr>
              <w:t>根据客户要求，需要加厚的产品将多个单层珍珠棉利用复合机加热压合成型即为多层珍珠棉，本项目为电复合机，采用电加热，在复合过程中不添加任何复合剂。此过程主要产生机械设备噪声及复合过程中热熔产生的少量非甲烷总烃。</w:t>
            </w:r>
          </w:p>
          <w:p w14:paraId="5FDC7356">
            <w:pPr>
              <w:ind w:firstLine="480"/>
              <w:rPr>
                <w:rFonts w:hint="default" w:ascii="Times New Roman" w:hAnsi="Times New Roman" w:cs="Times New Roman"/>
                <w:color w:val="auto"/>
              </w:rPr>
            </w:pPr>
            <w:r>
              <w:rPr>
                <w:rFonts w:hint="default" w:ascii="Times New Roman" w:hAnsi="Times New Roman" w:cs="Times New Roman"/>
                <w:color w:val="auto"/>
              </w:rPr>
              <w:t>根据客户要求，少量产品需要进行覆膜，大部分不需要。覆膜机主要通过高温油化辊的压合可将PE膜覆合在珍珠棉上，可提高强度，防潮、防水，表面光洁。覆膜机采用电加热。</w:t>
            </w:r>
          </w:p>
          <w:p w14:paraId="6F230036">
            <w:pPr>
              <w:ind w:firstLine="480"/>
              <w:rPr>
                <w:rFonts w:hint="default" w:ascii="Times New Roman" w:hAnsi="Times New Roman" w:cs="Times New Roman"/>
                <w:color w:val="auto"/>
              </w:rPr>
            </w:pPr>
            <w:r>
              <w:rPr>
                <w:rFonts w:hint="default" w:ascii="Times New Roman" w:hAnsi="Times New Roman" w:cs="Times New Roman"/>
                <w:color w:val="auto"/>
              </w:rPr>
              <w:t>（9）分切</w:t>
            </w:r>
          </w:p>
          <w:p w14:paraId="56916DED">
            <w:pPr>
              <w:ind w:firstLine="480"/>
              <w:rPr>
                <w:rFonts w:hint="default" w:ascii="Times New Roman" w:hAnsi="Times New Roman" w:cs="Times New Roman"/>
                <w:color w:val="auto"/>
              </w:rPr>
            </w:pPr>
            <w:r>
              <w:rPr>
                <w:rFonts w:hint="default" w:ascii="Times New Roman" w:hAnsi="Times New Roman" w:cs="Times New Roman"/>
                <w:color w:val="auto"/>
              </w:rPr>
              <w:t>经过复合的珍珠棉按客户产品需求利用分切机进行分切，生产过程中会产生边角料和噪声。</w:t>
            </w:r>
          </w:p>
          <w:p w14:paraId="0514D74C">
            <w:pPr>
              <w:ind w:firstLine="480"/>
              <w:rPr>
                <w:rFonts w:hint="default" w:ascii="Times New Roman" w:hAnsi="Times New Roman" w:cs="Times New Roman"/>
                <w:color w:val="auto"/>
              </w:rPr>
            </w:pPr>
            <w:r>
              <w:rPr>
                <w:rFonts w:hint="default" w:ascii="Times New Roman" w:hAnsi="Times New Roman" w:cs="Times New Roman"/>
                <w:color w:val="auto"/>
              </w:rPr>
              <w:t>（10）冲压、排废：利用压棉机把刀模中的开料半成品冲压成具有一定形状的半成品，再利用冲压机、全自动冲压排废机、热切机等生产设备根据产品的尺寸大小及规格要求进行，切割冲压均为物理切割挤压过程。整个产生过程中主要产生边角料及噪声。</w:t>
            </w:r>
          </w:p>
          <w:p w14:paraId="1D317DA9">
            <w:pPr>
              <w:ind w:firstLine="480"/>
              <w:rPr>
                <w:rFonts w:hint="default" w:ascii="Times New Roman" w:hAnsi="Times New Roman" w:cs="Times New Roman"/>
                <w:color w:val="auto"/>
              </w:rPr>
            </w:pPr>
            <w:r>
              <w:rPr>
                <w:rFonts w:hint="default" w:ascii="Times New Roman" w:hAnsi="Times New Roman" w:cs="Times New Roman"/>
                <w:color w:val="auto"/>
              </w:rPr>
              <w:t>（11）粘合：将深加工好的半成品件通过电热贴合机、热熔胶涂胶机等方式进行粘合。电热贴合机通过发热板使珍珠棉两个接触而高温熔合成一体。热熔胶涂胶机通过热熔胶熔解后产生的胶粘性使珍珠棉粘合在一起。此生产过程中主要为热熔过程产生的少量非甲烷总烃及噪声。</w:t>
            </w:r>
          </w:p>
          <w:p w14:paraId="48F3F5E8">
            <w:pPr>
              <w:ind w:firstLine="480"/>
              <w:rPr>
                <w:rFonts w:hint="default" w:ascii="Times New Roman" w:hAnsi="Times New Roman" w:cs="Times New Roman"/>
                <w:color w:val="auto"/>
              </w:rPr>
            </w:pPr>
            <w:r>
              <w:rPr>
                <w:rFonts w:hint="default" w:ascii="Times New Roman" w:hAnsi="Times New Roman" w:cs="Times New Roman"/>
                <w:color w:val="auto"/>
              </w:rPr>
              <w:t>本项目生产过程中产生的边角料和不合格产品（于边角料和不合格产品存放区存储，位于10号仓库南侧，70m</w:t>
            </w:r>
            <w:r>
              <w:rPr>
                <w:rFonts w:hint="default" w:ascii="Times New Roman" w:hAnsi="Times New Roman" w:cs="Times New Roman"/>
                <w:color w:val="auto"/>
                <w:vertAlign w:val="superscript"/>
              </w:rPr>
              <w:t>2</w:t>
            </w:r>
            <w:r>
              <w:rPr>
                <w:rFonts w:hint="default" w:ascii="Times New Roman" w:hAnsi="Times New Roman" w:cs="Times New Roman"/>
                <w:color w:val="auto"/>
              </w:rPr>
              <w:t>）经造粒机</w:t>
            </w:r>
            <w:r>
              <w:rPr>
                <w:rFonts w:hint="default" w:ascii="Times New Roman" w:hAnsi="Times New Roman" w:cs="Times New Roman"/>
                <w:color w:val="auto"/>
                <w:lang w:val="en-US" w:eastAsia="zh-CN"/>
              </w:rPr>
              <w:t>熔融</w:t>
            </w:r>
            <w:r>
              <w:rPr>
                <w:rFonts w:hint="default" w:ascii="Times New Roman" w:hAnsi="Times New Roman" w:cs="Times New Roman"/>
                <w:color w:val="auto"/>
              </w:rPr>
              <w:t>加工为原料颗粒后回用，不进行破碎。</w:t>
            </w:r>
          </w:p>
          <w:p w14:paraId="069CF1FC">
            <w:pPr>
              <w:ind w:firstLine="0" w:firstLineChars="0"/>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5323205" cy="1036320"/>
                  <wp:effectExtent l="0" t="0" r="0" b="0"/>
                  <wp:docPr id="1" name="ECB019B1-382A-4266-B25C-5B523AA43C14-3" descr="C:/Users/lenovo/AppData/Local/Temp/wps.eSOfcT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3" descr="C:/Users/lenovo/AppData/Local/Temp/wps.eSOfcTwps"/>
                          <pic:cNvPicPr>
                            <a:picLocks noChangeAspect="1"/>
                          </pic:cNvPicPr>
                        </pic:nvPicPr>
                        <pic:blipFill>
                          <a:blip r:embed="rId19"/>
                          <a:stretch>
                            <a:fillRect/>
                          </a:stretch>
                        </pic:blipFill>
                        <pic:spPr>
                          <a:xfrm>
                            <a:off x="0" y="0"/>
                            <a:ext cx="5323205" cy="1036320"/>
                          </a:xfrm>
                          <a:prstGeom prst="rect">
                            <a:avLst/>
                          </a:prstGeom>
                        </pic:spPr>
                      </pic:pic>
                    </a:graphicData>
                  </a:graphic>
                </wp:inline>
              </w:drawing>
            </w:r>
          </w:p>
          <w:p w14:paraId="22C1D21E">
            <w:pPr>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图2-3  造粒工序工艺流程图</w:t>
            </w:r>
          </w:p>
          <w:p w14:paraId="40989791">
            <w:pPr>
              <w:ind w:firstLine="480"/>
              <w:rPr>
                <w:rFonts w:hint="default" w:ascii="Times New Roman" w:hAnsi="Times New Roman" w:cs="Times New Roman"/>
                <w:color w:val="auto"/>
              </w:rPr>
            </w:pPr>
            <w:r>
              <w:rPr>
                <w:rFonts w:hint="default" w:ascii="Times New Roman" w:hAnsi="Times New Roman" w:cs="Times New Roman"/>
                <w:color w:val="auto"/>
              </w:rPr>
              <w:t>造粒工序主要分三个阶段，第一阶段是塑化阶段（也称压缩阶段），在螺筒内完成，加热熔化位于此部位，经过螺杆的旋转，使塑料由固体变成为可塑性的粘流体；第二阶段是成型阶段：在机头内进行，由于螺杆旋转和压力的作用，把粘流体推向机头，经过机头内的模具，使粘流体成型为所需要的塑料线条；第三阶段是定型阶段，物料在双螺杆挤出机经过模头挤出成线条状。聚乙烯受热分解温度为300℃以上，本项目聚乙烯加热温度约为210℃，未达到其分解温度，但仍有少部分单体分子有机废气（以非甲烷总烃计）产生。</w:t>
            </w:r>
          </w:p>
          <w:p w14:paraId="2855295A">
            <w:pPr>
              <w:ind w:firstLine="480"/>
              <w:rPr>
                <w:rFonts w:hint="default" w:ascii="Times New Roman" w:hAnsi="Times New Roman" w:cs="Times New Roman"/>
                <w:color w:val="auto"/>
              </w:rPr>
            </w:pPr>
            <w:r>
              <w:rPr>
                <w:rFonts w:hint="default" w:ascii="Times New Roman" w:hAnsi="Times New Roman" w:cs="Times New Roman"/>
                <w:color w:val="auto"/>
              </w:rPr>
              <w:t>造粒机最终挤出的物料为线条状，通过输送筛自然降温方式进行降温固化后使用轮式切粒机对降温后硬化的产品进行切粒。切粒后的颗粒物料袋装暂存回用于生产。</w:t>
            </w:r>
          </w:p>
          <w:p w14:paraId="676E1527">
            <w:pPr>
              <w:ind w:firstLine="480"/>
              <w:rPr>
                <w:rFonts w:hint="default" w:ascii="Times New Roman" w:hAnsi="Times New Roman" w:cs="Times New Roman"/>
                <w:color w:val="auto"/>
              </w:rPr>
            </w:pPr>
            <w:r>
              <w:rPr>
                <w:rFonts w:hint="default" w:ascii="Times New Roman" w:hAnsi="Times New Roman" w:cs="Times New Roman"/>
                <w:color w:val="auto"/>
              </w:rPr>
              <w:t>本项目造粒工序不添加任何阻燃剂、增塑剂等添加剂进行改性。根据《固体废物鉴别标准 通则》（GB34330-2017）中固体废物鉴别方法，本项目产生的边角料和不合格产品不属于其中的“因为沾染、掺入、混杂无用或有害物质使其质量无法满足使用要求，而不能在市场出售、流通或者不能按照原用途使用的物质”，且在厂区内进行返工，产品质量仍满足原料使用要求，不属于固体废物。</w:t>
            </w:r>
          </w:p>
          <w:p w14:paraId="54AD40A1">
            <w:pPr>
              <w:ind w:firstLine="480"/>
              <w:rPr>
                <w:rFonts w:hint="default" w:ascii="Times New Roman" w:hAnsi="Times New Roman" w:cs="Times New Roman"/>
                <w:color w:val="auto"/>
              </w:rPr>
            </w:pPr>
            <w:r>
              <w:rPr>
                <w:rFonts w:hint="default" w:ascii="Times New Roman" w:hAnsi="Times New Roman" w:cs="Times New Roman"/>
                <w:color w:val="auto"/>
              </w:rPr>
              <w:t>造粒工序中，边角料和不合格产品均为不规则珍珠棉片，不进行破碎，切粒后的成品亦为颗粒，生产过程中产生的粉尘极少，可忽略不计。</w:t>
            </w:r>
          </w:p>
          <w:p w14:paraId="7BAC39E6">
            <w:pPr>
              <w:ind w:firstLine="482"/>
              <w:rPr>
                <w:rFonts w:hint="default" w:ascii="Times New Roman" w:hAnsi="Times New Roman" w:cs="Times New Roman"/>
                <w:b/>
                <w:bCs/>
                <w:color w:val="auto"/>
              </w:rPr>
            </w:pPr>
            <w:r>
              <w:rPr>
                <w:rFonts w:hint="default" w:ascii="Times New Roman" w:hAnsi="Times New Roman" w:cs="Times New Roman"/>
                <w:b/>
                <w:bCs/>
                <w:color w:val="auto"/>
              </w:rPr>
              <w:t>三、主要污染工序</w:t>
            </w:r>
          </w:p>
          <w:p w14:paraId="12064DBC">
            <w:pPr>
              <w:ind w:firstLine="480"/>
              <w:rPr>
                <w:rFonts w:hint="default" w:ascii="Times New Roman" w:hAnsi="Times New Roman" w:cs="Times New Roman"/>
                <w:color w:val="auto"/>
              </w:rPr>
            </w:pPr>
            <w:r>
              <w:rPr>
                <w:rFonts w:hint="default" w:ascii="Times New Roman" w:hAnsi="Times New Roman" w:cs="Times New Roman"/>
                <w:color w:val="auto"/>
              </w:rPr>
              <w:t>本项目运营期具体产生污染物情况见下表。</w:t>
            </w:r>
          </w:p>
          <w:p w14:paraId="41DBBF04">
            <w:pPr>
              <w:keepNext/>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表2-7  运营期污染产生情况一览表</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249"/>
              <w:gridCol w:w="1151"/>
              <w:gridCol w:w="1786"/>
              <w:gridCol w:w="4199"/>
            </w:tblGrid>
            <w:tr w14:paraId="1B3FEC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tcBorders>
                    <w:tl2br w:val="nil"/>
                    <w:tr2bl w:val="nil"/>
                  </w:tcBorders>
                  <w:vAlign w:val="center"/>
                </w:tcPr>
                <w:p w14:paraId="5181EBA9">
                  <w:pPr>
                    <w:pStyle w:val="61"/>
                    <w:keepNext/>
                    <w:spacing w:line="240" w:lineRule="auto"/>
                    <w:ind w:left="177" w:right="171"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污染类别</w:t>
                  </w:r>
                </w:p>
              </w:tc>
              <w:tc>
                <w:tcPr>
                  <w:tcW w:w="1751" w:type="pct"/>
                  <w:gridSpan w:val="2"/>
                  <w:tcBorders>
                    <w:tl2br w:val="nil"/>
                    <w:tr2bl w:val="nil"/>
                  </w:tcBorders>
                  <w:vAlign w:val="center"/>
                </w:tcPr>
                <w:p w14:paraId="45AE2F69">
                  <w:pPr>
                    <w:pStyle w:val="61"/>
                    <w:keepNext/>
                    <w:spacing w:line="240" w:lineRule="auto"/>
                    <w:ind w:left="125" w:right="12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产生工序</w:t>
                  </w:r>
                </w:p>
              </w:tc>
              <w:tc>
                <w:tcPr>
                  <w:tcW w:w="2503" w:type="pct"/>
                  <w:tcBorders>
                    <w:tl2br w:val="nil"/>
                    <w:tr2bl w:val="nil"/>
                  </w:tcBorders>
                  <w:vAlign w:val="center"/>
                </w:tcPr>
                <w:p w14:paraId="251D9F2A">
                  <w:pPr>
                    <w:keepNext/>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主要污染因子</w:t>
                  </w:r>
                </w:p>
              </w:tc>
            </w:tr>
            <w:tr w14:paraId="4542119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restart"/>
                  <w:tcBorders>
                    <w:tl2br w:val="nil"/>
                    <w:tr2bl w:val="nil"/>
                  </w:tcBorders>
                  <w:vAlign w:val="center"/>
                </w:tcPr>
                <w:p w14:paraId="456FEEF5">
                  <w:pPr>
                    <w:pStyle w:val="61"/>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1751" w:type="pct"/>
                  <w:gridSpan w:val="2"/>
                  <w:tcBorders>
                    <w:tl2br w:val="nil"/>
                    <w:tr2bl w:val="nil"/>
                  </w:tcBorders>
                  <w:shd w:val="clear" w:color="auto" w:fill="auto"/>
                  <w:vAlign w:val="center"/>
                </w:tcPr>
                <w:p w14:paraId="0B49A119">
                  <w:pPr>
                    <w:pStyle w:val="76"/>
                    <w:spacing w:line="240" w:lineRule="atLeast"/>
                    <w:rPr>
                      <w:rFonts w:hint="default" w:ascii="Times New Roman" w:hAnsi="Times New Roman" w:cs="Times New Roman"/>
                      <w:color w:val="auto"/>
                      <w:kern w:val="2"/>
                      <w:szCs w:val="21"/>
                    </w:rPr>
                  </w:pPr>
                  <w:r>
                    <w:rPr>
                      <w:rFonts w:hint="default" w:ascii="Times New Roman" w:hAnsi="Times New Roman" w:cs="Times New Roman"/>
                      <w:color w:val="auto"/>
                      <w:kern w:val="2"/>
                      <w:szCs w:val="21"/>
                    </w:rPr>
                    <w:t>发泡挤出废气</w:t>
                  </w:r>
                </w:p>
              </w:tc>
              <w:tc>
                <w:tcPr>
                  <w:tcW w:w="2503" w:type="pct"/>
                  <w:vMerge w:val="restart"/>
                  <w:tcBorders>
                    <w:tl2br w:val="nil"/>
                    <w:tr2bl w:val="nil"/>
                  </w:tcBorders>
                  <w:vAlign w:val="center"/>
                </w:tcPr>
                <w:p w14:paraId="1DAAE906">
                  <w:pPr>
                    <w:pStyle w:val="61"/>
                    <w:spacing w:line="240" w:lineRule="auto"/>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非甲烷总烃</w:t>
                  </w:r>
                </w:p>
              </w:tc>
            </w:tr>
            <w:tr w14:paraId="35B950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continue"/>
                  <w:tcBorders>
                    <w:tl2br w:val="nil"/>
                    <w:tr2bl w:val="nil"/>
                  </w:tcBorders>
                  <w:vAlign w:val="center"/>
                </w:tcPr>
                <w:p w14:paraId="30655C3B">
                  <w:pPr>
                    <w:spacing w:line="240" w:lineRule="auto"/>
                    <w:ind w:firstLine="0" w:firstLineChars="0"/>
                    <w:jc w:val="center"/>
                    <w:rPr>
                      <w:rFonts w:hint="default" w:ascii="Times New Roman" w:hAnsi="Times New Roman" w:cs="Times New Roman"/>
                      <w:color w:val="auto"/>
                      <w:sz w:val="21"/>
                      <w:szCs w:val="21"/>
                    </w:rPr>
                  </w:pPr>
                </w:p>
              </w:tc>
              <w:tc>
                <w:tcPr>
                  <w:tcW w:w="1751" w:type="pct"/>
                  <w:gridSpan w:val="2"/>
                  <w:tcBorders>
                    <w:tl2br w:val="nil"/>
                    <w:tr2bl w:val="nil"/>
                  </w:tcBorders>
                  <w:shd w:val="clear" w:color="auto" w:fill="auto"/>
                  <w:vAlign w:val="center"/>
                </w:tcPr>
                <w:p w14:paraId="015DD40A">
                  <w:pPr>
                    <w:pStyle w:val="76"/>
                    <w:spacing w:line="240" w:lineRule="atLeast"/>
                    <w:rPr>
                      <w:rFonts w:hint="default" w:ascii="Times New Roman" w:hAnsi="Times New Roman" w:cs="Times New Roman"/>
                      <w:color w:val="auto"/>
                      <w:kern w:val="2"/>
                      <w:szCs w:val="21"/>
                    </w:rPr>
                  </w:pPr>
                  <w:r>
                    <w:rPr>
                      <w:rFonts w:hint="default" w:ascii="Times New Roman" w:hAnsi="Times New Roman" w:cs="Times New Roman"/>
                      <w:color w:val="auto"/>
                      <w:kern w:val="2"/>
                      <w:szCs w:val="21"/>
                    </w:rPr>
                    <w:t>复合废气</w:t>
                  </w:r>
                </w:p>
              </w:tc>
              <w:tc>
                <w:tcPr>
                  <w:tcW w:w="2503" w:type="pct"/>
                  <w:vMerge w:val="continue"/>
                  <w:tcBorders>
                    <w:tl2br w:val="nil"/>
                    <w:tr2bl w:val="nil"/>
                  </w:tcBorders>
                  <w:vAlign w:val="center"/>
                </w:tcPr>
                <w:p w14:paraId="2BB7E33B">
                  <w:pPr>
                    <w:pStyle w:val="61"/>
                    <w:spacing w:line="240" w:lineRule="auto"/>
                    <w:ind w:firstLine="0" w:firstLineChars="0"/>
                    <w:jc w:val="center"/>
                    <w:rPr>
                      <w:rFonts w:hint="default" w:ascii="Times New Roman" w:hAnsi="Times New Roman" w:cs="Times New Roman"/>
                      <w:color w:val="auto"/>
                      <w:sz w:val="21"/>
                      <w:szCs w:val="21"/>
                      <w:lang w:val="en-US"/>
                    </w:rPr>
                  </w:pPr>
                </w:p>
              </w:tc>
            </w:tr>
            <w:tr w14:paraId="38057D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continue"/>
                  <w:tcBorders>
                    <w:tl2br w:val="nil"/>
                    <w:tr2bl w:val="nil"/>
                  </w:tcBorders>
                  <w:vAlign w:val="center"/>
                </w:tcPr>
                <w:p w14:paraId="7DC8883B">
                  <w:pPr>
                    <w:spacing w:line="240" w:lineRule="auto"/>
                    <w:ind w:firstLine="0" w:firstLineChars="0"/>
                    <w:jc w:val="center"/>
                    <w:rPr>
                      <w:rFonts w:hint="default" w:ascii="Times New Roman" w:hAnsi="Times New Roman" w:cs="Times New Roman"/>
                      <w:color w:val="auto"/>
                      <w:sz w:val="21"/>
                      <w:szCs w:val="21"/>
                    </w:rPr>
                  </w:pPr>
                </w:p>
              </w:tc>
              <w:tc>
                <w:tcPr>
                  <w:tcW w:w="1751" w:type="pct"/>
                  <w:gridSpan w:val="2"/>
                  <w:tcBorders>
                    <w:tl2br w:val="nil"/>
                    <w:tr2bl w:val="nil"/>
                  </w:tcBorders>
                  <w:shd w:val="clear" w:color="auto" w:fill="auto"/>
                  <w:vAlign w:val="center"/>
                </w:tcPr>
                <w:p w14:paraId="09EB5A36">
                  <w:pPr>
                    <w:pStyle w:val="76"/>
                    <w:spacing w:line="240" w:lineRule="atLeast"/>
                    <w:rPr>
                      <w:rFonts w:hint="default" w:ascii="Times New Roman" w:hAnsi="Times New Roman" w:cs="Times New Roman"/>
                      <w:color w:val="auto"/>
                      <w:kern w:val="2"/>
                      <w:szCs w:val="21"/>
                    </w:rPr>
                  </w:pPr>
                  <w:r>
                    <w:rPr>
                      <w:rFonts w:hint="default" w:ascii="Times New Roman" w:hAnsi="Times New Roman" w:cs="Times New Roman"/>
                      <w:color w:val="auto"/>
                      <w:kern w:val="2"/>
                      <w:szCs w:val="21"/>
                    </w:rPr>
                    <w:t>造粒工序废气</w:t>
                  </w:r>
                </w:p>
              </w:tc>
              <w:tc>
                <w:tcPr>
                  <w:tcW w:w="2503" w:type="pct"/>
                  <w:vMerge w:val="continue"/>
                  <w:tcBorders>
                    <w:tl2br w:val="nil"/>
                    <w:tr2bl w:val="nil"/>
                  </w:tcBorders>
                  <w:vAlign w:val="center"/>
                </w:tcPr>
                <w:p w14:paraId="518FC145">
                  <w:pPr>
                    <w:pStyle w:val="61"/>
                    <w:spacing w:line="240" w:lineRule="auto"/>
                    <w:ind w:firstLine="0" w:firstLineChars="0"/>
                    <w:jc w:val="center"/>
                    <w:rPr>
                      <w:rFonts w:hint="default" w:ascii="Times New Roman" w:hAnsi="Times New Roman" w:cs="Times New Roman"/>
                      <w:color w:val="auto"/>
                      <w:sz w:val="21"/>
                      <w:szCs w:val="21"/>
                      <w:lang w:val="en-US"/>
                    </w:rPr>
                  </w:pPr>
                </w:p>
              </w:tc>
            </w:tr>
            <w:tr w14:paraId="311D94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continue"/>
                  <w:tcBorders>
                    <w:tl2br w:val="nil"/>
                    <w:tr2bl w:val="nil"/>
                  </w:tcBorders>
                  <w:vAlign w:val="center"/>
                </w:tcPr>
                <w:p w14:paraId="71E9C894">
                  <w:pPr>
                    <w:spacing w:line="240" w:lineRule="auto"/>
                    <w:ind w:firstLine="0" w:firstLineChars="0"/>
                    <w:jc w:val="center"/>
                    <w:rPr>
                      <w:rFonts w:hint="default" w:ascii="Times New Roman" w:hAnsi="Times New Roman" w:cs="Times New Roman"/>
                      <w:color w:val="auto"/>
                      <w:sz w:val="21"/>
                      <w:szCs w:val="21"/>
                    </w:rPr>
                  </w:pPr>
                </w:p>
              </w:tc>
              <w:tc>
                <w:tcPr>
                  <w:tcW w:w="1751" w:type="pct"/>
                  <w:gridSpan w:val="2"/>
                  <w:tcBorders>
                    <w:tl2br w:val="nil"/>
                    <w:tr2bl w:val="nil"/>
                  </w:tcBorders>
                  <w:shd w:val="clear" w:color="auto" w:fill="auto"/>
                  <w:vAlign w:val="center"/>
                </w:tcPr>
                <w:p w14:paraId="456A0FB3">
                  <w:pPr>
                    <w:pStyle w:val="76"/>
                    <w:spacing w:line="240" w:lineRule="atLeast"/>
                    <w:rPr>
                      <w:rFonts w:hint="default" w:ascii="Times New Roman" w:hAnsi="Times New Roman" w:cs="Times New Roman"/>
                      <w:color w:val="auto"/>
                      <w:kern w:val="2"/>
                      <w:szCs w:val="21"/>
                    </w:rPr>
                  </w:pPr>
                  <w:r>
                    <w:rPr>
                      <w:rFonts w:hint="default" w:ascii="Times New Roman" w:hAnsi="Times New Roman" w:cs="Times New Roman"/>
                      <w:color w:val="auto"/>
                      <w:kern w:val="2"/>
                      <w:szCs w:val="21"/>
                    </w:rPr>
                    <w:t>粘合废气</w:t>
                  </w:r>
                </w:p>
              </w:tc>
              <w:tc>
                <w:tcPr>
                  <w:tcW w:w="2503" w:type="pct"/>
                  <w:vMerge w:val="continue"/>
                  <w:tcBorders>
                    <w:tl2br w:val="nil"/>
                    <w:tr2bl w:val="nil"/>
                  </w:tcBorders>
                  <w:vAlign w:val="center"/>
                </w:tcPr>
                <w:p w14:paraId="3AA24672">
                  <w:pPr>
                    <w:pStyle w:val="61"/>
                    <w:spacing w:line="240" w:lineRule="auto"/>
                    <w:ind w:firstLine="0" w:firstLineChars="0"/>
                    <w:jc w:val="center"/>
                    <w:rPr>
                      <w:rFonts w:hint="default" w:ascii="Times New Roman" w:hAnsi="Times New Roman" w:cs="Times New Roman"/>
                      <w:color w:val="auto"/>
                      <w:sz w:val="21"/>
                      <w:szCs w:val="21"/>
                      <w:lang w:val="en-US"/>
                    </w:rPr>
                  </w:pPr>
                </w:p>
              </w:tc>
            </w:tr>
            <w:tr w14:paraId="7910DB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restart"/>
                  <w:tcBorders>
                    <w:tl2br w:val="nil"/>
                    <w:tr2bl w:val="nil"/>
                  </w:tcBorders>
                  <w:vAlign w:val="center"/>
                </w:tcPr>
                <w:p w14:paraId="6C4FACD4">
                  <w:pPr>
                    <w:pStyle w:val="61"/>
                    <w:spacing w:line="240" w:lineRule="auto"/>
                    <w:ind w:left="174" w:right="171"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1751" w:type="pct"/>
                  <w:gridSpan w:val="2"/>
                  <w:tcBorders>
                    <w:tl2br w:val="nil"/>
                    <w:tr2bl w:val="nil"/>
                  </w:tcBorders>
                  <w:vAlign w:val="center"/>
                </w:tcPr>
                <w:p w14:paraId="2268C5CE">
                  <w:pPr>
                    <w:pStyle w:val="61"/>
                    <w:spacing w:line="240" w:lineRule="auto"/>
                    <w:ind w:left="125" w:right="12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生活污水、</w:t>
                  </w:r>
                  <w:r>
                    <w:rPr>
                      <w:rFonts w:hint="default" w:ascii="Times New Roman" w:hAnsi="Times New Roman" w:cs="Times New Roman"/>
                      <w:color w:val="auto"/>
                      <w:sz w:val="21"/>
                      <w:szCs w:val="21"/>
                      <w:lang w:val="en-US"/>
                    </w:rPr>
                    <w:t>食堂废水</w:t>
                  </w:r>
                </w:p>
              </w:tc>
              <w:tc>
                <w:tcPr>
                  <w:tcW w:w="2503" w:type="pct"/>
                  <w:tcBorders>
                    <w:tl2br w:val="nil"/>
                    <w:tr2bl w:val="nil"/>
                  </w:tcBorders>
                  <w:vAlign w:val="center"/>
                </w:tcPr>
                <w:p w14:paraId="082CC3DC">
                  <w:pPr>
                    <w:pStyle w:val="61"/>
                    <w:spacing w:line="240" w:lineRule="auto"/>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position w:val="2"/>
                      <w:sz w:val="21"/>
                      <w:szCs w:val="21"/>
                    </w:rPr>
                    <w:t>COD、BOD</w:t>
                  </w:r>
                  <w:r>
                    <w:rPr>
                      <w:rFonts w:hint="default" w:ascii="Times New Roman" w:hAnsi="Times New Roman" w:cs="Times New Roman"/>
                      <w:color w:val="auto"/>
                      <w:position w:val="2"/>
                      <w:sz w:val="21"/>
                      <w:szCs w:val="21"/>
                      <w:vertAlign w:val="subscript"/>
                    </w:rPr>
                    <w:t>5</w:t>
                  </w:r>
                  <w:r>
                    <w:rPr>
                      <w:rFonts w:hint="default" w:ascii="Times New Roman" w:hAnsi="Times New Roman" w:cs="Times New Roman"/>
                      <w:color w:val="auto"/>
                      <w:position w:val="2"/>
                      <w:sz w:val="21"/>
                      <w:szCs w:val="21"/>
                    </w:rPr>
                    <w:t>、SS、NH</w:t>
                  </w:r>
                  <w:r>
                    <w:rPr>
                      <w:rFonts w:hint="default" w:ascii="Times New Roman" w:hAnsi="Times New Roman" w:cs="Times New Roman"/>
                      <w:color w:val="auto"/>
                      <w:position w:val="2"/>
                      <w:sz w:val="21"/>
                      <w:szCs w:val="21"/>
                      <w:vertAlign w:val="subscript"/>
                    </w:rPr>
                    <w:t>3</w:t>
                  </w:r>
                  <w:r>
                    <w:rPr>
                      <w:rFonts w:hint="default" w:ascii="Times New Roman" w:hAnsi="Times New Roman" w:cs="Times New Roman"/>
                      <w:color w:val="auto"/>
                      <w:position w:val="2"/>
                      <w:sz w:val="21"/>
                      <w:szCs w:val="21"/>
                    </w:rPr>
                    <w:t>-N</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rPr>
                    <w:t>总磷、总氮、动植物油</w:t>
                  </w:r>
                </w:p>
              </w:tc>
            </w:tr>
            <w:tr w14:paraId="207338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continue"/>
                  <w:tcBorders>
                    <w:tl2br w:val="nil"/>
                    <w:tr2bl w:val="nil"/>
                  </w:tcBorders>
                  <w:vAlign w:val="center"/>
                </w:tcPr>
                <w:p w14:paraId="6D8854CC">
                  <w:pPr>
                    <w:pStyle w:val="61"/>
                    <w:spacing w:line="240" w:lineRule="auto"/>
                    <w:ind w:left="174" w:right="171" w:firstLine="0" w:firstLineChars="0"/>
                    <w:jc w:val="center"/>
                    <w:rPr>
                      <w:rFonts w:hint="default" w:ascii="Times New Roman" w:hAnsi="Times New Roman" w:cs="Times New Roman"/>
                      <w:color w:val="auto"/>
                      <w:sz w:val="21"/>
                      <w:szCs w:val="21"/>
                    </w:rPr>
                  </w:pPr>
                </w:p>
              </w:tc>
              <w:tc>
                <w:tcPr>
                  <w:tcW w:w="1751" w:type="pct"/>
                  <w:gridSpan w:val="2"/>
                  <w:tcBorders>
                    <w:tl2br w:val="nil"/>
                    <w:tr2bl w:val="nil"/>
                  </w:tcBorders>
                  <w:vAlign w:val="center"/>
                </w:tcPr>
                <w:p w14:paraId="59BF0CCC">
                  <w:pPr>
                    <w:pStyle w:val="61"/>
                    <w:spacing w:line="240" w:lineRule="auto"/>
                    <w:ind w:left="125" w:right="120"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循环冷却水</w:t>
                  </w:r>
                </w:p>
              </w:tc>
              <w:tc>
                <w:tcPr>
                  <w:tcW w:w="2503" w:type="pct"/>
                  <w:tcBorders>
                    <w:tl2br w:val="nil"/>
                    <w:tr2bl w:val="nil"/>
                  </w:tcBorders>
                  <w:vAlign w:val="center"/>
                </w:tcPr>
                <w:p w14:paraId="3F3ACD1C">
                  <w:pPr>
                    <w:pStyle w:val="61"/>
                    <w:spacing w:line="240" w:lineRule="auto"/>
                    <w:ind w:firstLine="0" w:firstLineChars="0"/>
                    <w:jc w:val="center"/>
                    <w:rPr>
                      <w:rFonts w:hint="default" w:ascii="Times New Roman" w:hAnsi="Times New Roman" w:cs="Times New Roman"/>
                      <w:color w:val="auto"/>
                      <w:position w:val="2"/>
                      <w:sz w:val="21"/>
                      <w:szCs w:val="21"/>
                      <w:lang w:val="en-US"/>
                    </w:rPr>
                  </w:pPr>
                  <w:r>
                    <w:rPr>
                      <w:rFonts w:hint="default" w:ascii="Times New Roman" w:hAnsi="Times New Roman" w:cs="Times New Roman"/>
                      <w:color w:val="auto"/>
                      <w:position w:val="2"/>
                      <w:sz w:val="21"/>
                      <w:szCs w:val="21"/>
                      <w:lang w:val="en-US"/>
                    </w:rPr>
                    <w:t>/</w:t>
                  </w:r>
                </w:p>
              </w:tc>
            </w:tr>
            <w:tr w14:paraId="1E6998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tcBorders>
                    <w:tl2br w:val="nil"/>
                    <w:tr2bl w:val="nil"/>
                  </w:tcBorders>
                  <w:vAlign w:val="center"/>
                </w:tcPr>
                <w:p w14:paraId="3C4D7166">
                  <w:pPr>
                    <w:pStyle w:val="61"/>
                    <w:spacing w:line="240" w:lineRule="auto"/>
                    <w:ind w:left="174" w:right="171"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751" w:type="pct"/>
                  <w:gridSpan w:val="2"/>
                  <w:tcBorders>
                    <w:tl2br w:val="nil"/>
                    <w:tr2bl w:val="nil"/>
                  </w:tcBorders>
                  <w:vAlign w:val="center"/>
                </w:tcPr>
                <w:p w14:paraId="2FCEBA28">
                  <w:pPr>
                    <w:pStyle w:val="61"/>
                    <w:spacing w:line="240" w:lineRule="auto"/>
                    <w:ind w:left="125" w:right="12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rPr>
                    <w:t>生产</w:t>
                  </w:r>
                  <w:r>
                    <w:rPr>
                      <w:rFonts w:hint="default" w:ascii="Times New Roman" w:hAnsi="Times New Roman" w:cs="Times New Roman"/>
                      <w:color w:val="auto"/>
                      <w:sz w:val="21"/>
                      <w:szCs w:val="21"/>
                    </w:rPr>
                    <w:t>设备运行</w:t>
                  </w:r>
                </w:p>
              </w:tc>
              <w:tc>
                <w:tcPr>
                  <w:tcW w:w="2503" w:type="pct"/>
                  <w:tcBorders>
                    <w:tl2br w:val="nil"/>
                    <w:tr2bl w:val="nil"/>
                  </w:tcBorders>
                  <w:vAlign w:val="center"/>
                </w:tcPr>
                <w:p w14:paraId="757D6A0B">
                  <w:pPr>
                    <w:pStyle w:val="61"/>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机械噪声</w:t>
                  </w:r>
                </w:p>
              </w:tc>
            </w:tr>
            <w:tr w14:paraId="32DF00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restart"/>
                  <w:tcBorders>
                    <w:tl2br w:val="nil"/>
                    <w:tr2bl w:val="nil"/>
                  </w:tcBorders>
                  <w:vAlign w:val="center"/>
                </w:tcPr>
                <w:p w14:paraId="52485038">
                  <w:pPr>
                    <w:pStyle w:val="61"/>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686" w:type="pct"/>
                  <w:vMerge w:val="restart"/>
                  <w:tcBorders>
                    <w:right w:val="single" w:color="000000" w:sz="4" w:space="0"/>
                  </w:tcBorders>
                  <w:vAlign w:val="center"/>
                </w:tcPr>
                <w:p w14:paraId="65D996F2">
                  <w:pPr>
                    <w:pStyle w:val="61"/>
                    <w:spacing w:line="240" w:lineRule="auto"/>
                    <w:ind w:right="117"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一般固废</w:t>
                  </w:r>
                </w:p>
              </w:tc>
              <w:tc>
                <w:tcPr>
                  <w:tcW w:w="1064" w:type="pct"/>
                  <w:tcBorders>
                    <w:left w:val="single" w:color="000000" w:sz="4" w:space="0"/>
                  </w:tcBorders>
                  <w:shd w:val="clear" w:color="auto" w:fill="auto"/>
                  <w:vAlign w:val="center"/>
                </w:tcPr>
                <w:p w14:paraId="130AE3D9">
                  <w:pPr>
                    <w:pStyle w:val="61"/>
                    <w:spacing w:line="240" w:lineRule="auto"/>
                    <w:ind w:left="125" w:right="117"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废油脂</w:t>
                  </w:r>
                </w:p>
              </w:tc>
              <w:tc>
                <w:tcPr>
                  <w:tcW w:w="2503" w:type="pct"/>
                  <w:tcBorders>
                    <w:tl2br w:val="nil"/>
                    <w:tr2bl w:val="nil"/>
                  </w:tcBorders>
                  <w:shd w:val="clear" w:color="auto" w:fill="auto"/>
                  <w:vAlign w:val="center"/>
                </w:tcPr>
                <w:p w14:paraId="208664C0">
                  <w:pPr>
                    <w:pStyle w:val="61"/>
                    <w:spacing w:line="240" w:lineRule="auto"/>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动植物油</w:t>
                  </w:r>
                </w:p>
              </w:tc>
            </w:tr>
            <w:tr w14:paraId="43B901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continue"/>
                  <w:tcBorders>
                    <w:tl2br w:val="nil"/>
                    <w:tr2bl w:val="nil"/>
                  </w:tcBorders>
                  <w:vAlign w:val="center"/>
                </w:tcPr>
                <w:p w14:paraId="182FF630">
                  <w:pPr>
                    <w:pStyle w:val="61"/>
                    <w:spacing w:line="240" w:lineRule="auto"/>
                    <w:ind w:firstLine="0" w:firstLineChars="0"/>
                    <w:jc w:val="center"/>
                    <w:rPr>
                      <w:rFonts w:hint="default" w:ascii="Times New Roman" w:hAnsi="Times New Roman" w:cs="Times New Roman"/>
                      <w:color w:val="auto"/>
                    </w:rPr>
                  </w:pPr>
                </w:p>
              </w:tc>
              <w:tc>
                <w:tcPr>
                  <w:tcW w:w="686" w:type="pct"/>
                  <w:vMerge w:val="continue"/>
                  <w:tcBorders>
                    <w:right w:val="single" w:color="000000" w:sz="4" w:space="0"/>
                  </w:tcBorders>
                  <w:vAlign w:val="center"/>
                </w:tcPr>
                <w:p w14:paraId="0275C0C7">
                  <w:pPr>
                    <w:pStyle w:val="61"/>
                    <w:spacing w:line="240" w:lineRule="auto"/>
                    <w:ind w:firstLine="0" w:firstLineChars="0"/>
                    <w:jc w:val="center"/>
                    <w:rPr>
                      <w:rFonts w:hint="default" w:ascii="Times New Roman" w:hAnsi="Times New Roman" w:cs="Times New Roman"/>
                      <w:color w:val="auto"/>
                    </w:rPr>
                  </w:pPr>
                </w:p>
              </w:tc>
              <w:tc>
                <w:tcPr>
                  <w:tcW w:w="1064" w:type="pct"/>
                  <w:tcBorders>
                    <w:left w:val="single" w:color="000000" w:sz="4" w:space="0"/>
                  </w:tcBorders>
                  <w:vAlign w:val="center"/>
                </w:tcPr>
                <w:p w14:paraId="23D0163F">
                  <w:pPr>
                    <w:pStyle w:val="61"/>
                    <w:spacing w:line="240" w:lineRule="auto"/>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化粪池污泥</w:t>
                  </w:r>
                </w:p>
              </w:tc>
              <w:tc>
                <w:tcPr>
                  <w:tcW w:w="2503" w:type="pct"/>
                  <w:tcBorders>
                    <w:tl2br w:val="nil"/>
                    <w:tr2bl w:val="nil"/>
                  </w:tcBorders>
                  <w:vAlign w:val="center"/>
                </w:tcPr>
                <w:p w14:paraId="22D0D548">
                  <w:pPr>
                    <w:pStyle w:val="61"/>
                    <w:spacing w:line="240" w:lineRule="auto"/>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污泥</w:t>
                  </w:r>
                </w:p>
              </w:tc>
            </w:tr>
            <w:tr w14:paraId="451351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continue"/>
                  <w:tcBorders>
                    <w:tl2br w:val="nil"/>
                    <w:tr2bl w:val="nil"/>
                  </w:tcBorders>
                  <w:vAlign w:val="center"/>
                </w:tcPr>
                <w:p w14:paraId="5EC8AFA2">
                  <w:pPr>
                    <w:spacing w:line="240" w:lineRule="auto"/>
                    <w:ind w:firstLine="0" w:firstLineChars="0"/>
                    <w:jc w:val="center"/>
                    <w:rPr>
                      <w:rFonts w:hint="default" w:ascii="Times New Roman" w:hAnsi="Times New Roman" w:cs="Times New Roman"/>
                      <w:color w:val="auto"/>
                      <w:sz w:val="21"/>
                      <w:szCs w:val="21"/>
                    </w:rPr>
                  </w:pPr>
                </w:p>
              </w:tc>
              <w:tc>
                <w:tcPr>
                  <w:tcW w:w="686" w:type="pct"/>
                  <w:vMerge w:val="restart"/>
                  <w:tcBorders>
                    <w:right w:val="single" w:color="000000" w:sz="4" w:space="0"/>
                  </w:tcBorders>
                  <w:vAlign w:val="center"/>
                </w:tcPr>
                <w:p w14:paraId="2D3D933C">
                  <w:pPr>
                    <w:pStyle w:val="61"/>
                    <w:spacing w:line="240" w:lineRule="auto"/>
                    <w:ind w:left="125" w:right="117"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危险废物</w:t>
                  </w:r>
                </w:p>
              </w:tc>
              <w:tc>
                <w:tcPr>
                  <w:tcW w:w="1064" w:type="pct"/>
                  <w:tcBorders>
                    <w:left w:val="single" w:color="000000" w:sz="4" w:space="0"/>
                  </w:tcBorders>
                  <w:vAlign w:val="center"/>
                </w:tcPr>
                <w:p w14:paraId="1139EE5E">
                  <w:pPr>
                    <w:pStyle w:val="61"/>
                    <w:spacing w:line="240" w:lineRule="auto"/>
                    <w:ind w:left="125" w:right="12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设备维护</w:t>
                  </w:r>
                </w:p>
              </w:tc>
              <w:tc>
                <w:tcPr>
                  <w:tcW w:w="2503" w:type="pct"/>
                  <w:tcBorders>
                    <w:tl2br w:val="nil"/>
                    <w:tr2bl w:val="nil"/>
                  </w:tcBorders>
                  <w:vAlign w:val="center"/>
                </w:tcPr>
                <w:p w14:paraId="15F52F37">
                  <w:pPr>
                    <w:pStyle w:val="61"/>
                    <w:spacing w:line="240" w:lineRule="auto"/>
                    <w:ind w:left="125" w:right="120"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rPr>
                    <w:t>废机油、</w:t>
                  </w:r>
                  <w:r>
                    <w:rPr>
                      <w:rFonts w:hint="default" w:ascii="Times New Roman" w:hAnsi="Times New Roman" w:cs="Times New Roman"/>
                      <w:color w:val="auto"/>
                      <w:sz w:val="21"/>
                      <w:szCs w:val="21"/>
                      <w:lang w:val="en-US"/>
                    </w:rPr>
                    <w:t>废机油桶、废含油抹布、手套</w:t>
                  </w:r>
                </w:p>
              </w:tc>
            </w:tr>
            <w:tr w14:paraId="3D9D59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continue"/>
                  <w:tcBorders>
                    <w:tl2br w:val="nil"/>
                    <w:tr2bl w:val="nil"/>
                  </w:tcBorders>
                  <w:vAlign w:val="center"/>
                </w:tcPr>
                <w:p w14:paraId="378E6272">
                  <w:pPr>
                    <w:spacing w:line="240" w:lineRule="auto"/>
                    <w:ind w:firstLine="0" w:firstLineChars="0"/>
                    <w:jc w:val="center"/>
                    <w:rPr>
                      <w:rFonts w:hint="default" w:ascii="Times New Roman" w:hAnsi="Times New Roman" w:cs="Times New Roman"/>
                      <w:color w:val="auto"/>
                      <w:sz w:val="21"/>
                      <w:szCs w:val="21"/>
                    </w:rPr>
                  </w:pPr>
                </w:p>
              </w:tc>
              <w:tc>
                <w:tcPr>
                  <w:tcW w:w="686" w:type="pct"/>
                  <w:vMerge w:val="continue"/>
                  <w:tcBorders>
                    <w:right w:val="single" w:color="000000" w:sz="4" w:space="0"/>
                  </w:tcBorders>
                  <w:vAlign w:val="center"/>
                </w:tcPr>
                <w:p w14:paraId="44DA8FAD">
                  <w:pPr>
                    <w:pStyle w:val="61"/>
                    <w:spacing w:line="240" w:lineRule="auto"/>
                    <w:ind w:left="125" w:right="117" w:firstLine="0" w:firstLineChars="0"/>
                    <w:jc w:val="center"/>
                    <w:rPr>
                      <w:rFonts w:hint="default" w:ascii="Times New Roman" w:hAnsi="Times New Roman" w:cs="Times New Roman"/>
                      <w:color w:val="auto"/>
                      <w:sz w:val="21"/>
                      <w:szCs w:val="21"/>
                    </w:rPr>
                  </w:pPr>
                </w:p>
              </w:tc>
              <w:tc>
                <w:tcPr>
                  <w:tcW w:w="1064" w:type="pct"/>
                  <w:tcBorders>
                    <w:left w:val="single" w:color="000000" w:sz="4" w:space="0"/>
                  </w:tcBorders>
                  <w:vAlign w:val="center"/>
                </w:tcPr>
                <w:p w14:paraId="4219C526">
                  <w:pPr>
                    <w:pStyle w:val="61"/>
                    <w:spacing w:line="240" w:lineRule="auto"/>
                    <w:ind w:left="125" w:right="117"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废气治理过程</w:t>
                  </w:r>
                </w:p>
              </w:tc>
              <w:tc>
                <w:tcPr>
                  <w:tcW w:w="2503" w:type="pct"/>
                  <w:tcBorders>
                    <w:tl2br w:val="nil"/>
                    <w:tr2bl w:val="nil"/>
                  </w:tcBorders>
                  <w:vAlign w:val="center"/>
                </w:tcPr>
                <w:p w14:paraId="1045F26A">
                  <w:pPr>
                    <w:pStyle w:val="61"/>
                    <w:spacing w:line="240" w:lineRule="auto"/>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废活性炭</w:t>
                  </w:r>
                </w:p>
              </w:tc>
            </w:tr>
            <w:tr w14:paraId="201222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745" w:type="pct"/>
                  <w:vMerge w:val="continue"/>
                  <w:tcBorders>
                    <w:tl2br w:val="nil"/>
                    <w:tr2bl w:val="nil"/>
                  </w:tcBorders>
                  <w:vAlign w:val="center"/>
                </w:tcPr>
                <w:p w14:paraId="1E5CF5DE">
                  <w:pPr>
                    <w:spacing w:line="240" w:lineRule="auto"/>
                    <w:ind w:firstLine="0" w:firstLineChars="0"/>
                    <w:jc w:val="center"/>
                    <w:rPr>
                      <w:rFonts w:hint="default" w:ascii="Times New Roman" w:hAnsi="Times New Roman" w:cs="Times New Roman"/>
                      <w:color w:val="auto"/>
                      <w:sz w:val="21"/>
                      <w:szCs w:val="21"/>
                    </w:rPr>
                  </w:pPr>
                </w:p>
              </w:tc>
              <w:tc>
                <w:tcPr>
                  <w:tcW w:w="686" w:type="pct"/>
                  <w:tcBorders>
                    <w:right w:val="single" w:color="000000" w:sz="4" w:space="0"/>
                  </w:tcBorders>
                  <w:vAlign w:val="center"/>
                </w:tcPr>
                <w:p w14:paraId="0EB13FEB">
                  <w:pPr>
                    <w:pStyle w:val="61"/>
                    <w:spacing w:line="240" w:lineRule="auto"/>
                    <w:ind w:left="125" w:right="120"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生活垃圾</w:t>
                  </w:r>
                </w:p>
              </w:tc>
              <w:tc>
                <w:tcPr>
                  <w:tcW w:w="1064" w:type="pct"/>
                  <w:tcBorders>
                    <w:left w:val="single" w:color="000000" w:sz="4" w:space="0"/>
                  </w:tcBorders>
                  <w:vAlign w:val="center"/>
                </w:tcPr>
                <w:p w14:paraId="6ACB8CCA">
                  <w:pPr>
                    <w:pStyle w:val="61"/>
                    <w:spacing w:line="240" w:lineRule="auto"/>
                    <w:ind w:left="125" w:right="12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职工办公</w:t>
                  </w:r>
                </w:p>
              </w:tc>
              <w:tc>
                <w:tcPr>
                  <w:tcW w:w="2503" w:type="pct"/>
                  <w:tcBorders>
                    <w:tl2br w:val="nil"/>
                    <w:tr2bl w:val="nil"/>
                  </w:tcBorders>
                  <w:vAlign w:val="center"/>
                </w:tcPr>
                <w:p w14:paraId="3F0612B0">
                  <w:pPr>
                    <w:pStyle w:val="61"/>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r>
          </w:tbl>
          <w:p w14:paraId="24384340">
            <w:pPr>
              <w:ind w:firstLine="0" w:firstLineChars="0"/>
              <w:rPr>
                <w:rFonts w:hint="default" w:ascii="Times New Roman" w:hAnsi="Times New Roman" w:cs="Times New Roman"/>
                <w:bCs/>
                <w:color w:val="auto"/>
                <w:kern w:val="21"/>
                <w:szCs w:val="21"/>
              </w:rPr>
            </w:pPr>
          </w:p>
        </w:tc>
      </w:tr>
      <w:tr w14:paraId="63141F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dxa"/>
            <w:vAlign w:val="center"/>
          </w:tcPr>
          <w:p w14:paraId="127A1CB5">
            <w:pPr>
              <w:pStyle w:val="23"/>
              <w:spacing w:before="0" w:beforeAutospacing="0" w:after="0" w:afterAutospacing="0"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bCs/>
                <w:color w:val="auto"/>
                <w:kern w:val="21"/>
                <w:sz w:val="21"/>
                <w:szCs w:val="21"/>
              </w:rPr>
              <w:t>与项目有关的原有环境污染问题</w:t>
            </w:r>
          </w:p>
        </w:tc>
        <w:tc>
          <w:tcPr>
            <w:tcW w:w="8604" w:type="dxa"/>
            <w:vAlign w:val="center"/>
          </w:tcPr>
          <w:p w14:paraId="7969CF15">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一、现有项目概况</w:t>
            </w:r>
          </w:p>
          <w:p w14:paraId="410E3B4B">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调查，陕西沣汇明阳包装材料有限公司租赁长安油毡原纸厂现有厂房及办公区进行生产办公。长安油毡原纸厂租用蒲阳村19.45亩集体建设用地用以建设厂房，该厂房于1996年建成投入生产经营，未办理环评手续，2010年~2018年6月长安油毡原纸厂处于停产状态，直到陕西双夏包装材料有限公司于2018年6月2日租赁该厂房开始建设珍珠棉及深加工产品生产线项目，期间未履行环保手续，西安市生态环境局于2023年7月11日出具关于该项目未批先建的《责令改正违法行为决定书》（陕A西咸沣东环违改〔2023〕64号），陕西双夏包装材料有限公司于2023年8月22日缴纳罚款，后因经营不善倒闭，将生产设备全部出售给陕西沣汇明阳包装材料有限公司，2024年7月陕西沣汇明阳包装材料有限公司接手陕西双夏包装材料有限公司所有生产设备继续进行珍珠棉包装材料生产项目建设。</w:t>
            </w:r>
          </w:p>
          <w:p w14:paraId="726EEBA5">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cs="Times New Roman"/>
                <w:color w:val="auto"/>
                <w:sz w:val="24"/>
                <w:szCs w:val="24"/>
              </w:rPr>
            </w:pPr>
            <w:r>
              <w:rPr>
                <w:rFonts w:hint="default" w:ascii="Times New Roman" w:hAnsi="Times New Roman" w:cs="Times New Roman"/>
                <w:b/>
                <w:bCs/>
                <w:color w:val="auto"/>
                <w:kern w:val="0"/>
                <w:sz w:val="24"/>
                <w:szCs w:val="24"/>
                <w:lang w:bidi="ar"/>
              </w:rPr>
              <w:t>二、</w:t>
            </w:r>
            <w:r>
              <w:rPr>
                <w:rFonts w:hint="default" w:ascii="Times New Roman" w:hAnsi="Times New Roman" w:cs="Times New Roman"/>
                <w:b/>
                <w:bCs/>
                <w:color w:val="auto"/>
                <w:sz w:val="24"/>
                <w:szCs w:val="24"/>
              </w:rPr>
              <w:t>现有</w:t>
            </w:r>
            <w:r>
              <w:rPr>
                <w:rFonts w:hint="default" w:ascii="Times New Roman" w:hAnsi="Times New Roman" w:cs="Times New Roman"/>
                <w:b/>
                <w:bCs/>
                <w:color w:val="auto"/>
                <w:kern w:val="0"/>
                <w:sz w:val="24"/>
                <w:szCs w:val="24"/>
                <w:lang w:bidi="ar"/>
              </w:rPr>
              <w:t>项目</w:t>
            </w:r>
            <w:r>
              <w:rPr>
                <w:rFonts w:hint="default" w:ascii="Times New Roman" w:hAnsi="Times New Roman" w:cs="Times New Roman"/>
                <w:b/>
                <w:bCs/>
                <w:color w:val="auto"/>
                <w:kern w:val="0"/>
                <w:sz w:val="24"/>
                <w:szCs w:val="24"/>
                <w:lang w:val="en-US" w:eastAsia="zh-CN" w:bidi="ar"/>
              </w:rPr>
              <w:t>已建成</w:t>
            </w:r>
            <w:r>
              <w:rPr>
                <w:rFonts w:hint="default" w:ascii="Times New Roman" w:hAnsi="Times New Roman" w:cs="Times New Roman"/>
                <w:b/>
                <w:bCs/>
                <w:color w:val="auto"/>
                <w:kern w:val="0"/>
                <w:sz w:val="24"/>
                <w:szCs w:val="24"/>
                <w:lang w:bidi="ar"/>
              </w:rPr>
              <w:t>污染治理措施情况</w:t>
            </w:r>
          </w:p>
          <w:p w14:paraId="782897AD">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1、废水</w:t>
            </w:r>
          </w:p>
          <w:p w14:paraId="41FFD3EC">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本项目雨水经厂区内雨水系统排出厂外，设备冷却水通过循环冷却水系统循环使用，定期补充新鲜水，</w:t>
            </w:r>
            <w:r>
              <w:rPr>
                <w:rFonts w:hint="default" w:ascii="Times New Roman" w:hAnsi="Times New Roman" w:cs="Times New Roman"/>
                <w:color w:val="auto"/>
                <w:kern w:val="0"/>
                <w:sz w:val="24"/>
                <w:szCs w:val="24"/>
                <w:lang w:val="en-US" w:eastAsia="zh-CN" w:bidi="ar"/>
              </w:rPr>
              <w:t>循环冷却水系统产生的排污水用于厂区洒水降尘，</w:t>
            </w:r>
            <w:r>
              <w:rPr>
                <w:rFonts w:hint="default" w:ascii="Times New Roman" w:hAnsi="Times New Roman" w:cs="Times New Roman"/>
                <w:color w:val="auto"/>
                <w:kern w:val="0"/>
                <w:sz w:val="24"/>
                <w:szCs w:val="24"/>
                <w:lang w:val="en-US" w:eastAsia="zh-CN" w:bidi="ar"/>
              </w:rPr>
              <w:t>生活污水进入厂区化粪池（位于厂区西北侧，18m</w:t>
            </w:r>
            <w:r>
              <w:rPr>
                <w:rFonts w:hint="default" w:ascii="Times New Roman" w:hAnsi="Times New Roman" w:cs="Times New Roman"/>
                <w:color w:val="auto"/>
                <w:kern w:val="0"/>
                <w:sz w:val="24"/>
                <w:szCs w:val="24"/>
                <w:vertAlign w:val="superscript"/>
                <w:lang w:val="en-US" w:eastAsia="zh-CN" w:bidi="ar"/>
              </w:rPr>
              <w:t>3</w:t>
            </w:r>
            <w:r>
              <w:rPr>
                <w:rFonts w:hint="default" w:ascii="Times New Roman" w:hAnsi="Times New Roman" w:cs="Times New Roman"/>
                <w:color w:val="auto"/>
                <w:kern w:val="0"/>
                <w:sz w:val="24"/>
                <w:szCs w:val="24"/>
                <w:lang w:val="en-US" w:eastAsia="zh-CN" w:bidi="ar"/>
              </w:rPr>
              <w:t>）处理后定期清掏肥田，不外排。</w:t>
            </w:r>
          </w:p>
          <w:p w14:paraId="0252CAAC">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b/>
                <w:color w:val="auto"/>
                <w:sz w:val="24"/>
                <w:szCs w:val="24"/>
              </w:rPr>
              <w:t>存在的环保问题</w:t>
            </w:r>
            <w:r>
              <w:rPr>
                <w:rFonts w:hint="default" w:ascii="Times New Roman" w:hAnsi="Times New Roman" w:cs="Times New Roman"/>
                <w:b/>
                <w:color w:val="auto"/>
                <w:sz w:val="24"/>
                <w:szCs w:val="24"/>
                <w:lang w:eastAsia="zh-CN"/>
              </w:rPr>
              <w:t>：</w:t>
            </w:r>
            <w:r>
              <w:rPr>
                <w:rFonts w:hint="default" w:ascii="Times New Roman" w:hAnsi="Times New Roman" w:eastAsia="宋体" w:cs="Times New Roman"/>
                <w:color w:val="auto"/>
                <w:kern w:val="0"/>
                <w:sz w:val="24"/>
                <w:szCs w:val="24"/>
                <w:lang w:val="en-US" w:eastAsia="zh-CN" w:bidi="ar"/>
              </w:rPr>
              <w:t>本项目</w:t>
            </w:r>
            <w:r>
              <w:rPr>
                <w:rFonts w:hint="default" w:ascii="Times New Roman" w:hAnsi="Times New Roman" w:cs="Times New Roman"/>
                <w:color w:val="auto"/>
                <w:kern w:val="0"/>
                <w:sz w:val="24"/>
                <w:szCs w:val="24"/>
                <w:lang w:val="en-US" w:eastAsia="zh-CN" w:bidi="ar"/>
              </w:rPr>
              <w:t>油水分离器未建，</w:t>
            </w:r>
            <w:r>
              <w:rPr>
                <w:rFonts w:hint="default" w:ascii="Times New Roman" w:hAnsi="Times New Roman" w:eastAsia="宋体" w:cs="Times New Roman"/>
                <w:color w:val="auto"/>
                <w:kern w:val="0"/>
                <w:sz w:val="24"/>
                <w:szCs w:val="24"/>
                <w:lang w:val="en-US" w:eastAsia="zh-CN" w:bidi="ar"/>
              </w:rPr>
              <w:t>食堂废水经油水分离器处理后</w:t>
            </w:r>
            <w:r>
              <w:rPr>
                <w:rFonts w:hint="default" w:ascii="Times New Roman" w:hAnsi="Times New Roman" w:cs="Times New Roman"/>
                <w:color w:val="auto"/>
                <w:kern w:val="0"/>
                <w:sz w:val="24"/>
                <w:szCs w:val="24"/>
                <w:lang w:val="en-US" w:eastAsia="zh-CN" w:bidi="ar"/>
              </w:rPr>
              <w:t>进入</w:t>
            </w:r>
            <w:r>
              <w:rPr>
                <w:rFonts w:hint="default" w:ascii="Times New Roman" w:hAnsi="Times New Roman" w:eastAsia="宋体" w:cs="Times New Roman"/>
                <w:color w:val="auto"/>
                <w:kern w:val="0"/>
                <w:sz w:val="24"/>
                <w:szCs w:val="24"/>
                <w:lang w:val="en-US" w:eastAsia="zh-CN" w:bidi="ar"/>
              </w:rPr>
              <w:t>厂区化粪池</w:t>
            </w:r>
            <w:r>
              <w:rPr>
                <w:rFonts w:hint="default" w:ascii="Times New Roman" w:hAnsi="Times New Roman" w:cs="Times New Roman"/>
                <w:color w:val="auto"/>
                <w:kern w:val="0"/>
                <w:sz w:val="24"/>
                <w:szCs w:val="24"/>
                <w:lang w:val="en-US" w:eastAsia="zh-CN" w:bidi="ar"/>
              </w:rPr>
              <w:t>和生活污水一起处理后</w:t>
            </w:r>
            <w:r>
              <w:rPr>
                <w:rFonts w:hint="default" w:ascii="Times New Roman" w:hAnsi="Times New Roman" w:eastAsia="宋体" w:cs="Times New Roman"/>
                <w:color w:val="auto"/>
                <w:kern w:val="0"/>
                <w:sz w:val="24"/>
                <w:szCs w:val="24"/>
                <w:lang w:val="en-US" w:eastAsia="zh-CN" w:bidi="ar"/>
              </w:rPr>
              <w:t>定期清掏肥田，不外排</w:t>
            </w:r>
            <w:r>
              <w:rPr>
                <w:rFonts w:hint="default" w:ascii="Times New Roman" w:hAnsi="Times New Roman" w:cs="Times New Roman"/>
                <w:color w:val="auto"/>
                <w:kern w:val="0"/>
                <w:sz w:val="24"/>
                <w:szCs w:val="24"/>
                <w:lang w:val="en-US" w:eastAsia="zh-CN" w:bidi="ar"/>
              </w:rPr>
              <w:t>，建成后可满足环保要求。</w:t>
            </w:r>
          </w:p>
          <w:p w14:paraId="49736E6D">
            <w:pPr>
              <w:keepNext w:val="0"/>
              <w:keepLines w:val="0"/>
              <w:pageBreakBefore w:val="0"/>
              <w:numPr>
                <w:ilvl w:val="0"/>
                <w:numId w:val="1"/>
              </w:numPr>
              <w:kinsoku/>
              <w:wordWrap/>
              <w:overflowPunct/>
              <w:topLinePunct w:val="0"/>
              <w:autoSpaceDE/>
              <w:autoSpaceDN/>
              <w:bidi w:val="0"/>
              <w:adjustRightInd w:val="0"/>
              <w:snapToGrid w:val="0"/>
              <w:spacing w:line="360" w:lineRule="auto"/>
              <w:ind w:left="0" w:leftChars="0" w:firstLine="480" w:firstLineChars="200"/>
              <w:jc w:val="both"/>
              <w:textAlignment w:val="auto"/>
              <w:rPr>
                <w:rFonts w:hint="default" w:ascii="Times New Roman" w:hAnsi="Times New Roman"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废气</w:t>
            </w:r>
          </w:p>
          <w:p w14:paraId="54151F3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本项目大气污染源主要为：原料混合及造粒工序投料</w:t>
            </w:r>
            <w:r>
              <w:rPr>
                <w:rFonts w:hint="default" w:ascii="Times New Roman" w:hAnsi="Times New Roman" w:eastAsia="宋体" w:cs="Times New Roman"/>
                <w:color w:val="auto"/>
                <w:sz w:val="24"/>
                <w:szCs w:val="24"/>
                <w:lang w:val="en-US" w:eastAsia="zh-CN"/>
              </w:rPr>
              <w:t>粉尘、</w:t>
            </w:r>
            <w:r>
              <w:rPr>
                <w:rFonts w:hint="default" w:ascii="Times New Roman" w:hAnsi="Times New Roman" w:eastAsia="宋体" w:cs="Times New Roman"/>
                <w:color w:val="auto"/>
                <w:sz w:val="24"/>
                <w:szCs w:val="24"/>
              </w:rPr>
              <w:t>发泡挤出、复合、粘合、造粒工序产生的非甲烷总烃、食堂油烟等。</w:t>
            </w:r>
          </w:p>
          <w:p w14:paraId="1E15A3B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①原料混合粉尘：原料混合工序主要是聚乙烯颗粒、单甘酯、发泡母粒、色母进行混合，均为颗粒状</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lang w:val="en-US" w:eastAsia="zh-CN"/>
              </w:rPr>
              <w:t>表面无附着粉尘，</w:t>
            </w:r>
            <w:r>
              <w:rPr>
                <w:rFonts w:hint="default" w:ascii="Times New Roman" w:hAnsi="Times New Roman" w:cs="Times New Roman"/>
                <w:color w:val="auto"/>
              </w:rPr>
              <w:t>且上料过程为密闭负压抽吸上料，</w:t>
            </w:r>
            <w:r>
              <w:rPr>
                <w:rFonts w:hint="default" w:ascii="Times New Roman" w:hAnsi="Times New Roman" w:eastAsia="宋体" w:cs="Times New Roman"/>
                <w:color w:val="auto"/>
                <w:lang w:val="en-US" w:eastAsia="zh-CN"/>
              </w:rPr>
              <w:t>生产设备均位于密闭厂房内</w:t>
            </w:r>
            <w:r>
              <w:rPr>
                <w:rFonts w:hint="default" w:ascii="Times New Roman" w:hAnsi="Times New Roman" w:eastAsia="宋体" w:cs="Times New Roman"/>
                <w:color w:val="auto"/>
                <w:sz w:val="24"/>
                <w:szCs w:val="24"/>
                <w:lang w:val="en-US" w:eastAsia="zh-CN"/>
              </w:rPr>
              <w:t>，粉尘产生量极少</w:t>
            </w:r>
            <w:r>
              <w:rPr>
                <w:rFonts w:hint="default" w:ascii="Times New Roman" w:hAnsi="Times New Roman" w:cs="Times New Roman"/>
                <w:color w:val="auto"/>
                <w:sz w:val="24"/>
                <w:szCs w:val="24"/>
                <w:lang w:val="en-US" w:eastAsia="zh-CN"/>
              </w:rPr>
              <w:t>，在厂房内无组织排放</w:t>
            </w:r>
            <w:r>
              <w:rPr>
                <w:rFonts w:hint="default" w:ascii="Times New Roman" w:hAnsi="Times New Roman" w:eastAsia="宋体" w:cs="Times New Roman"/>
                <w:color w:val="auto"/>
                <w:sz w:val="24"/>
                <w:szCs w:val="24"/>
                <w:lang w:val="en-US" w:eastAsia="zh-CN"/>
              </w:rPr>
              <w:t>。</w:t>
            </w:r>
          </w:p>
          <w:p w14:paraId="0EF8445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②造粒工序投料粉尘：造粒工序中，边角料和不合格产品均为不规则珍珠棉片，不进行破碎，切粒后的成品亦为颗粒，生产过程中产生的粉尘极少</w:t>
            </w:r>
            <w:r>
              <w:rPr>
                <w:rFonts w:hint="default" w:ascii="Times New Roman" w:hAnsi="Times New Roman" w:cs="Times New Roman"/>
                <w:color w:val="auto"/>
                <w:sz w:val="24"/>
                <w:szCs w:val="24"/>
                <w:lang w:val="en-US" w:eastAsia="zh-CN"/>
              </w:rPr>
              <w:t>，在厂房内无组织排放</w:t>
            </w:r>
            <w:r>
              <w:rPr>
                <w:rFonts w:hint="default" w:ascii="Times New Roman" w:hAnsi="Times New Roman" w:eastAsia="宋体" w:cs="Times New Roman"/>
                <w:color w:val="auto"/>
                <w:sz w:val="24"/>
                <w:szCs w:val="24"/>
                <w:lang w:val="en-US" w:eastAsia="zh-CN"/>
              </w:rPr>
              <w:t>。</w:t>
            </w:r>
          </w:p>
          <w:p w14:paraId="4330F5D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③发泡挤出、复合、粘合、造粒工序产生的非甲烷总烃</w:t>
            </w:r>
          </w:p>
          <w:p w14:paraId="21D3BE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发泡挤出工序产生的非甲烷总烃经集气罩收集后通过一套二级活性炭吸附装置处理后由1根15m排气筒（DA001）排放；复合工序产生的非甲烷总烃经集气罩收集后通过一套二级活性炭吸附装置处理，然后通过1根15m排气筒（DA002）排放；粘合工序产生的非甲烷总烃经集气罩收集后通过一套二级活性炭吸附装置处理后由1根15m排气筒（DA003）排放；造粒工序产生的非甲烷总烃经集气罩收集后通过一套二级活性炭吸附装置处理后，由15米高排气筒（DA004）排放</w:t>
            </w:r>
            <w:r>
              <w:rPr>
                <w:rFonts w:hint="default" w:ascii="Times New Roman" w:hAnsi="Times New Roman" w:eastAsia="宋体" w:cs="Times New Roman"/>
                <w:color w:val="auto"/>
                <w:sz w:val="24"/>
                <w:szCs w:val="24"/>
                <w:lang w:eastAsia="zh-CN"/>
              </w:rPr>
              <w:t>。</w:t>
            </w:r>
          </w:p>
          <w:p w14:paraId="459A58B5">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eastAsia="宋体" w:cs="Times New Roman"/>
                <w:color w:val="auto"/>
                <w:sz w:val="24"/>
                <w:szCs w:val="24"/>
                <w:highlight w:val="none"/>
                <w:lang w:bidi="ar"/>
              </w:rPr>
            </w:pPr>
            <w:r>
              <w:rPr>
                <w:rFonts w:hint="default" w:ascii="Times New Roman" w:hAnsi="Times New Roman" w:eastAsia="宋体" w:cs="Times New Roman"/>
                <w:color w:val="auto"/>
                <w:sz w:val="24"/>
                <w:szCs w:val="24"/>
                <w:highlight w:val="none"/>
                <w:lang w:bidi="ar"/>
              </w:rPr>
              <w:t>本项目发泡挤出、复合、粘合、造粒工序产生的非甲烷总烃均采用二级活性炭吸附技术，属于《排污许可证申请与核发技术规范 橡胶和塑料制品工业》（HJ1122-2020）附录A.2塑料制品工业排污单位废气污染防治可行技术，参考表中泡沫塑料制造废气产生的非甲烷总烃对应的可行性技术“吸附”，故</w:t>
            </w:r>
            <w:r>
              <w:rPr>
                <w:rFonts w:hint="default" w:ascii="Times New Roman" w:hAnsi="Times New Roman" w:eastAsia="宋体" w:cs="Times New Roman"/>
                <w:color w:val="auto"/>
                <w:sz w:val="24"/>
                <w:szCs w:val="24"/>
                <w:highlight w:val="none"/>
                <w:lang w:val="en-US" w:eastAsia="zh-CN" w:bidi="ar"/>
              </w:rPr>
              <w:t>本</w:t>
            </w:r>
            <w:r>
              <w:rPr>
                <w:rFonts w:hint="default" w:ascii="Times New Roman" w:hAnsi="Times New Roman" w:eastAsia="宋体" w:cs="Times New Roman"/>
                <w:color w:val="auto"/>
                <w:sz w:val="24"/>
                <w:szCs w:val="24"/>
                <w:highlight w:val="none"/>
                <w:lang w:bidi="ar"/>
              </w:rPr>
              <w:t>项目有机废气采用活性炭吸附</w:t>
            </w:r>
            <w:r>
              <w:rPr>
                <w:rFonts w:hint="default" w:ascii="Times New Roman" w:hAnsi="Times New Roman" w:eastAsia="宋体" w:cs="Times New Roman"/>
                <w:color w:val="auto"/>
                <w:sz w:val="24"/>
                <w:szCs w:val="24"/>
                <w:highlight w:val="none"/>
                <w:lang w:val="en-US" w:eastAsia="zh-CN" w:bidi="ar"/>
              </w:rPr>
              <w:t>技术</w:t>
            </w:r>
            <w:r>
              <w:rPr>
                <w:rFonts w:hint="default" w:ascii="Times New Roman" w:hAnsi="Times New Roman" w:eastAsia="宋体" w:cs="Times New Roman"/>
                <w:color w:val="auto"/>
                <w:sz w:val="24"/>
                <w:szCs w:val="24"/>
                <w:highlight w:val="none"/>
                <w:lang w:bidi="ar"/>
              </w:rPr>
              <w:t>是可行的。</w:t>
            </w:r>
          </w:p>
          <w:p w14:paraId="495A5E7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④</w:t>
            </w:r>
            <w:r>
              <w:rPr>
                <w:rFonts w:hint="default" w:ascii="Times New Roman" w:hAnsi="Times New Roman" w:eastAsia="宋体" w:cs="Times New Roman"/>
                <w:color w:val="auto"/>
                <w:sz w:val="24"/>
                <w:szCs w:val="24"/>
                <w:highlight w:val="none"/>
              </w:rPr>
              <w:t>食堂油烟经油烟净化器处理后经引至楼顶排放（DA005），</w:t>
            </w:r>
            <w:r>
              <w:rPr>
                <w:rFonts w:hint="default" w:ascii="Times New Roman" w:hAnsi="Times New Roman" w:cs="Times New Roman"/>
                <w:color w:val="auto"/>
                <w:sz w:val="24"/>
                <w:szCs w:val="24"/>
                <w:highlight w:val="none"/>
                <w:lang w:val="en-US" w:eastAsia="zh-CN"/>
              </w:rPr>
              <w:t>满足环保要求</w:t>
            </w:r>
            <w:r>
              <w:rPr>
                <w:rFonts w:hint="default" w:ascii="Times New Roman" w:hAnsi="Times New Roman" w:eastAsia="宋体" w:cs="Times New Roman"/>
                <w:color w:val="auto"/>
                <w:sz w:val="24"/>
                <w:szCs w:val="24"/>
                <w:highlight w:val="none"/>
              </w:rPr>
              <w:t>。</w:t>
            </w:r>
          </w:p>
          <w:p w14:paraId="3C1A5174">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color w:val="auto"/>
                <w:sz w:val="24"/>
                <w:szCs w:val="24"/>
                <w:highlight w:val="none"/>
              </w:rPr>
              <w:t>存在的环保问题</w:t>
            </w:r>
            <w:r>
              <w:rPr>
                <w:rFonts w:hint="default" w:ascii="Times New Roman" w:hAnsi="Times New Roman" w:eastAsia="宋体" w:cs="Times New Roman"/>
                <w:b/>
                <w:color w:val="auto"/>
                <w:sz w:val="24"/>
                <w:szCs w:val="24"/>
                <w:highlight w:val="none"/>
                <w:lang w:eastAsia="zh-CN"/>
              </w:rPr>
              <w:t>：</w:t>
            </w:r>
            <w:r>
              <w:rPr>
                <w:rFonts w:hint="default" w:ascii="Times New Roman" w:hAnsi="Times New Roman" w:cs="Times New Roman"/>
                <w:bCs/>
                <w:color w:val="auto"/>
                <w:sz w:val="24"/>
                <w:szCs w:val="24"/>
                <w:highlight w:val="none"/>
              </w:rPr>
              <w:t>现</w:t>
            </w:r>
            <w:r>
              <w:rPr>
                <w:rFonts w:hint="default" w:ascii="Times New Roman" w:hAnsi="Times New Roman" w:eastAsia="宋体" w:cs="Times New Roman"/>
                <w:color w:val="auto"/>
                <w:sz w:val="24"/>
                <w:szCs w:val="24"/>
                <w:highlight w:val="none"/>
              </w:rPr>
              <w:t>有工程覆膜机、增厚机生产过程中</w:t>
            </w:r>
            <w:r>
              <w:rPr>
                <w:rFonts w:hint="default" w:ascii="Times New Roman" w:hAnsi="Times New Roman" w:eastAsia="宋体" w:cs="Times New Roman"/>
                <w:color w:val="auto"/>
                <w:sz w:val="24"/>
                <w:szCs w:val="24"/>
              </w:rPr>
              <w:t>产生的有机废气未采取收集治理措施</w:t>
            </w:r>
            <w:r>
              <w:rPr>
                <w:rFonts w:hint="default" w:ascii="Times New Roman" w:hAnsi="Times New Roman" w:eastAsia="宋体" w:cs="Times New Roman"/>
                <w:color w:val="auto"/>
                <w:sz w:val="24"/>
                <w:szCs w:val="24"/>
                <w:lang w:eastAsia="zh-CN"/>
              </w:rPr>
              <w:t>。</w:t>
            </w:r>
          </w:p>
          <w:p w14:paraId="035A9973">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cs="Times New Roman"/>
                <w:color w:val="auto"/>
                <w:kern w:val="0"/>
                <w:sz w:val="24"/>
                <w:szCs w:val="24"/>
                <w:lang w:val="en-US" w:eastAsia="zh-CN" w:bidi="ar"/>
              </w:rPr>
            </w:pPr>
            <w:r>
              <w:rPr>
                <w:rFonts w:hint="default" w:ascii="Times New Roman" w:hAnsi="Times New Roman" w:cs="Times New Roman"/>
                <w:color w:val="auto"/>
                <w:kern w:val="0"/>
                <w:sz w:val="24"/>
                <w:szCs w:val="24"/>
                <w:lang w:val="en-US" w:eastAsia="zh-CN" w:bidi="ar"/>
              </w:rPr>
              <w:t>3、噪声</w:t>
            </w:r>
          </w:p>
          <w:p w14:paraId="04A27F5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w:t>
            </w:r>
            <w:r>
              <w:rPr>
                <w:rFonts w:hint="default" w:ascii="Times New Roman" w:hAnsi="Times New Roman" w:cs="Times New Roman"/>
                <w:color w:val="auto"/>
                <w:sz w:val="24"/>
                <w:szCs w:val="24"/>
              </w:rPr>
              <w:t>项目运营期噪声主要来自机械噪声，包括发泡机、造粒机、冷却塔、复合机及造粒机等，</w:t>
            </w:r>
            <w:r>
              <w:rPr>
                <w:rFonts w:hint="default" w:ascii="Times New Roman" w:hAnsi="Times New Roman" w:cs="Times New Roman"/>
                <w:color w:val="auto"/>
                <w:sz w:val="24"/>
                <w:szCs w:val="24"/>
                <w:lang w:val="en-US" w:eastAsia="zh-CN"/>
              </w:rPr>
              <w:t>通过噪声预测，</w:t>
            </w:r>
            <w:r>
              <w:rPr>
                <w:rFonts w:hint="default" w:ascii="Times New Roman" w:hAnsi="Times New Roman" w:cs="Times New Roman"/>
                <w:color w:val="auto"/>
                <w:sz w:val="24"/>
                <w:szCs w:val="24"/>
              </w:rPr>
              <w:t>运营期</w:t>
            </w:r>
            <w:r>
              <w:rPr>
                <w:rFonts w:hint="default" w:ascii="Times New Roman" w:hAnsi="Times New Roman" w:cs="Times New Roman"/>
                <w:color w:val="auto"/>
                <w:sz w:val="24"/>
                <w:szCs w:val="24"/>
                <w:lang w:val="en-US" w:eastAsia="zh-CN"/>
              </w:rPr>
              <w:t>产生的</w:t>
            </w:r>
            <w:r>
              <w:rPr>
                <w:rFonts w:hint="default" w:ascii="Times New Roman" w:hAnsi="Times New Roman" w:cs="Times New Roman"/>
                <w:color w:val="auto"/>
                <w:sz w:val="24"/>
                <w:szCs w:val="24"/>
              </w:rPr>
              <w:t>噪声</w:t>
            </w:r>
            <w:r>
              <w:rPr>
                <w:rFonts w:hint="default" w:ascii="Times New Roman" w:hAnsi="Times New Roman" w:eastAsia="宋体" w:cs="Times New Roman"/>
                <w:color w:val="auto"/>
                <w:sz w:val="24"/>
                <w:szCs w:val="24"/>
              </w:rPr>
              <w:t>经采用基础减振、周边墙体隔声、采用低噪声设备、安装隔声罩、管道接口采用隔音材料包裹处理后，随距离衰减至厂界</w:t>
            </w:r>
            <w:r>
              <w:rPr>
                <w:rFonts w:hint="default" w:ascii="Times New Roman" w:hAnsi="Times New Roman" w:eastAsia="宋体" w:cs="Times New Roman"/>
                <w:color w:val="auto"/>
                <w:sz w:val="24"/>
                <w:szCs w:val="24"/>
                <w:lang w:val="en-US" w:eastAsia="zh-CN"/>
              </w:rPr>
              <w:t>并</w:t>
            </w:r>
            <w:r>
              <w:rPr>
                <w:rFonts w:hint="default" w:ascii="Times New Roman" w:hAnsi="Times New Roman" w:eastAsia="宋体" w:cs="Times New Roman"/>
                <w:color w:val="auto"/>
                <w:sz w:val="24"/>
                <w:szCs w:val="24"/>
              </w:rPr>
              <w:t>叠加其现状噪声值后，</w:t>
            </w:r>
            <w:r>
              <w:rPr>
                <w:rFonts w:hint="default" w:ascii="Times New Roman" w:hAnsi="Times New Roman" w:eastAsia="宋体" w:cs="Times New Roman"/>
                <w:color w:val="auto"/>
                <w:sz w:val="24"/>
                <w:szCs w:val="24"/>
                <w:lang w:val="en-US" w:eastAsia="zh-CN"/>
              </w:rPr>
              <w:t>可</w:t>
            </w:r>
            <w:r>
              <w:rPr>
                <w:rFonts w:hint="default" w:ascii="Times New Roman" w:hAnsi="Times New Roman" w:eastAsia="宋体" w:cs="Times New Roman"/>
                <w:color w:val="auto"/>
                <w:sz w:val="24"/>
                <w:szCs w:val="24"/>
              </w:rPr>
              <w:t>满足《工业企业厂界环境噪声排放标准》（GB12348-2008）2类标准限值。</w:t>
            </w:r>
          </w:p>
          <w:p w14:paraId="68FD04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（4）固体废物环境影响分析</w:t>
            </w:r>
          </w:p>
          <w:p w14:paraId="4DA65E6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项目运营期产生的固体废物主要为生活垃圾、废油脂、化粪池污泥、废机油、废机油桶、废含油抹布、手套、废活性炭等。</w:t>
            </w:r>
          </w:p>
          <w:p w14:paraId="0280D38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生活垃圾集中分类收集后交由环卫部门处置；废油脂收集后交由资质单位处置；化粪池污泥定期清掏肥田；废机油、废机油桶、废含油抹布、手套、废活性炭于危废贮存库暂存，定期委托有资质单位处置。</w:t>
            </w:r>
          </w:p>
          <w:p w14:paraId="4BE179F3">
            <w:pPr>
              <w:keepNext w:val="0"/>
              <w:keepLines w:val="0"/>
              <w:pageBreakBefore w:val="0"/>
              <w:kinsoku/>
              <w:wordWrap/>
              <w:overflowPunct/>
              <w:topLinePunct w:val="0"/>
              <w:autoSpaceDE/>
              <w:autoSpaceDN/>
              <w:bidi w:val="0"/>
              <w:adjustRightInd w:val="0"/>
              <w:snapToGrid w:val="0"/>
              <w:spacing w:line="360" w:lineRule="auto"/>
              <w:ind w:firstLine="48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b/>
                <w:color w:val="auto"/>
                <w:sz w:val="24"/>
                <w:szCs w:val="24"/>
              </w:rPr>
              <w:t>存在的环保问题</w:t>
            </w:r>
            <w:r>
              <w:rPr>
                <w:rFonts w:hint="default" w:ascii="Times New Roman" w:hAnsi="Times New Roman" w:eastAsia="宋体" w:cs="Times New Roman"/>
                <w:b/>
                <w:color w:val="auto"/>
                <w:sz w:val="24"/>
                <w:szCs w:val="24"/>
                <w:lang w:eastAsia="zh-CN"/>
              </w:rPr>
              <w:t>：</w:t>
            </w:r>
            <w:r>
              <w:rPr>
                <w:rFonts w:hint="default" w:ascii="Times New Roman" w:hAnsi="Times New Roman" w:cs="Times New Roman"/>
                <w:b w:val="0"/>
                <w:bCs/>
                <w:color w:val="auto"/>
                <w:sz w:val="24"/>
                <w:szCs w:val="24"/>
              </w:rPr>
              <w:t>现有危废贮存库地方狭小、无通风措施且不能分区</w:t>
            </w:r>
            <w:r>
              <w:rPr>
                <w:rFonts w:hint="default" w:ascii="Times New Roman" w:hAnsi="Times New Roman" w:cs="Times New Roman"/>
                <w:b w:val="0"/>
                <w:bCs/>
                <w:color w:val="auto"/>
                <w:sz w:val="24"/>
                <w:szCs w:val="24"/>
                <w:lang w:eastAsia="zh-CN"/>
              </w:rPr>
              <w:t>，</w:t>
            </w:r>
            <w:r>
              <w:rPr>
                <w:rFonts w:hint="default" w:ascii="Times New Roman" w:hAnsi="Times New Roman" w:eastAsia="宋体" w:cs="Times New Roman"/>
                <w:b w:val="0"/>
                <w:bCs/>
                <w:color w:val="auto"/>
                <w:sz w:val="24"/>
                <w:szCs w:val="24"/>
                <w:lang w:val="en-US" w:eastAsia="zh-CN"/>
              </w:rPr>
              <w:t>未签订</w:t>
            </w:r>
            <w:r>
              <w:rPr>
                <w:rFonts w:hint="default" w:ascii="Times New Roman" w:hAnsi="Times New Roman" w:eastAsia="宋体" w:cs="Times New Roman"/>
                <w:b w:val="0"/>
                <w:bCs/>
                <w:color w:val="auto"/>
                <w:sz w:val="24"/>
                <w:szCs w:val="24"/>
              </w:rPr>
              <w:t>废油脂处置</w:t>
            </w:r>
            <w:r>
              <w:rPr>
                <w:rFonts w:hint="default" w:ascii="Times New Roman" w:hAnsi="Times New Roman" w:eastAsia="宋体" w:cs="Times New Roman"/>
                <w:b w:val="0"/>
                <w:bCs/>
                <w:color w:val="auto"/>
                <w:sz w:val="24"/>
                <w:szCs w:val="24"/>
                <w:lang w:val="en-US" w:eastAsia="zh-CN"/>
              </w:rPr>
              <w:t>协议</w:t>
            </w:r>
            <w:r>
              <w:rPr>
                <w:rFonts w:hint="default"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化粪池污泥清掏</w:t>
            </w:r>
            <w:r>
              <w:rPr>
                <w:rFonts w:hint="default" w:ascii="Times New Roman" w:hAnsi="Times New Roman" w:eastAsia="宋体" w:cs="Times New Roman"/>
                <w:b w:val="0"/>
                <w:bCs/>
                <w:color w:val="auto"/>
                <w:sz w:val="24"/>
                <w:szCs w:val="24"/>
                <w:lang w:val="en-US" w:eastAsia="zh-CN"/>
              </w:rPr>
              <w:t>协议、危险废物处置合同。</w:t>
            </w:r>
          </w:p>
          <w:p w14:paraId="35FE63E0">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本项目</w:t>
            </w:r>
            <w:r>
              <w:rPr>
                <w:rFonts w:hint="default" w:ascii="Times New Roman" w:hAnsi="Times New Roman" w:cs="Times New Roman"/>
                <w:color w:val="auto"/>
                <w:sz w:val="24"/>
                <w:szCs w:val="24"/>
              </w:rPr>
              <w:t>存在的主要环保问题及整改措施如下：</w:t>
            </w:r>
          </w:p>
          <w:p w14:paraId="08717E20">
            <w:pPr>
              <w:keepNext/>
              <w:keepLines/>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rPr>
            </w:pPr>
            <w:r>
              <w:rPr>
                <w:rFonts w:hint="default" w:ascii="Times New Roman" w:hAnsi="Times New Roman" w:cs="Times New Roman"/>
                <w:b/>
                <w:color w:val="auto"/>
              </w:rPr>
              <w:t>表2-13  存在的环保问题及整改措施一览表</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91"/>
              <w:gridCol w:w="5894"/>
            </w:tblGrid>
            <w:tr w14:paraId="7610B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85" w:type="pct"/>
                  <w:vAlign w:val="center"/>
                </w:tcPr>
                <w:p w14:paraId="33B8576E">
                  <w:pPr>
                    <w:keepNext/>
                    <w:keepLines/>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存在问题</w:t>
                  </w:r>
                </w:p>
              </w:tc>
              <w:tc>
                <w:tcPr>
                  <w:tcW w:w="3514" w:type="pct"/>
                  <w:vAlign w:val="center"/>
                </w:tcPr>
                <w:p w14:paraId="2C314997">
                  <w:pPr>
                    <w:keepNext/>
                    <w:keepLines/>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整改措施</w:t>
                  </w:r>
                </w:p>
              </w:tc>
            </w:tr>
            <w:tr w14:paraId="757ADC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85" w:type="pct"/>
                  <w:vAlign w:val="center"/>
                </w:tcPr>
                <w:p w14:paraId="2F2E8E65">
                  <w:pPr>
                    <w:keepNext/>
                    <w:keepLines/>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油水分离器未建</w:t>
                  </w:r>
                </w:p>
              </w:tc>
              <w:tc>
                <w:tcPr>
                  <w:tcW w:w="3514" w:type="pct"/>
                  <w:vAlign w:val="center"/>
                </w:tcPr>
                <w:p w14:paraId="64AB19E3">
                  <w:pPr>
                    <w:keepNext/>
                    <w:keepLines/>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新建一座油水分离器</w:t>
                  </w:r>
                </w:p>
              </w:tc>
            </w:tr>
            <w:tr w14:paraId="325007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85" w:type="pct"/>
                  <w:vAlign w:val="center"/>
                </w:tcPr>
                <w:p w14:paraId="107713ED">
                  <w:pPr>
                    <w:adjustRightInd/>
                    <w:snapToGrid/>
                    <w:spacing w:line="240" w:lineRule="auto"/>
                    <w:ind w:firstLine="0" w:firstLineChars="0"/>
                    <w:jc w:val="lef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现有危废贮存库地方狭小、无通风措施且不能分区</w:t>
                  </w:r>
                </w:p>
              </w:tc>
              <w:tc>
                <w:tcPr>
                  <w:tcW w:w="3514" w:type="pct"/>
                  <w:vAlign w:val="center"/>
                </w:tcPr>
                <w:p w14:paraId="664429C3">
                  <w:pPr>
                    <w:adjustRightInd/>
                    <w:snapToGrid/>
                    <w:spacing w:line="240" w:lineRule="auto"/>
                    <w:ind w:firstLine="0" w:firstLineChars="0"/>
                    <w:jc w:val="left"/>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要求企业新建一座危废贮存库，需满足防风、防晒、防雨、防漏、防渗、防腐等环境污染防治措施</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lang w:val="en-US" w:eastAsia="zh-CN"/>
                    </w:rPr>
                    <w:t>要求签订</w:t>
                  </w:r>
                  <w:r>
                    <w:rPr>
                      <w:rFonts w:hint="default" w:ascii="Times New Roman" w:hAnsi="Times New Roman" w:eastAsia="宋体" w:cs="Times New Roman"/>
                      <w:bCs/>
                      <w:color w:val="auto"/>
                      <w:sz w:val="21"/>
                      <w:szCs w:val="21"/>
                    </w:rPr>
                    <w:t>废油脂处置</w:t>
                  </w:r>
                  <w:r>
                    <w:rPr>
                      <w:rFonts w:hint="default" w:ascii="Times New Roman" w:hAnsi="Times New Roman" w:eastAsia="宋体" w:cs="Times New Roman"/>
                      <w:bCs/>
                      <w:color w:val="auto"/>
                      <w:sz w:val="21"/>
                      <w:szCs w:val="21"/>
                      <w:lang w:val="en-US" w:eastAsia="zh-CN"/>
                    </w:rPr>
                    <w:t>协议</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化粪池污泥清掏</w:t>
                  </w:r>
                  <w:r>
                    <w:rPr>
                      <w:rFonts w:hint="default" w:ascii="Times New Roman" w:hAnsi="Times New Roman" w:eastAsia="宋体" w:cs="Times New Roman"/>
                      <w:bCs/>
                      <w:color w:val="auto"/>
                      <w:sz w:val="21"/>
                      <w:szCs w:val="21"/>
                      <w:lang w:val="en-US" w:eastAsia="zh-CN"/>
                    </w:rPr>
                    <w:t>协议、危险废物处置合同</w:t>
                  </w:r>
                </w:p>
              </w:tc>
            </w:tr>
            <w:tr w14:paraId="5F2E1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85" w:type="pct"/>
                  <w:vAlign w:val="center"/>
                </w:tcPr>
                <w:p w14:paraId="146DEC9E">
                  <w:pPr>
                    <w:adjustRightInd/>
                    <w:snapToGrid/>
                    <w:spacing w:line="240" w:lineRule="auto"/>
                    <w:ind w:firstLine="0" w:firstLineChars="0"/>
                    <w:jc w:val="left"/>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现有工程覆膜机、增厚机生产过程中产生的有机废气未采取收集治理措施</w:t>
                  </w:r>
                </w:p>
              </w:tc>
              <w:tc>
                <w:tcPr>
                  <w:tcW w:w="3514" w:type="pct"/>
                  <w:vAlign w:val="center"/>
                </w:tcPr>
                <w:p w14:paraId="03B93886">
                  <w:pPr>
                    <w:adjustRightInd/>
                    <w:snapToGrid/>
                    <w:spacing w:line="240" w:lineRule="auto"/>
                    <w:ind w:firstLine="0" w:firstLineChars="0"/>
                    <w:jc w:val="left"/>
                    <w:rPr>
                      <w:rFonts w:hint="default" w:ascii="Times New Roman" w:hAnsi="Times New Roman" w:cs="Times New Roman"/>
                      <w:color w:val="auto"/>
                      <w:sz w:val="21"/>
                    </w:rPr>
                  </w:pPr>
                  <w:r>
                    <w:rPr>
                      <w:rFonts w:hint="default" w:ascii="Times New Roman" w:hAnsi="Times New Roman" w:cs="Times New Roman"/>
                      <w:color w:val="auto"/>
                      <w:sz w:val="21"/>
                    </w:rPr>
                    <w:t>要求覆膜机、增厚机上方各设置一个覆斗式集气罩并在集气罩四周垂直挂1m的活动帘，有机废气集中收集后经一套二级活性炭吸附装置处理，最终通过一根15m排气筒（DA002）排放</w:t>
                  </w:r>
                </w:p>
              </w:tc>
            </w:tr>
          </w:tbl>
          <w:p w14:paraId="2BA22735">
            <w:pPr>
              <w:ind w:firstLine="480"/>
              <w:rPr>
                <w:rFonts w:hint="default" w:ascii="Times New Roman" w:hAnsi="Times New Roman" w:cs="Times New Roman"/>
                <w:color w:val="auto"/>
              </w:rPr>
            </w:pPr>
          </w:p>
        </w:tc>
      </w:tr>
    </w:tbl>
    <w:p w14:paraId="5B26416F">
      <w:pPr>
        <w:pStyle w:val="23"/>
        <w:pageBreakBefore/>
        <w:adjustRightInd/>
        <w:snapToGrid/>
        <w:spacing w:line="240" w:lineRule="auto"/>
        <w:ind w:firstLine="0" w:firstLineChars="0"/>
        <w:jc w:val="center"/>
        <w:outlineLvl w:val="0"/>
        <w:rPr>
          <w:rFonts w:hint="default" w:ascii="Times New Roman" w:hAnsi="Times New Roman" w:eastAsia="黑体" w:cs="Times New Roman"/>
          <w:snapToGrid w:val="0"/>
          <w:color w:val="auto"/>
          <w:kern w:val="21"/>
          <w:sz w:val="30"/>
          <w:szCs w:val="30"/>
        </w:rPr>
      </w:pPr>
      <w:r>
        <w:rPr>
          <w:rFonts w:hint="default" w:ascii="Times New Roman" w:hAnsi="Times New Roman" w:eastAsia="黑体" w:cs="Times New Roman"/>
          <w:snapToGrid w:val="0"/>
          <w:color w:val="auto"/>
          <w:kern w:val="21"/>
          <w:sz w:val="30"/>
          <w:szCs w:val="30"/>
        </w:rPr>
        <w:t>三、区域环境质量现状、环境保护目标及评价标准</w:t>
      </w:r>
    </w:p>
    <w:tbl>
      <w:tblPr>
        <w:tblStyle w:val="28"/>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8475"/>
      </w:tblGrid>
      <w:tr w14:paraId="73D903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2" w:type="pct"/>
            <w:vAlign w:val="center"/>
          </w:tcPr>
          <w:p w14:paraId="4837447F">
            <w:pPr>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区域</w:t>
            </w:r>
          </w:p>
          <w:p w14:paraId="5AB2531F">
            <w:pPr>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环境</w:t>
            </w:r>
          </w:p>
          <w:p w14:paraId="11B52306">
            <w:pPr>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质量</w:t>
            </w:r>
          </w:p>
          <w:p w14:paraId="439BFEF4">
            <w:pPr>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现状</w:t>
            </w:r>
          </w:p>
        </w:tc>
        <w:tc>
          <w:tcPr>
            <w:tcW w:w="4677" w:type="pct"/>
            <w:vAlign w:val="center"/>
          </w:tcPr>
          <w:p w14:paraId="179D5401">
            <w:pPr>
              <w:numPr>
                <w:ilvl w:val="0"/>
                <w:numId w:val="4"/>
              </w:numPr>
              <w:ind w:firstLine="482"/>
              <w:rPr>
                <w:rFonts w:hint="default" w:ascii="Times New Roman" w:hAnsi="Times New Roman" w:cs="Times New Roman"/>
                <w:b/>
                <w:bCs/>
                <w:color w:val="auto"/>
                <w:kern w:val="21"/>
              </w:rPr>
            </w:pPr>
            <w:r>
              <w:rPr>
                <w:rFonts w:hint="default" w:ascii="Times New Roman" w:hAnsi="Times New Roman" w:cs="Times New Roman"/>
                <w:b/>
                <w:bCs/>
                <w:color w:val="auto"/>
                <w:kern w:val="21"/>
              </w:rPr>
              <w:t>大气环境</w:t>
            </w:r>
          </w:p>
          <w:p w14:paraId="0F2C56A2">
            <w:pPr>
              <w:adjustRightInd/>
              <w:snapToGrid/>
              <w:ind w:firstLine="480"/>
              <w:rPr>
                <w:rFonts w:hint="default" w:ascii="Times New Roman" w:hAnsi="Times New Roman" w:cs="Times New Roman"/>
                <w:color w:val="auto"/>
                <w:szCs w:val="32"/>
              </w:rPr>
            </w:pPr>
            <w:r>
              <w:rPr>
                <w:rFonts w:hint="default" w:ascii="Times New Roman" w:hAnsi="Times New Roman" w:cs="Times New Roman"/>
                <w:color w:val="auto"/>
                <w:szCs w:val="32"/>
              </w:rPr>
              <w:t>本次环评基本污染物根据陕西省生态环境厅公布的《环保快报2023年12月及1~12月全省环境空气质量状况》进行评价。本评价选用2023年1~12月关中地区64个县（区）空气质量状况统计表中西咸新区的数据对该区域基本污染物环境质量现状进行评价。</w:t>
            </w:r>
          </w:p>
          <w:p w14:paraId="102DFE22">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b/>
                <w:color w:val="auto"/>
              </w:rPr>
              <w:t>表3-1  基本污染物环境质量现状</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80"/>
              <w:gridCol w:w="2527"/>
              <w:gridCol w:w="1292"/>
              <w:gridCol w:w="1234"/>
              <w:gridCol w:w="1186"/>
              <w:gridCol w:w="1040"/>
            </w:tblGrid>
            <w:tr w14:paraId="16839C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3" w:type="pct"/>
                  <w:vAlign w:val="center"/>
                </w:tcPr>
                <w:p w14:paraId="26AFC611">
                  <w:pPr>
                    <w:adjustRightInd/>
                    <w:snapToGrid/>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1529" w:type="pct"/>
                  <w:vAlign w:val="center"/>
                </w:tcPr>
                <w:p w14:paraId="143294E0">
                  <w:pPr>
                    <w:adjustRightInd/>
                    <w:snapToGrid/>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年评价指标</w:t>
                  </w:r>
                </w:p>
              </w:tc>
              <w:tc>
                <w:tcPr>
                  <w:tcW w:w="782" w:type="pct"/>
                  <w:vAlign w:val="center"/>
                </w:tcPr>
                <w:p w14:paraId="2D1FC0D8">
                  <w:pPr>
                    <w:adjustRightInd/>
                    <w:snapToGrid/>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现状浓度（μg/m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747" w:type="pct"/>
                  <w:vAlign w:val="center"/>
                </w:tcPr>
                <w:p w14:paraId="36B56847">
                  <w:pPr>
                    <w:adjustRightInd/>
                    <w:snapToGrid/>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标准值（μg/m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718" w:type="pct"/>
                  <w:vAlign w:val="center"/>
                </w:tcPr>
                <w:p w14:paraId="2DCAC3E0">
                  <w:pPr>
                    <w:adjustRightInd/>
                    <w:snapToGrid/>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占标率</w:t>
                  </w:r>
                </w:p>
              </w:tc>
              <w:tc>
                <w:tcPr>
                  <w:tcW w:w="629" w:type="pct"/>
                  <w:vAlign w:val="center"/>
                </w:tcPr>
                <w:p w14:paraId="218699D8">
                  <w:pPr>
                    <w:adjustRightInd/>
                    <w:snapToGrid/>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达标</w:t>
                  </w:r>
                </w:p>
                <w:p w14:paraId="4C2A7CFD">
                  <w:pPr>
                    <w:adjustRightInd/>
                    <w:snapToGrid/>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情况</w:t>
                  </w:r>
                </w:p>
              </w:tc>
            </w:tr>
            <w:tr w14:paraId="7B27A36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3" w:type="pct"/>
                  <w:vAlign w:val="center"/>
                </w:tcPr>
                <w:p w14:paraId="60FBF4A1">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SO</w:t>
                  </w:r>
                  <w:r>
                    <w:rPr>
                      <w:rFonts w:hint="default" w:ascii="Times New Roman" w:hAnsi="Times New Roman" w:cs="Times New Roman"/>
                      <w:color w:val="auto"/>
                      <w:sz w:val="21"/>
                      <w:szCs w:val="21"/>
                      <w:vertAlign w:val="subscript"/>
                    </w:rPr>
                    <w:t>2</w:t>
                  </w:r>
                </w:p>
              </w:tc>
              <w:tc>
                <w:tcPr>
                  <w:tcW w:w="1529" w:type="pct"/>
                  <w:vAlign w:val="center"/>
                </w:tcPr>
                <w:p w14:paraId="463FD9BD">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年平均质量浓度</w:t>
                  </w:r>
                </w:p>
              </w:tc>
              <w:tc>
                <w:tcPr>
                  <w:tcW w:w="782" w:type="pct"/>
                  <w:vAlign w:val="center"/>
                </w:tcPr>
                <w:p w14:paraId="63765EE1">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747" w:type="pct"/>
                  <w:vAlign w:val="center"/>
                </w:tcPr>
                <w:p w14:paraId="2F0BC6CA">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60</w:t>
                  </w:r>
                </w:p>
              </w:tc>
              <w:tc>
                <w:tcPr>
                  <w:tcW w:w="718" w:type="pct"/>
                  <w:vAlign w:val="center"/>
                </w:tcPr>
                <w:p w14:paraId="2E5573F8">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11.67%</w:t>
                  </w:r>
                </w:p>
              </w:tc>
              <w:tc>
                <w:tcPr>
                  <w:tcW w:w="629" w:type="pct"/>
                  <w:vAlign w:val="center"/>
                </w:tcPr>
                <w:p w14:paraId="34AED1F6">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w:t>
                  </w:r>
                </w:p>
              </w:tc>
            </w:tr>
            <w:tr w14:paraId="24DA24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3" w:type="pct"/>
                  <w:vAlign w:val="center"/>
                </w:tcPr>
                <w:p w14:paraId="675BDDED">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NO</w:t>
                  </w:r>
                  <w:r>
                    <w:rPr>
                      <w:rFonts w:hint="default" w:ascii="Times New Roman" w:hAnsi="Times New Roman" w:cs="Times New Roman"/>
                      <w:color w:val="auto"/>
                      <w:sz w:val="21"/>
                      <w:szCs w:val="21"/>
                      <w:vertAlign w:val="subscript"/>
                    </w:rPr>
                    <w:t>2</w:t>
                  </w:r>
                </w:p>
              </w:tc>
              <w:tc>
                <w:tcPr>
                  <w:tcW w:w="1529" w:type="pct"/>
                  <w:vAlign w:val="center"/>
                </w:tcPr>
                <w:p w14:paraId="56938246">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年平均质量浓度</w:t>
                  </w:r>
                </w:p>
              </w:tc>
              <w:tc>
                <w:tcPr>
                  <w:tcW w:w="782" w:type="pct"/>
                  <w:vAlign w:val="center"/>
                </w:tcPr>
                <w:p w14:paraId="76EF62D4">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37</w:t>
                  </w:r>
                </w:p>
              </w:tc>
              <w:tc>
                <w:tcPr>
                  <w:tcW w:w="747" w:type="pct"/>
                  <w:vAlign w:val="center"/>
                </w:tcPr>
                <w:p w14:paraId="559E9ADB">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w:t>
                  </w:r>
                </w:p>
              </w:tc>
              <w:tc>
                <w:tcPr>
                  <w:tcW w:w="718" w:type="pct"/>
                  <w:vAlign w:val="center"/>
                </w:tcPr>
                <w:p w14:paraId="3DA98CD9">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92.5%</w:t>
                  </w:r>
                </w:p>
              </w:tc>
              <w:tc>
                <w:tcPr>
                  <w:tcW w:w="629" w:type="pct"/>
                  <w:vAlign w:val="center"/>
                </w:tcPr>
                <w:p w14:paraId="277EE9DE">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w:t>
                  </w:r>
                </w:p>
              </w:tc>
            </w:tr>
            <w:tr w14:paraId="1816EC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3" w:type="pct"/>
                  <w:vAlign w:val="center"/>
                </w:tcPr>
                <w:p w14:paraId="55FB1F8B">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w:t>
                  </w:r>
                </w:p>
              </w:tc>
              <w:tc>
                <w:tcPr>
                  <w:tcW w:w="1529" w:type="pct"/>
                  <w:vAlign w:val="center"/>
                </w:tcPr>
                <w:p w14:paraId="11AF2F40">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24小时平均第95百分位浓度</w:t>
                  </w:r>
                </w:p>
              </w:tc>
              <w:tc>
                <w:tcPr>
                  <w:tcW w:w="782" w:type="pct"/>
                  <w:vAlign w:val="center"/>
                </w:tcPr>
                <w:p w14:paraId="0365B754">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1300</w:t>
                  </w:r>
                </w:p>
              </w:tc>
              <w:tc>
                <w:tcPr>
                  <w:tcW w:w="747" w:type="pct"/>
                  <w:vAlign w:val="center"/>
                </w:tcPr>
                <w:p w14:paraId="2D338AE2">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4000</w:t>
                  </w:r>
                </w:p>
              </w:tc>
              <w:tc>
                <w:tcPr>
                  <w:tcW w:w="718" w:type="pct"/>
                  <w:vAlign w:val="center"/>
                </w:tcPr>
                <w:p w14:paraId="57A5101E">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32.5%</w:t>
                  </w:r>
                </w:p>
              </w:tc>
              <w:tc>
                <w:tcPr>
                  <w:tcW w:w="629" w:type="pct"/>
                  <w:vAlign w:val="center"/>
                </w:tcPr>
                <w:p w14:paraId="4925E5E8">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w:t>
                  </w:r>
                </w:p>
              </w:tc>
            </w:tr>
            <w:tr w14:paraId="2956F8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3" w:type="pct"/>
                  <w:vAlign w:val="center"/>
                </w:tcPr>
                <w:p w14:paraId="3CCA0B58">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O</w:t>
                  </w:r>
                  <w:r>
                    <w:rPr>
                      <w:rFonts w:hint="default" w:ascii="Times New Roman" w:hAnsi="Times New Roman" w:cs="Times New Roman"/>
                      <w:color w:val="auto"/>
                      <w:sz w:val="21"/>
                      <w:szCs w:val="21"/>
                      <w:vertAlign w:val="subscript"/>
                    </w:rPr>
                    <w:t>3</w:t>
                  </w:r>
                </w:p>
              </w:tc>
              <w:tc>
                <w:tcPr>
                  <w:tcW w:w="1529" w:type="pct"/>
                  <w:vAlign w:val="center"/>
                </w:tcPr>
                <w:p w14:paraId="4992D6C3">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日最大8小时平均第90百分位浓度</w:t>
                  </w:r>
                </w:p>
              </w:tc>
              <w:tc>
                <w:tcPr>
                  <w:tcW w:w="782" w:type="pct"/>
                  <w:vAlign w:val="center"/>
                </w:tcPr>
                <w:p w14:paraId="59FC6345">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163</w:t>
                  </w:r>
                </w:p>
              </w:tc>
              <w:tc>
                <w:tcPr>
                  <w:tcW w:w="747" w:type="pct"/>
                  <w:vAlign w:val="center"/>
                </w:tcPr>
                <w:p w14:paraId="727F084B">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160</w:t>
                  </w:r>
                </w:p>
              </w:tc>
              <w:tc>
                <w:tcPr>
                  <w:tcW w:w="718" w:type="pct"/>
                  <w:vAlign w:val="center"/>
                </w:tcPr>
                <w:p w14:paraId="0AFFCD77">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101.88%</w:t>
                  </w:r>
                </w:p>
              </w:tc>
              <w:tc>
                <w:tcPr>
                  <w:tcW w:w="629" w:type="pct"/>
                  <w:vAlign w:val="center"/>
                </w:tcPr>
                <w:p w14:paraId="2CF44781">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不达标</w:t>
                  </w:r>
                </w:p>
              </w:tc>
            </w:tr>
            <w:tr w14:paraId="2D95E4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3" w:type="pct"/>
                  <w:vAlign w:val="center"/>
                </w:tcPr>
                <w:p w14:paraId="4DBC8989">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PM</w:t>
                  </w:r>
                  <w:r>
                    <w:rPr>
                      <w:rFonts w:hint="default" w:ascii="Times New Roman" w:hAnsi="Times New Roman" w:cs="Times New Roman"/>
                      <w:color w:val="auto"/>
                      <w:sz w:val="21"/>
                      <w:szCs w:val="21"/>
                      <w:vertAlign w:val="subscript"/>
                    </w:rPr>
                    <w:t>10</w:t>
                  </w:r>
                </w:p>
              </w:tc>
              <w:tc>
                <w:tcPr>
                  <w:tcW w:w="1529" w:type="pct"/>
                  <w:vAlign w:val="center"/>
                </w:tcPr>
                <w:p w14:paraId="15FAECC7">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年平均质量浓度</w:t>
                  </w:r>
                </w:p>
              </w:tc>
              <w:tc>
                <w:tcPr>
                  <w:tcW w:w="782" w:type="pct"/>
                  <w:vAlign w:val="center"/>
                </w:tcPr>
                <w:p w14:paraId="6D381B20">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82</w:t>
                  </w:r>
                </w:p>
              </w:tc>
              <w:tc>
                <w:tcPr>
                  <w:tcW w:w="747" w:type="pct"/>
                  <w:vAlign w:val="center"/>
                </w:tcPr>
                <w:p w14:paraId="01646989">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w:t>
                  </w:r>
                </w:p>
              </w:tc>
              <w:tc>
                <w:tcPr>
                  <w:tcW w:w="718" w:type="pct"/>
                  <w:vAlign w:val="center"/>
                </w:tcPr>
                <w:p w14:paraId="26647988">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117.14%</w:t>
                  </w:r>
                </w:p>
              </w:tc>
              <w:tc>
                <w:tcPr>
                  <w:tcW w:w="629" w:type="pct"/>
                  <w:vAlign w:val="center"/>
                </w:tcPr>
                <w:p w14:paraId="132D9105">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不达标</w:t>
                  </w:r>
                </w:p>
              </w:tc>
            </w:tr>
            <w:tr w14:paraId="591CEC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3" w:type="pct"/>
                  <w:vAlign w:val="center"/>
                </w:tcPr>
                <w:p w14:paraId="57326DB4">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PM</w:t>
                  </w:r>
                  <w:r>
                    <w:rPr>
                      <w:rFonts w:hint="default" w:ascii="Times New Roman" w:hAnsi="Times New Roman" w:cs="Times New Roman"/>
                      <w:color w:val="auto"/>
                      <w:sz w:val="21"/>
                      <w:szCs w:val="21"/>
                      <w:vertAlign w:val="subscript"/>
                    </w:rPr>
                    <w:t>2.5</w:t>
                  </w:r>
                </w:p>
              </w:tc>
              <w:tc>
                <w:tcPr>
                  <w:tcW w:w="1529" w:type="pct"/>
                  <w:vAlign w:val="center"/>
                </w:tcPr>
                <w:p w14:paraId="5A799C5E">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年平均质量浓度</w:t>
                  </w:r>
                </w:p>
              </w:tc>
              <w:tc>
                <w:tcPr>
                  <w:tcW w:w="782" w:type="pct"/>
                  <w:vAlign w:val="center"/>
                </w:tcPr>
                <w:p w14:paraId="15A51402">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48</w:t>
                  </w:r>
                </w:p>
              </w:tc>
              <w:tc>
                <w:tcPr>
                  <w:tcW w:w="747" w:type="pct"/>
                  <w:vAlign w:val="center"/>
                </w:tcPr>
                <w:p w14:paraId="286610EE">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35</w:t>
                  </w:r>
                </w:p>
              </w:tc>
              <w:tc>
                <w:tcPr>
                  <w:tcW w:w="718" w:type="pct"/>
                  <w:vAlign w:val="center"/>
                </w:tcPr>
                <w:p w14:paraId="0E7D297F">
                  <w:pPr>
                    <w:widowControl/>
                    <w:adjustRightInd/>
                    <w:snapToGrid/>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137.14%</w:t>
                  </w:r>
                </w:p>
              </w:tc>
              <w:tc>
                <w:tcPr>
                  <w:tcW w:w="629" w:type="pct"/>
                  <w:vAlign w:val="center"/>
                </w:tcPr>
                <w:p w14:paraId="3A4C8828">
                  <w:pPr>
                    <w:adjustRightInd/>
                    <w:snapToGrid/>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不达标</w:t>
                  </w:r>
                </w:p>
              </w:tc>
            </w:tr>
          </w:tbl>
          <w:p w14:paraId="3A210932">
            <w:pPr>
              <w:adjustRightInd/>
              <w:snapToGrid/>
              <w:ind w:firstLine="480"/>
              <w:rPr>
                <w:rFonts w:hint="default" w:ascii="Times New Roman" w:hAnsi="Times New Roman" w:cs="Times New Roman"/>
                <w:color w:val="auto"/>
              </w:rPr>
            </w:pPr>
            <w:r>
              <w:rPr>
                <w:rFonts w:hint="default" w:ascii="Times New Roman" w:hAnsi="Times New Roman" w:cs="Times New Roman"/>
                <w:color w:val="auto"/>
                <w:szCs w:val="32"/>
              </w:rPr>
              <w:t>由表中数据可知，项目所在区域SO</w:t>
            </w:r>
            <w:r>
              <w:rPr>
                <w:rFonts w:hint="default" w:ascii="Times New Roman" w:hAnsi="Times New Roman" w:cs="Times New Roman"/>
                <w:color w:val="auto"/>
                <w:szCs w:val="32"/>
                <w:vertAlign w:val="subscript"/>
              </w:rPr>
              <w:t>2</w:t>
            </w:r>
            <w:r>
              <w:rPr>
                <w:rFonts w:hint="default" w:ascii="Times New Roman" w:hAnsi="Times New Roman" w:cs="Times New Roman"/>
                <w:color w:val="auto"/>
                <w:szCs w:val="32"/>
              </w:rPr>
              <w:t>年平均质量浓度、NO</w:t>
            </w:r>
            <w:r>
              <w:rPr>
                <w:rFonts w:hint="default" w:ascii="Times New Roman" w:hAnsi="Times New Roman" w:cs="Times New Roman"/>
                <w:color w:val="auto"/>
                <w:szCs w:val="32"/>
                <w:vertAlign w:val="subscript"/>
              </w:rPr>
              <w:t>2</w:t>
            </w:r>
            <w:r>
              <w:rPr>
                <w:rFonts w:hint="default" w:ascii="Times New Roman" w:hAnsi="Times New Roman" w:cs="Times New Roman"/>
                <w:color w:val="auto"/>
                <w:szCs w:val="32"/>
              </w:rPr>
              <w:t>年平均质量浓度以及CO24小时平均第95百分位浓度均满足《环境空气质量标准》（GB3095-2012）中二级标准，O</w:t>
            </w:r>
            <w:r>
              <w:rPr>
                <w:rFonts w:hint="default" w:ascii="Times New Roman" w:hAnsi="Times New Roman" w:cs="Times New Roman"/>
                <w:color w:val="auto"/>
                <w:szCs w:val="32"/>
                <w:vertAlign w:val="subscript"/>
              </w:rPr>
              <w:t>3</w:t>
            </w:r>
            <w:r>
              <w:rPr>
                <w:rFonts w:hint="default" w:ascii="Times New Roman" w:hAnsi="Times New Roman" w:cs="Times New Roman"/>
                <w:color w:val="auto"/>
                <w:szCs w:val="32"/>
              </w:rPr>
              <w:t>日最大8小时平均第90百分位浓度、PM</w:t>
            </w:r>
            <w:r>
              <w:rPr>
                <w:rFonts w:hint="default" w:ascii="Times New Roman" w:hAnsi="Times New Roman" w:cs="Times New Roman"/>
                <w:color w:val="auto"/>
                <w:szCs w:val="32"/>
                <w:vertAlign w:val="subscript"/>
              </w:rPr>
              <w:t>2.5</w:t>
            </w:r>
            <w:r>
              <w:rPr>
                <w:rFonts w:hint="default" w:ascii="Times New Roman" w:hAnsi="Times New Roman" w:cs="Times New Roman"/>
                <w:color w:val="auto"/>
                <w:szCs w:val="32"/>
              </w:rPr>
              <w:t>和PM</w:t>
            </w:r>
            <w:r>
              <w:rPr>
                <w:rFonts w:hint="default" w:ascii="Times New Roman" w:hAnsi="Times New Roman" w:cs="Times New Roman"/>
                <w:color w:val="auto"/>
                <w:szCs w:val="32"/>
                <w:vertAlign w:val="subscript"/>
              </w:rPr>
              <w:t>10</w:t>
            </w:r>
            <w:r>
              <w:rPr>
                <w:rFonts w:hint="default" w:ascii="Times New Roman" w:hAnsi="Times New Roman" w:cs="Times New Roman"/>
                <w:color w:val="auto"/>
                <w:szCs w:val="32"/>
              </w:rPr>
              <w:t>年平均质量浓度均不满足《环境空气质量标准》（GB3095-2012）中二级标准，所以本项目所在地属于环境空气不达标区。</w:t>
            </w:r>
          </w:p>
          <w:p w14:paraId="132D0230">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480" w:leftChars="200" w:firstLine="0" w:firstLineChars="0"/>
              <w:textAlignment w:val="auto"/>
              <w:rPr>
                <w:rFonts w:hint="default" w:ascii="Times New Roman" w:hAnsi="Times New Roman" w:eastAsia="宋体" w:cs="Times New Roman"/>
                <w:color w:val="auto"/>
                <w:sz w:val="24"/>
                <w:szCs w:val="24"/>
                <w:highlight w:val="none"/>
                <w:shd w:val="clear" w:color="auto" w:fill="auto"/>
                <w:lang w:val="en-US" w:eastAsia="zh-CN"/>
              </w:rPr>
            </w:pPr>
            <w:r>
              <w:rPr>
                <w:rFonts w:hint="default" w:ascii="Times New Roman" w:hAnsi="Times New Roman" w:eastAsia="宋体" w:cs="Times New Roman"/>
                <w:color w:val="auto"/>
                <w:sz w:val="24"/>
                <w:szCs w:val="24"/>
                <w:highlight w:val="none"/>
                <w:shd w:val="clear" w:color="auto" w:fill="auto"/>
                <w:lang w:val="en-US" w:eastAsia="zh-CN"/>
              </w:rPr>
              <w:t>（2）特征污染物</w:t>
            </w:r>
          </w:p>
          <w:p w14:paraId="2CC0AC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本项目主要大气污染物为非甲烷总烃、颗粒物。</w:t>
            </w:r>
            <w:r>
              <w:rPr>
                <w:rFonts w:hint="default" w:ascii="Times New Roman" w:hAnsi="Times New Roman" w:eastAsia="宋体" w:cs="Times New Roman"/>
                <w:color w:val="auto"/>
                <w:sz w:val="24"/>
                <w:highlight w:val="none"/>
                <w:shd w:val="clear" w:color="auto" w:fill="auto"/>
              </w:rPr>
              <w:t>本项目特征因子现状监测</w:t>
            </w:r>
            <w:r>
              <w:rPr>
                <w:rFonts w:hint="default" w:ascii="Times New Roman" w:hAnsi="Times New Roman" w:eastAsia="宋体" w:cs="Times New Roman"/>
                <w:color w:val="auto"/>
                <w:sz w:val="24"/>
                <w:highlight w:val="none"/>
                <w:shd w:val="clear" w:color="auto" w:fill="auto"/>
                <w:lang w:val="en-US" w:eastAsia="zh-CN"/>
              </w:rPr>
              <w:t>数据引用西安爱科赛博电气股份有限公司精密特种电源产业化建设项目环境质量现状监测数据“No：BRX2204036（陕西博润检测服务有限公司）”，监测日期为2022年4月26日-28日，监测点位位于本项目东南侧厂界3.3km处，符合《建设项目环境影响报告表编制技术指南（污染影响类）（试行）》中“常规污染物引用与建设项目距离近的有效数据……排放国家、地方环境空气质量标准中有标准限值要求的特征污染物时，引用建设项目周边 5 千米范围内近 3 年的现有监测数据，无相关数据的选择当季主导风向下风向 1 个点位补充不少于 3 天的监测数据”引用现状监测数据的相关规定，故“No：BRX2204036（陕西博润检测服务有限公司）”可作为本项目现状监测数据引用。</w:t>
            </w:r>
          </w:p>
          <w:p w14:paraId="48CA13D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highlight w:val="none"/>
                <w:shd w:val="clear" w:color="auto" w:fill="auto"/>
                <w:lang w:val="en-US" w:eastAsia="zh-CN"/>
              </w:rPr>
            </w:pPr>
            <w:r>
              <w:rPr>
                <w:rFonts w:hint="default" w:ascii="Times New Roman" w:hAnsi="Times New Roman" w:eastAsia="宋体" w:cs="Times New Roman"/>
                <w:color w:val="auto"/>
                <w:sz w:val="24"/>
                <w:highlight w:val="none"/>
                <w:shd w:val="clear" w:color="auto" w:fill="auto"/>
                <w:lang w:val="en-US" w:eastAsia="zh-CN"/>
              </w:rPr>
              <w:t>监测报告见附件</w:t>
            </w:r>
            <w:r>
              <w:rPr>
                <w:rFonts w:hint="default" w:ascii="Times New Roman" w:hAnsi="Times New Roman" w:eastAsia="宋体" w:cs="Times New Roman"/>
                <w:color w:val="auto"/>
                <w:sz w:val="24"/>
                <w:highlight w:val="none"/>
                <w:shd w:val="clear" w:color="auto" w:fill="auto"/>
              </w:rPr>
              <w:t>，具体</w:t>
            </w:r>
            <w:r>
              <w:rPr>
                <w:rFonts w:hint="default" w:ascii="Times New Roman" w:hAnsi="Times New Roman" w:eastAsia="宋体" w:cs="Times New Roman"/>
                <w:color w:val="auto"/>
                <w:sz w:val="24"/>
                <w:highlight w:val="none"/>
                <w:shd w:val="clear" w:color="auto" w:fill="auto"/>
                <w:lang w:val="en-US" w:eastAsia="zh-CN"/>
              </w:rPr>
              <w:t>监测信息见表3-2，监测结果见表3-3。</w:t>
            </w:r>
          </w:p>
          <w:p w14:paraId="65C371D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4"/>
                <w:highlight w:val="none"/>
                <w:shd w:val="clear" w:color="auto" w:fill="auto"/>
                <w:lang w:val="en-US" w:eastAsia="zh-CN"/>
              </w:rPr>
            </w:pPr>
            <w:bookmarkStart w:id="3" w:name="_Ref488155560"/>
            <w:r>
              <w:rPr>
                <w:rFonts w:hint="default" w:ascii="Times New Roman" w:hAnsi="Times New Roman" w:eastAsia="宋体" w:cs="Times New Roman"/>
                <w:b/>
                <w:bCs/>
                <w:color w:val="auto"/>
                <w:sz w:val="24"/>
                <w:highlight w:val="none"/>
                <w:shd w:val="clear" w:color="auto" w:fill="auto"/>
                <w:lang w:val="en-US" w:eastAsia="zh-CN"/>
              </w:rPr>
              <w:t>表</w:t>
            </w:r>
            <w:bookmarkEnd w:id="3"/>
            <w:r>
              <w:rPr>
                <w:rFonts w:hint="default" w:ascii="Times New Roman" w:hAnsi="Times New Roman" w:eastAsia="宋体" w:cs="Times New Roman"/>
                <w:b/>
                <w:bCs/>
                <w:color w:val="auto"/>
                <w:sz w:val="24"/>
                <w:highlight w:val="none"/>
                <w:shd w:val="clear" w:color="auto" w:fill="auto"/>
                <w:lang w:val="en-US" w:eastAsia="zh-CN"/>
              </w:rPr>
              <w:t>3-2  监测信息一览表</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84"/>
              <w:gridCol w:w="2745"/>
              <w:gridCol w:w="3127"/>
            </w:tblGrid>
            <w:tr w14:paraId="005354F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443" w:type="pct"/>
                  <w:noWrap w:val="0"/>
                  <w:vAlign w:val="center"/>
                </w:tcPr>
                <w:p w14:paraId="1DD906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44"/>
                      <w:sz w:val="21"/>
                      <w:szCs w:val="21"/>
                      <w:highlight w:val="none"/>
                      <w:shd w:val="clear" w:color="auto" w:fill="auto"/>
                      <w:lang w:val="en-US" w:eastAsia="zh-CN" w:bidi="ar-SA"/>
                    </w:rPr>
                  </w:pPr>
                  <w:r>
                    <w:rPr>
                      <w:rFonts w:hint="default" w:ascii="Times New Roman" w:hAnsi="Times New Roman" w:eastAsia="宋体" w:cs="Times New Roman"/>
                      <w:b/>
                      <w:bCs/>
                      <w:color w:val="auto"/>
                      <w:kern w:val="44"/>
                      <w:sz w:val="21"/>
                      <w:szCs w:val="21"/>
                      <w:highlight w:val="none"/>
                      <w:shd w:val="clear" w:color="auto" w:fill="auto"/>
                      <w:lang w:val="en-US" w:eastAsia="zh-CN" w:bidi="ar-SA"/>
                    </w:rPr>
                    <w:t>监测点位</w:t>
                  </w:r>
                </w:p>
              </w:tc>
              <w:tc>
                <w:tcPr>
                  <w:tcW w:w="1662" w:type="pct"/>
                  <w:noWrap w:val="0"/>
                  <w:vAlign w:val="center"/>
                </w:tcPr>
                <w:p w14:paraId="2DD249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44"/>
                      <w:sz w:val="21"/>
                      <w:szCs w:val="21"/>
                      <w:highlight w:val="none"/>
                      <w:shd w:val="clear" w:color="auto" w:fill="auto"/>
                      <w:lang w:val="en-US" w:eastAsia="zh-CN" w:bidi="ar-SA"/>
                    </w:rPr>
                  </w:pPr>
                  <w:r>
                    <w:rPr>
                      <w:rFonts w:hint="default" w:ascii="Times New Roman" w:hAnsi="Times New Roman" w:eastAsia="宋体" w:cs="Times New Roman"/>
                      <w:b/>
                      <w:bCs/>
                      <w:color w:val="auto"/>
                      <w:kern w:val="44"/>
                      <w:sz w:val="21"/>
                      <w:szCs w:val="21"/>
                      <w:highlight w:val="none"/>
                      <w:shd w:val="clear" w:color="auto" w:fill="auto"/>
                      <w:lang w:val="en-US" w:eastAsia="zh-CN" w:bidi="ar-SA"/>
                    </w:rPr>
                    <w:t>污染物</w:t>
                  </w:r>
                </w:p>
              </w:tc>
              <w:tc>
                <w:tcPr>
                  <w:tcW w:w="1893" w:type="pct"/>
                  <w:noWrap w:val="0"/>
                  <w:vAlign w:val="center"/>
                </w:tcPr>
                <w:p w14:paraId="4BC00F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44"/>
                      <w:sz w:val="21"/>
                      <w:szCs w:val="21"/>
                      <w:highlight w:val="none"/>
                      <w:shd w:val="clear" w:color="auto" w:fill="auto"/>
                      <w:lang w:val="en-US" w:eastAsia="zh-CN" w:bidi="ar-SA"/>
                    </w:rPr>
                  </w:pPr>
                  <w:r>
                    <w:rPr>
                      <w:rFonts w:hint="default" w:ascii="Times New Roman" w:hAnsi="Times New Roman" w:eastAsia="宋体" w:cs="Times New Roman"/>
                      <w:b/>
                      <w:bCs/>
                      <w:color w:val="auto"/>
                      <w:kern w:val="44"/>
                      <w:sz w:val="21"/>
                      <w:szCs w:val="21"/>
                      <w:highlight w:val="none"/>
                      <w:shd w:val="clear" w:color="auto" w:fill="auto"/>
                      <w:lang w:val="en-US" w:eastAsia="zh-CN" w:bidi="ar-SA"/>
                    </w:rPr>
                    <w:t>监测频次</w:t>
                  </w:r>
                </w:p>
              </w:tc>
            </w:tr>
            <w:tr w14:paraId="55F89C42">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43" w:type="pct"/>
                  <w:vMerge w:val="restart"/>
                  <w:noWrap w:val="0"/>
                  <w:vAlign w:val="center"/>
                </w:tcPr>
                <w:p w14:paraId="128AA0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44"/>
                      <w:sz w:val="21"/>
                      <w:szCs w:val="21"/>
                      <w:highlight w:val="none"/>
                      <w:shd w:val="clear" w:color="auto" w:fill="auto"/>
                      <w:lang w:val="en-US" w:eastAsia="zh-CN" w:bidi="ar-SA"/>
                    </w:rPr>
                  </w:pPr>
                  <w:r>
                    <w:rPr>
                      <w:rFonts w:hint="default" w:ascii="Times New Roman" w:hAnsi="Times New Roman" w:eastAsia="宋体" w:cs="Times New Roman"/>
                      <w:color w:val="auto"/>
                      <w:kern w:val="44"/>
                      <w:sz w:val="21"/>
                      <w:szCs w:val="21"/>
                      <w:highlight w:val="none"/>
                      <w:shd w:val="clear" w:color="auto" w:fill="auto"/>
                      <w:lang w:val="en-US" w:eastAsia="zh-CN" w:bidi="ar-SA"/>
                    </w:rPr>
                    <w:t>1项目拟建地下风向</w:t>
                  </w:r>
                </w:p>
              </w:tc>
              <w:tc>
                <w:tcPr>
                  <w:tcW w:w="1662" w:type="pct"/>
                  <w:noWrap w:val="0"/>
                  <w:vAlign w:val="center"/>
                </w:tcPr>
                <w:p w14:paraId="59C07A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44"/>
                      <w:sz w:val="21"/>
                      <w:szCs w:val="21"/>
                      <w:highlight w:val="none"/>
                      <w:shd w:val="clear" w:color="auto" w:fill="auto"/>
                      <w:lang w:val="en-US" w:eastAsia="zh-CN" w:bidi="ar-SA"/>
                    </w:rPr>
                  </w:pPr>
                  <w:r>
                    <w:rPr>
                      <w:rFonts w:hint="default" w:ascii="Times New Roman" w:hAnsi="Times New Roman" w:eastAsia="宋体" w:cs="Times New Roman"/>
                      <w:color w:val="auto"/>
                      <w:kern w:val="44"/>
                      <w:sz w:val="21"/>
                      <w:szCs w:val="21"/>
                      <w:highlight w:val="none"/>
                      <w:shd w:val="clear" w:color="auto" w:fill="auto"/>
                      <w:lang w:val="en-US" w:eastAsia="zh-CN" w:bidi="ar-SA"/>
                    </w:rPr>
                    <w:t>非甲烷总烃</w:t>
                  </w:r>
                </w:p>
              </w:tc>
              <w:tc>
                <w:tcPr>
                  <w:tcW w:w="1893" w:type="pct"/>
                  <w:noWrap w:val="0"/>
                  <w:vAlign w:val="center"/>
                </w:tcPr>
                <w:p w14:paraId="08656D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44"/>
                      <w:sz w:val="21"/>
                      <w:szCs w:val="21"/>
                      <w:highlight w:val="none"/>
                      <w:shd w:val="clear" w:color="auto" w:fill="auto"/>
                      <w:lang w:val="en-US" w:eastAsia="zh-CN" w:bidi="ar-SA"/>
                    </w:rPr>
                  </w:pPr>
                  <w:r>
                    <w:rPr>
                      <w:rFonts w:hint="default" w:ascii="Times New Roman" w:hAnsi="Times New Roman" w:eastAsia="宋体" w:cs="Times New Roman"/>
                      <w:b w:val="0"/>
                      <w:bCs/>
                      <w:color w:val="auto"/>
                      <w:kern w:val="44"/>
                      <w:sz w:val="21"/>
                      <w:szCs w:val="21"/>
                      <w:highlight w:val="none"/>
                      <w:shd w:val="clear" w:color="auto" w:fill="auto"/>
                      <w:lang w:val="en-US" w:eastAsia="zh-CN" w:bidi="ar-SA"/>
                    </w:rPr>
                    <w:t>监测3天，4次/天</w:t>
                  </w:r>
                </w:p>
              </w:tc>
            </w:tr>
            <w:tr w14:paraId="7BFA182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43" w:type="pct"/>
                  <w:vMerge w:val="continue"/>
                  <w:noWrap w:val="0"/>
                  <w:vAlign w:val="center"/>
                </w:tcPr>
                <w:p w14:paraId="5C01B0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44"/>
                      <w:sz w:val="21"/>
                      <w:szCs w:val="21"/>
                      <w:highlight w:val="none"/>
                      <w:shd w:val="clear" w:color="auto" w:fill="auto"/>
                      <w:lang w:val="en-US" w:eastAsia="zh-CN" w:bidi="ar-SA"/>
                    </w:rPr>
                  </w:pPr>
                </w:p>
              </w:tc>
              <w:tc>
                <w:tcPr>
                  <w:tcW w:w="1662" w:type="pct"/>
                  <w:noWrap w:val="0"/>
                  <w:vAlign w:val="center"/>
                </w:tcPr>
                <w:p w14:paraId="62B0ED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44"/>
                      <w:sz w:val="21"/>
                      <w:szCs w:val="21"/>
                      <w:highlight w:val="none"/>
                      <w:shd w:val="clear" w:color="auto" w:fill="auto"/>
                      <w:lang w:val="en-US" w:eastAsia="zh-CN" w:bidi="ar-SA"/>
                    </w:rPr>
                  </w:pPr>
                  <w:r>
                    <w:rPr>
                      <w:rFonts w:hint="default" w:ascii="Times New Roman" w:hAnsi="Times New Roman" w:eastAsia="宋体" w:cs="Times New Roman"/>
                      <w:color w:val="auto"/>
                      <w:kern w:val="44"/>
                      <w:sz w:val="21"/>
                      <w:szCs w:val="21"/>
                      <w:highlight w:val="none"/>
                      <w:shd w:val="clear" w:color="auto" w:fill="auto"/>
                      <w:lang w:val="en-US" w:eastAsia="zh-CN" w:bidi="ar-SA"/>
                    </w:rPr>
                    <w:t>总悬浮颗粒物（TSP）</w:t>
                  </w:r>
                </w:p>
              </w:tc>
              <w:tc>
                <w:tcPr>
                  <w:tcW w:w="1893" w:type="pct"/>
                  <w:noWrap w:val="0"/>
                  <w:vAlign w:val="center"/>
                </w:tcPr>
                <w:p w14:paraId="59E802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44"/>
                      <w:sz w:val="21"/>
                      <w:szCs w:val="21"/>
                      <w:highlight w:val="none"/>
                      <w:shd w:val="clear" w:color="auto" w:fill="auto"/>
                      <w:lang w:val="en-US" w:eastAsia="zh-CN" w:bidi="ar-SA"/>
                    </w:rPr>
                  </w:pPr>
                  <w:r>
                    <w:rPr>
                      <w:rFonts w:hint="default" w:ascii="Times New Roman" w:hAnsi="Times New Roman" w:eastAsia="宋体" w:cs="Times New Roman"/>
                      <w:color w:val="auto"/>
                      <w:kern w:val="44"/>
                      <w:sz w:val="21"/>
                      <w:szCs w:val="21"/>
                      <w:highlight w:val="none"/>
                      <w:shd w:val="clear" w:color="auto" w:fill="auto"/>
                      <w:lang w:val="en-US" w:eastAsia="zh-CN" w:bidi="ar-SA"/>
                    </w:rPr>
                    <w:t>监测3天，1次/天</w:t>
                  </w:r>
                </w:p>
              </w:tc>
            </w:tr>
          </w:tbl>
          <w:p w14:paraId="4B21B16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4"/>
                <w:highlight w:val="none"/>
                <w:shd w:val="clear" w:color="auto" w:fill="auto"/>
                <w:lang w:val="en-US" w:eastAsia="zh-CN"/>
              </w:rPr>
            </w:pPr>
            <w:r>
              <w:rPr>
                <w:rFonts w:hint="default" w:ascii="Times New Roman" w:hAnsi="Times New Roman" w:eastAsia="宋体" w:cs="Times New Roman"/>
                <w:b/>
                <w:bCs/>
                <w:color w:val="auto"/>
                <w:sz w:val="24"/>
                <w:highlight w:val="none"/>
                <w:shd w:val="clear" w:color="auto" w:fill="auto"/>
                <w:lang w:val="en-US" w:eastAsia="zh-CN"/>
              </w:rPr>
              <w:t>表3-3  特征污染物监测结果一览表</w:t>
            </w:r>
          </w:p>
          <w:tbl>
            <w:tblPr>
              <w:tblStyle w:val="28"/>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252"/>
              <w:gridCol w:w="1961"/>
              <w:gridCol w:w="775"/>
              <w:gridCol w:w="584"/>
              <w:gridCol w:w="584"/>
              <w:gridCol w:w="584"/>
              <w:gridCol w:w="597"/>
              <w:gridCol w:w="851"/>
              <w:gridCol w:w="1063"/>
            </w:tblGrid>
            <w:tr w14:paraId="78C6666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tcBorders>
                    <w:tl2br w:val="nil"/>
                    <w:tr2bl w:val="nil"/>
                  </w:tcBorders>
                  <w:noWrap w:val="0"/>
                  <w:vAlign w:val="center"/>
                </w:tcPr>
                <w:p w14:paraId="60EF59D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污染物</w:t>
                  </w:r>
                </w:p>
              </w:tc>
              <w:tc>
                <w:tcPr>
                  <w:tcW w:w="1188" w:type="pct"/>
                  <w:tcBorders>
                    <w:tl2br w:val="nil"/>
                    <w:tr2bl w:val="nil"/>
                  </w:tcBorders>
                  <w:noWrap w:val="0"/>
                  <w:vAlign w:val="center"/>
                </w:tcPr>
                <w:p w14:paraId="4B5EFDA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采样日期</w:t>
                  </w:r>
                </w:p>
              </w:tc>
              <w:tc>
                <w:tcPr>
                  <w:tcW w:w="469" w:type="pct"/>
                  <w:tcBorders>
                    <w:tl2br w:val="nil"/>
                    <w:tr2bl w:val="nil"/>
                  </w:tcBorders>
                  <w:noWrap w:val="0"/>
                  <w:vAlign w:val="center"/>
                </w:tcPr>
                <w:p w14:paraId="1669031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单位</w:t>
                  </w:r>
                </w:p>
              </w:tc>
              <w:tc>
                <w:tcPr>
                  <w:tcW w:w="1421" w:type="pct"/>
                  <w:gridSpan w:val="4"/>
                  <w:tcBorders>
                    <w:tl2br w:val="nil"/>
                    <w:tr2bl w:val="nil"/>
                  </w:tcBorders>
                  <w:noWrap w:val="0"/>
                  <w:vAlign w:val="center"/>
                </w:tcPr>
                <w:p w14:paraId="367CECF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监测结果</w:t>
                  </w:r>
                </w:p>
              </w:tc>
              <w:tc>
                <w:tcPr>
                  <w:tcW w:w="516" w:type="pct"/>
                  <w:tcBorders>
                    <w:tl2br w:val="nil"/>
                    <w:tr2bl w:val="nil"/>
                  </w:tcBorders>
                  <w:noWrap w:val="0"/>
                  <w:vAlign w:val="center"/>
                </w:tcPr>
                <w:p w14:paraId="3447FB2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标准值</w:t>
                  </w:r>
                </w:p>
              </w:tc>
              <w:tc>
                <w:tcPr>
                  <w:tcW w:w="644" w:type="pct"/>
                  <w:tcBorders>
                    <w:tl2br w:val="nil"/>
                    <w:tr2bl w:val="nil"/>
                  </w:tcBorders>
                  <w:noWrap w:val="0"/>
                  <w:vAlign w:val="center"/>
                </w:tcPr>
                <w:p w14:paraId="611174C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达标情况</w:t>
                  </w:r>
                </w:p>
              </w:tc>
            </w:tr>
            <w:tr w14:paraId="73482CD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restart"/>
                  <w:tcBorders>
                    <w:tl2br w:val="nil"/>
                    <w:tr2bl w:val="nil"/>
                  </w:tcBorders>
                  <w:noWrap w:val="0"/>
                  <w:vAlign w:val="center"/>
                </w:tcPr>
                <w:p w14:paraId="6B02C73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总悬浮</w:t>
                  </w:r>
                </w:p>
                <w:p w14:paraId="275F131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颗粒物（TSP）</w:t>
                  </w:r>
                </w:p>
              </w:tc>
              <w:tc>
                <w:tcPr>
                  <w:tcW w:w="1188" w:type="pct"/>
                  <w:tcBorders>
                    <w:tl2br w:val="nil"/>
                    <w:tr2bl w:val="nil"/>
                  </w:tcBorders>
                  <w:noWrap w:val="0"/>
                  <w:vAlign w:val="center"/>
                </w:tcPr>
                <w:p w14:paraId="292AF56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2022年4月26日</w:t>
                  </w:r>
                </w:p>
              </w:tc>
              <w:tc>
                <w:tcPr>
                  <w:tcW w:w="469" w:type="pct"/>
                  <w:vMerge w:val="restart"/>
                  <w:tcBorders>
                    <w:tl2br w:val="nil"/>
                    <w:tr2bl w:val="nil"/>
                  </w:tcBorders>
                  <w:noWrap w:val="0"/>
                  <w:vAlign w:val="center"/>
                </w:tcPr>
                <w:p w14:paraId="450F05A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μg/m³</w:t>
                  </w:r>
                </w:p>
              </w:tc>
              <w:tc>
                <w:tcPr>
                  <w:tcW w:w="1421" w:type="pct"/>
                  <w:gridSpan w:val="4"/>
                  <w:tcBorders>
                    <w:tl2br w:val="nil"/>
                    <w:tr2bl w:val="nil"/>
                  </w:tcBorders>
                  <w:noWrap w:val="0"/>
                  <w:vAlign w:val="center"/>
                </w:tcPr>
                <w:p w14:paraId="56CE04B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177</w:t>
                  </w:r>
                </w:p>
              </w:tc>
              <w:tc>
                <w:tcPr>
                  <w:tcW w:w="516" w:type="pct"/>
                  <w:vMerge w:val="restart"/>
                  <w:tcBorders>
                    <w:tl2br w:val="nil"/>
                    <w:tr2bl w:val="nil"/>
                  </w:tcBorders>
                  <w:noWrap w:val="0"/>
                  <w:vAlign w:val="center"/>
                </w:tcPr>
                <w:p w14:paraId="70F5FAD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300</w:t>
                  </w:r>
                </w:p>
              </w:tc>
              <w:tc>
                <w:tcPr>
                  <w:tcW w:w="644" w:type="pct"/>
                  <w:vMerge w:val="restart"/>
                  <w:tcBorders>
                    <w:tl2br w:val="nil"/>
                    <w:tr2bl w:val="nil"/>
                  </w:tcBorders>
                  <w:noWrap w:val="0"/>
                  <w:vAlign w:val="center"/>
                </w:tcPr>
                <w:p w14:paraId="52940CB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达标</w:t>
                  </w:r>
                </w:p>
              </w:tc>
            </w:tr>
            <w:tr w14:paraId="35E20CD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continue"/>
                  <w:tcBorders>
                    <w:tl2br w:val="nil"/>
                    <w:tr2bl w:val="nil"/>
                  </w:tcBorders>
                  <w:noWrap w:val="0"/>
                  <w:vAlign w:val="center"/>
                </w:tcPr>
                <w:p w14:paraId="5E85E0A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188" w:type="pct"/>
                  <w:tcBorders>
                    <w:tl2br w:val="nil"/>
                    <w:tr2bl w:val="nil"/>
                  </w:tcBorders>
                  <w:noWrap w:val="0"/>
                  <w:vAlign w:val="center"/>
                </w:tcPr>
                <w:p w14:paraId="477B849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2022年4月27日</w:t>
                  </w:r>
                </w:p>
              </w:tc>
              <w:tc>
                <w:tcPr>
                  <w:tcW w:w="469" w:type="pct"/>
                  <w:vMerge w:val="continue"/>
                  <w:tcBorders>
                    <w:tl2br w:val="nil"/>
                    <w:tr2bl w:val="nil"/>
                  </w:tcBorders>
                  <w:noWrap w:val="0"/>
                  <w:vAlign w:val="center"/>
                </w:tcPr>
                <w:p w14:paraId="311D792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421" w:type="pct"/>
                  <w:gridSpan w:val="4"/>
                  <w:tcBorders>
                    <w:tl2br w:val="nil"/>
                    <w:tr2bl w:val="nil"/>
                  </w:tcBorders>
                  <w:noWrap w:val="0"/>
                  <w:vAlign w:val="center"/>
                </w:tcPr>
                <w:p w14:paraId="2703311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191</w:t>
                  </w:r>
                </w:p>
              </w:tc>
              <w:tc>
                <w:tcPr>
                  <w:tcW w:w="516" w:type="pct"/>
                  <w:vMerge w:val="continue"/>
                  <w:tcBorders>
                    <w:tl2br w:val="nil"/>
                    <w:tr2bl w:val="nil"/>
                  </w:tcBorders>
                  <w:noWrap w:val="0"/>
                  <w:vAlign w:val="center"/>
                </w:tcPr>
                <w:p w14:paraId="1A252A5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44" w:type="pct"/>
                  <w:vMerge w:val="continue"/>
                  <w:tcBorders>
                    <w:tl2br w:val="nil"/>
                    <w:tr2bl w:val="nil"/>
                  </w:tcBorders>
                  <w:noWrap w:val="0"/>
                  <w:vAlign w:val="center"/>
                </w:tcPr>
                <w:p w14:paraId="4497D9F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04238E0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continue"/>
                  <w:tcBorders>
                    <w:tl2br w:val="nil"/>
                    <w:tr2bl w:val="nil"/>
                  </w:tcBorders>
                  <w:noWrap w:val="0"/>
                  <w:vAlign w:val="center"/>
                </w:tcPr>
                <w:p w14:paraId="4B24B07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188" w:type="pct"/>
                  <w:tcBorders>
                    <w:tl2br w:val="nil"/>
                    <w:tr2bl w:val="nil"/>
                  </w:tcBorders>
                  <w:noWrap w:val="0"/>
                  <w:vAlign w:val="center"/>
                </w:tcPr>
                <w:p w14:paraId="22EDBD05">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2022年4月28日</w:t>
                  </w:r>
                </w:p>
              </w:tc>
              <w:tc>
                <w:tcPr>
                  <w:tcW w:w="469" w:type="pct"/>
                  <w:vMerge w:val="continue"/>
                  <w:tcBorders>
                    <w:tl2br w:val="nil"/>
                    <w:tr2bl w:val="nil"/>
                  </w:tcBorders>
                  <w:noWrap w:val="0"/>
                  <w:vAlign w:val="center"/>
                </w:tcPr>
                <w:p w14:paraId="6A43E79D">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1421" w:type="pct"/>
                  <w:gridSpan w:val="4"/>
                  <w:tcBorders>
                    <w:tl2br w:val="nil"/>
                    <w:tr2bl w:val="nil"/>
                  </w:tcBorders>
                  <w:noWrap w:val="0"/>
                  <w:vAlign w:val="center"/>
                </w:tcPr>
                <w:p w14:paraId="40373A4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185</w:t>
                  </w:r>
                </w:p>
              </w:tc>
              <w:tc>
                <w:tcPr>
                  <w:tcW w:w="516" w:type="pct"/>
                  <w:vMerge w:val="continue"/>
                  <w:tcBorders>
                    <w:tl2br w:val="nil"/>
                    <w:tr2bl w:val="nil"/>
                  </w:tcBorders>
                  <w:noWrap w:val="0"/>
                  <w:vAlign w:val="center"/>
                </w:tcPr>
                <w:p w14:paraId="2518350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644" w:type="pct"/>
                  <w:vMerge w:val="continue"/>
                  <w:tcBorders>
                    <w:tl2br w:val="nil"/>
                    <w:tr2bl w:val="nil"/>
                  </w:tcBorders>
                  <w:noWrap w:val="0"/>
                  <w:vAlign w:val="center"/>
                </w:tcPr>
                <w:p w14:paraId="273B0052">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r>
            <w:tr w14:paraId="71ECB71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restart"/>
                  <w:noWrap w:val="0"/>
                  <w:vAlign w:val="center"/>
                </w:tcPr>
                <w:p w14:paraId="2A558C2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非甲烷</w:t>
                  </w:r>
                </w:p>
                <w:p w14:paraId="292E362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总烃</w:t>
                  </w:r>
                </w:p>
              </w:tc>
              <w:tc>
                <w:tcPr>
                  <w:tcW w:w="1188" w:type="pct"/>
                  <w:noWrap w:val="0"/>
                  <w:vAlign w:val="center"/>
                </w:tcPr>
                <w:p w14:paraId="733C4E9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2022年4月26日</w:t>
                  </w:r>
                </w:p>
              </w:tc>
              <w:tc>
                <w:tcPr>
                  <w:tcW w:w="469" w:type="pct"/>
                  <w:vMerge w:val="restart"/>
                  <w:noWrap w:val="0"/>
                  <w:vAlign w:val="center"/>
                </w:tcPr>
                <w:p w14:paraId="5B4CE40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mg/m</w:t>
                  </w:r>
                  <w:r>
                    <w:rPr>
                      <w:rFonts w:hint="default" w:ascii="Times New Roman" w:hAnsi="Times New Roman" w:eastAsia="宋体" w:cs="Times New Roman"/>
                      <w:color w:val="auto"/>
                      <w:sz w:val="21"/>
                      <w:szCs w:val="21"/>
                      <w:highlight w:val="none"/>
                      <w:shd w:val="clear" w:color="auto" w:fill="auto"/>
                      <w:vertAlign w:val="superscript"/>
                      <w:lang w:val="en-US" w:eastAsia="zh-CN"/>
                    </w:rPr>
                    <w:t>3</w:t>
                  </w:r>
                </w:p>
              </w:tc>
              <w:tc>
                <w:tcPr>
                  <w:tcW w:w="353" w:type="pct"/>
                  <w:noWrap w:val="0"/>
                  <w:vAlign w:val="center"/>
                </w:tcPr>
                <w:p w14:paraId="5A8A859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0.52</w:t>
                  </w:r>
                </w:p>
              </w:tc>
              <w:tc>
                <w:tcPr>
                  <w:tcW w:w="353" w:type="pct"/>
                  <w:noWrap w:val="0"/>
                  <w:vAlign w:val="center"/>
                </w:tcPr>
                <w:p w14:paraId="65B02B4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0.57</w:t>
                  </w:r>
                </w:p>
              </w:tc>
              <w:tc>
                <w:tcPr>
                  <w:tcW w:w="353" w:type="pct"/>
                  <w:noWrap w:val="0"/>
                  <w:vAlign w:val="center"/>
                </w:tcPr>
                <w:p w14:paraId="148F77C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0.58</w:t>
                  </w:r>
                </w:p>
              </w:tc>
              <w:tc>
                <w:tcPr>
                  <w:tcW w:w="359" w:type="pct"/>
                  <w:noWrap w:val="0"/>
                  <w:vAlign w:val="center"/>
                </w:tcPr>
                <w:p w14:paraId="1A78DD1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0.65</w:t>
                  </w:r>
                </w:p>
              </w:tc>
              <w:tc>
                <w:tcPr>
                  <w:tcW w:w="516" w:type="pct"/>
                  <w:vMerge w:val="restart"/>
                  <w:noWrap w:val="0"/>
                  <w:vAlign w:val="center"/>
                </w:tcPr>
                <w:p w14:paraId="305E0AA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w:t>
                  </w:r>
                </w:p>
              </w:tc>
              <w:tc>
                <w:tcPr>
                  <w:tcW w:w="644" w:type="pct"/>
                  <w:vMerge w:val="restart"/>
                  <w:noWrap w:val="0"/>
                  <w:vAlign w:val="center"/>
                </w:tcPr>
                <w:p w14:paraId="61C7E0A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达标</w:t>
                  </w:r>
                </w:p>
              </w:tc>
            </w:tr>
            <w:tr w14:paraId="7A7D050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continue"/>
                  <w:noWrap w:val="0"/>
                  <w:vAlign w:val="center"/>
                </w:tcPr>
                <w:p w14:paraId="51AF3BD5">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188" w:type="pct"/>
                  <w:noWrap w:val="0"/>
                  <w:vAlign w:val="center"/>
                </w:tcPr>
                <w:p w14:paraId="38B81AD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2022年4月27日</w:t>
                  </w:r>
                </w:p>
              </w:tc>
              <w:tc>
                <w:tcPr>
                  <w:tcW w:w="469" w:type="pct"/>
                  <w:vMerge w:val="continue"/>
                  <w:noWrap w:val="0"/>
                  <w:vAlign w:val="center"/>
                </w:tcPr>
                <w:p w14:paraId="0EC296D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53" w:type="pct"/>
                  <w:noWrap w:val="0"/>
                  <w:vAlign w:val="center"/>
                </w:tcPr>
                <w:p w14:paraId="7EDEB99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0.58</w:t>
                  </w:r>
                </w:p>
              </w:tc>
              <w:tc>
                <w:tcPr>
                  <w:tcW w:w="353" w:type="pct"/>
                  <w:noWrap w:val="0"/>
                  <w:vAlign w:val="center"/>
                </w:tcPr>
                <w:p w14:paraId="68C8CFE8">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0.57</w:t>
                  </w:r>
                </w:p>
              </w:tc>
              <w:tc>
                <w:tcPr>
                  <w:tcW w:w="353" w:type="pct"/>
                  <w:noWrap w:val="0"/>
                  <w:vAlign w:val="center"/>
                </w:tcPr>
                <w:p w14:paraId="040013C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0.54</w:t>
                  </w:r>
                </w:p>
              </w:tc>
              <w:tc>
                <w:tcPr>
                  <w:tcW w:w="359" w:type="pct"/>
                  <w:noWrap w:val="0"/>
                  <w:vAlign w:val="center"/>
                </w:tcPr>
                <w:p w14:paraId="1FAE481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0.51</w:t>
                  </w:r>
                </w:p>
              </w:tc>
              <w:tc>
                <w:tcPr>
                  <w:tcW w:w="516" w:type="pct"/>
                  <w:vMerge w:val="continue"/>
                  <w:noWrap w:val="0"/>
                  <w:vAlign w:val="center"/>
                </w:tcPr>
                <w:p w14:paraId="28CC3CA5">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644" w:type="pct"/>
                  <w:vMerge w:val="continue"/>
                  <w:noWrap w:val="0"/>
                  <w:vAlign w:val="center"/>
                </w:tcPr>
                <w:p w14:paraId="10DF2DA4">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r>
            <w:tr w14:paraId="29D2CF5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759" w:type="pct"/>
                  <w:vMerge w:val="continue"/>
                  <w:noWrap w:val="0"/>
                  <w:vAlign w:val="center"/>
                </w:tcPr>
                <w:p w14:paraId="1A7A9A69">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1188" w:type="pct"/>
                  <w:noWrap w:val="0"/>
                  <w:vAlign w:val="center"/>
                </w:tcPr>
                <w:p w14:paraId="30F9B39B">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2022年4月28日</w:t>
                  </w:r>
                </w:p>
              </w:tc>
              <w:tc>
                <w:tcPr>
                  <w:tcW w:w="469" w:type="pct"/>
                  <w:vMerge w:val="continue"/>
                  <w:noWrap w:val="0"/>
                  <w:vAlign w:val="center"/>
                </w:tcPr>
                <w:p w14:paraId="4B670F0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p>
              </w:tc>
              <w:tc>
                <w:tcPr>
                  <w:tcW w:w="353" w:type="pct"/>
                  <w:noWrap w:val="0"/>
                  <w:vAlign w:val="center"/>
                </w:tcPr>
                <w:p w14:paraId="5C0151D6">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0.55</w:t>
                  </w:r>
                </w:p>
              </w:tc>
              <w:tc>
                <w:tcPr>
                  <w:tcW w:w="353" w:type="pct"/>
                  <w:noWrap w:val="0"/>
                  <w:vAlign w:val="center"/>
                </w:tcPr>
                <w:p w14:paraId="0242B77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0.64</w:t>
                  </w:r>
                </w:p>
              </w:tc>
              <w:tc>
                <w:tcPr>
                  <w:tcW w:w="353" w:type="pct"/>
                  <w:noWrap w:val="0"/>
                  <w:vAlign w:val="center"/>
                </w:tcPr>
                <w:p w14:paraId="3248DCD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0.50</w:t>
                  </w:r>
                </w:p>
              </w:tc>
              <w:tc>
                <w:tcPr>
                  <w:tcW w:w="359" w:type="pct"/>
                  <w:noWrap w:val="0"/>
                  <w:vAlign w:val="center"/>
                </w:tcPr>
                <w:p w14:paraId="28ACB95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0.52</w:t>
                  </w:r>
                </w:p>
              </w:tc>
              <w:tc>
                <w:tcPr>
                  <w:tcW w:w="516" w:type="pct"/>
                  <w:vMerge w:val="continue"/>
                  <w:noWrap w:val="0"/>
                  <w:vAlign w:val="center"/>
                </w:tcPr>
                <w:p w14:paraId="1811D4A3">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c>
                <w:tcPr>
                  <w:tcW w:w="644" w:type="pct"/>
                  <w:vMerge w:val="continue"/>
                  <w:noWrap w:val="0"/>
                  <w:vAlign w:val="center"/>
                </w:tcPr>
                <w:p w14:paraId="50FC7D8C">
                  <w:pPr>
                    <w:keepNext w:val="0"/>
                    <w:keepLines w:val="0"/>
                    <w:pageBreakBefore w:val="0"/>
                    <w:widowControl/>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auto"/>
                    </w:rPr>
                  </w:pPr>
                </w:p>
              </w:tc>
            </w:tr>
          </w:tbl>
          <w:p w14:paraId="6855ABEE">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shd w:val="clear" w:color="auto" w:fill="auto"/>
              </w:rPr>
            </w:pPr>
            <w:r>
              <w:rPr>
                <w:rFonts w:hint="default" w:ascii="Times New Roman" w:hAnsi="Times New Roman" w:eastAsia="宋体" w:cs="Times New Roman"/>
                <w:color w:val="auto"/>
                <w:sz w:val="24"/>
                <w:highlight w:val="none"/>
                <w:shd w:val="clear" w:color="auto" w:fill="auto"/>
              </w:rPr>
              <w:t>根据上表</w:t>
            </w:r>
            <w:r>
              <w:rPr>
                <w:rFonts w:hint="default" w:ascii="Times New Roman" w:hAnsi="Times New Roman" w:eastAsia="宋体" w:cs="Times New Roman"/>
                <w:color w:val="auto"/>
                <w:sz w:val="24"/>
                <w:highlight w:val="none"/>
                <w:shd w:val="clear" w:color="auto" w:fill="auto"/>
                <w:lang w:val="en-US" w:eastAsia="zh-CN"/>
              </w:rPr>
              <w:t>监测结果可知</w:t>
            </w:r>
            <w:r>
              <w:rPr>
                <w:rFonts w:hint="default" w:ascii="Times New Roman" w:hAnsi="Times New Roman" w:eastAsia="宋体" w:cs="Times New Roman"/>
                <w:color w:val="auto"/>
                <w:sz w:val="24"/>
                <w:highlight w:val="none"/>
                <w:shd w:val="clear" w:color="auto" w:fill="auto"/>
              </w:rPr>
              <w:t>，</w:t>
            </w:r>
            <w:r>
              <w:rPr>
                <w:rFonts w:hint="default" w:ascii="Times New Roman" w:hAnsi="Times New Roman" w:eastAsia="宋体" w:cs="Times New Roman"/>
                <w:color w:val="auto"/>
                <w:sz w:val="24"/>
                <w:highlight w:val="none"/>
                <w:shd w:val="clear" w:color="auto" w:fill="auto"/>
              </w:rPr>
              <w:t>项目所在区域</w:t>
            </w:r>
            <w:r>
              <w:rPr>
                <w:rFonts w:hint="default" w:ascii="Times New Roman" w:hAnsi="Times New Roman" w:eastAsia="宋体" w:cs="Times New Roman"/>
                <w:color w:val="auto"/>
                <w:sz w:val="24"/>
                <w:highlight w:val="none"/>
                <w:shd w:val="clear" w:color="auto" w:fill="auto"/>
                <w:lang w:val="en-US" w:eastAsia="zh-CN"/>
              </w:rPr>
              <w:t>TSP24小时均值</w:t>
            </w:r>
            <w:r>
              <w:rPr>
                <w:rFonts w:hint="default" w:ascii="Times New Roman" w:hAnsi="Times New Roman" w:eastAsia="宋体" w:cs="Times New Roman"/>
                <w:color w:val="auto"/>
                <w:sz w:val="24"/>
                <w:highlight w:val="none"/>
                <w:shd w:val="clear" w:color="auto" w:fill="auto"/>
              </w:rPr>
              <w:t>满足《环境空气质量标准》（GB3095-2</w:t>
            </w:r>
            <w:r>
              <w:rPr>
                <w:rFonts w:hint="default" w:ascii="Times New Roman" w:hAnsi="Times New Roman" w:eastAsia="宋体" w:cs="Times New Roman"/>
                <w:color w:val="auto"/>
                <w:sz w:val="24"/>
                <w:szCs w:val="24"/>
                <w:highlight w:val="none"/>
                <w:shd w:val="clear" w:color="auto" w:fill="auto"/>
              </w:rPr>
              <w:t>012）二级标准，</w:t>
            </w:r>
            <w:r>
              <w:rPr>
                <w:rFonts w:hint="default" w:ascii="Times New Roman" w:hAnsi="Times New Roman" w:eastAsia="宋体" w:cs="Times New Roman"/>
                <w:color w:val="auto"/>
                <w:sz w:val="24"/>
                <w:szCs w:val="24"/>
                <w:highlight w:val="none"/>
                <w:shd w:val="clear" w:color="auto" w:fill="auto"/>
                <w:lang w:val="en-US" w:eastAsia="zh-CN"/>
              </w:rPr>
              <w:t>非甲烷总烃监测结果满足</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大气污染物综合排放标准</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详解中规定的限值</w:t>
            </w:r>
            <w:r>
              <w:rPr>
                <w:rFonts w:hint="default" w:ascii="Times New Roman" w:hAnsi="Times New Roman" w:eastAsia="宋体" w:cs="Times New Roman"/>
                <w:color w:val="auto"/>
                <w:sz w:val="24"/>
                <w:szCs w:val="24"/>
                <w:highlight w:val="none"/>
                <w:shd w:val="clear" w:color="auto" w:fill="auto"/>
              </w:rPr>
              <w:t>。</w:t>
            </w:r>
          </w:p>
          <w:p w14:paraId="485CCBEE">
            <w:pPr>
              <w:ind w:left="480" w:leftChars="200" w:firstLine="0" w:firstLineChars="0"/>
              <w:rPr>
                <w:rFonts w:hint="default" w:ascii="Times New Roman" w:hAnsi="Times New Roman" w:cs="Times New Roman"/>
                <w:b/>
                <w:bCs/>
                <w:color w:val="auto"/>
              </w:rPr>
            </w:pPr>
            <w:r>
              <w:rPr>
                <w:rFonts w:hint="default" w:ascii="Times New Roman" w:hAnsi="Times New Roman" w:cs="Times New Roman"/>
                <w:b/>
                <w:bCs/>
                <w:color w:val="auto"/>
              </w:rPr>
              <w:t>2、声环境</w:t>
            </w:r>
          </w:p>
          <w:p w14:paraId="744CB47E">
            <w:pPr>
              <w:ind w:firstLine="480"/>
              <w:rPr>
                <w:rFonts w:hint="default" w:ascii="Times New Roman" w:hAnsi="Times New Roman" w:cs="Times New Roman"/>
                <w:color w:val="auto"/>
              </w:rPr>
            </w:pPr>
            <w:r>
              <w:rPr>
                <w:rFonts w:hint="default" w:ascii="Times New Roman" w:hAnsi="Times New Roman" w:cs="Times New Roman"/>
                <w:color w:val="auto"/>
              </w:rPr>
              <w:t>本项目周边50m范围内不存在声环境保护目标，无需进行声环境质量现状监测及评价。</w:t>
            </w:r>
          </w:p>
          <w:p w14:paraId="28F184BF">
            <w:pPr>
              <w:ind w:firstLine="482"/>
              <w:rPr>
                <w:rFonts w:hint="default" w:ascii="Times New Roman" w:hAnsi="Times New Roman" w:cs="Times New Roman"/>
                <w:b/>
                <w:bCs/>
                <w:color w:val="auto"/>
              </w:rPr>
            </w:pPr>
            <w:r>
              <w:rPr>
                <w:rFonts w:hint="default" w:ascii="Times New Roman" w:hAnsi="Times New Roman" w:cs="Times New Roman"/>
                <w:b/>
                <w:bCs/>
                <w:color w:val="auto"/>
              </w:rPr>
              <w:t>3、生态环境</w:t>
            </w:r>
            <w:r>
              <w:rPr>
                <w:rFonts w:hint="default" w:ascii="Times New Roman" w:hAnsi="Times New Roman" w:cs="Times New Roman"/>
                <w:b/>
                <w:bCs/>
                <w:color w:val="auto"/>
                <w:kern w:val="21"/>
              </w:rPr>
              <w:t>质量现状</w:t>
            </w:r>
          </w:p>
          <w:p w14:paraId="1C4E147B">
            <w:pPr>
              <w:ind w:firstLine="480"/>
              <w:rPr>
                <w:rFonts w:hint="default" w:ascii="Times New Roman" w:hAnsi="Times New Roman" w:cs="Times New Roman"/>
                <w:color w:val="auto"/>
              </w:rPr>
            </w:pPr>
            <w:r>
              <w:rPr>
                <w:rFonts w:hint="default" w:ascii="Times New Roman" w:hAnsi="Times New Roman" w:cs="Times New Roman"/>
                <w:color w:val="auto"/>
              </w:rPr>
              <w:t>本项目在租赁厂房内建设，当地属于已建成区，不涉及新增建设用地，本次评价不做生态环境现状调查。</w:t>
            </w:r>
          </w:p>
          <w:p w14:paraId="6AC03980">
            <w:pPr>
              <w:ind w:firstLine="482"/>
              <w:rPr>
                <w:rFonts w:hint="default" w:ascii="Times New Roman" w:hAnsi="Times New Roman" w:cs="Times New Roman"/>
                <w:b/>
                <w:bCs/>
                <w:color w:val="auto"/>
              </w:rPr>
            </w:pPr>
            <w:r>
              <w:rPr>
                <w:rFonts w:hint="default" w:ascii="Times New Roman" w:hAnsi="Times New Roman" w:cs="Times New Roman"/>
                <w:b/>
                <w:bCs/>
                <w:color w:val="auto"/>
              </w:rPr>
              <w:t xml:space="preserve">4、土壤、地下水环境质量现状 </w:t>
            </w:r>
          </w:p>
          <w:p w14:paraId="3E3D5E69">
            <w:pPr>
              <w:autoSpaceDE w:val="0"/>
              <w:autoSpaceDN w:val="0"/>
              <w:ind w:firstLine="480"/>
              <w:rPr>
                <w:rFonts w:hint="default" w:ascii="Times New Roman" w:hAnsi="Times New Roman" w:cs="Times New Roman"/>
                <w:color w:val="auto"/>
              </w:rPr>
            </w:pPr>
            <w:r>
              <w:rPr>
                <w:rFonts w:hint="default" w:ascii="Times New Roman" w:hAnsi="Times New Roman" w:cs="Times New Roman"/>
                <w:color w:val="auto"/>
              </w:rPr>
              <w:t>本项目用地范围内已全部硬化，不存在地下水、土壤环境污染途径，不涉及土壤、地下水环境敏感目标，本次评价不做土壤、地下水环境质量现状调查。</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24"/>
              <w:gridCol w:w="4125"/>
            </w:tblGrid>
            <w:tr w14:paraId="047CD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24" w:type="dxa"/>
                  <w:vAlign w:val="center"/>
                </w:tcPr>
                <w:p w14:paraId="2776DFCC">
                  <w:pPr>
                    <w:pStyle w:val="6"/>
                    <w:spacing w:line="240" w:lineRule="auto"/>
                    <w:ind w:firstLine="0" w:firstLineChars="0"/>
                    <w:rPr>
                      <w:rFonts w:hint="default" w:ascii="Times New Roman" w:hAnsi="Times New Roman" w:cs="Times New Roman"/>
                      <w:b/>
                      <w:bCs/>
                      <w:color w:val="auto"/>
                      <w:sz w:val="21"/>
                      <w:szCs w:val="16"/>
                    </w:rPr>
                  </w:pPr>
                  <w:r>
                    <w:rPr>
                      <w:rFonts w:hint="default" w:ascii="Times New Roman" w:hAnsi="Times New Roman" w:cs="Times New Roman"/>
                      <w:b/>
                      <w:bCs/>
                      <w:color w:val="auto"/>
                      <w:sz w:val="21"/>
                      <w:szCs w:val="16"/>
                    </w:rPr>
                    <w:drawing>
                      <wp:inline distT="0" distB="0" distL="114300" distR="114300">
                        <wp:extent cx="2458085" cy="1933575"/>
                        <wp:effectExtent l="0" t="0" r="18415" b="9525"/>
                        <wp:docPr id="4" name="图片 4" descr="IMG20240909163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20240909163107"/>
                                <pic:cNvPicPr>
                                  <a:picLocks noChangeAspect="1"/>
                                </pic:cNvPicPr>
                              </pic:nvPicPr>
                              <pic:blipFill>
                                <a:blip r:embed="rId20"/>
                                <a:stretch>
                                  <a:fillRect/>
                                </a:stretch>
                              </pic:blipFill>
                              <pic:spPr>
                                <a:xfrm>
                                  <a:off x="0" y="0"/>
                                  <a:ext cx="2458085" cy="1933575"/>
                                </a:xfrm>
                                <a:prstGeom prst="rect">
                                  <a:avLst/>
                                </a:prstGeom>
                              </pic:spPr>
                            </pic:pic>
                          </a:graphicData>
                        </a:graphic>
                      </wp:inline>
                    </w:drawing>
                  </w:r>
                </w:p>
                <w:p w14:paraId="7F057404">
                  <w:pPr>
                    <w:pStyle w:val="6"/>
                    <w:spacing w:line="240" w:lineRule="auto"/>
                    <w:ind w:firstLine="0" w:firstLineChars="0"/>
                    <w:jc w:val="center"/>
                    <w:rPr>
                      <w:rFonts w:hint="default" w:ascii="Times New Roman" w:hAnsi="Times New Roman" w:cs="Times New Roman"/>
                      <w:b/>
                      <w:bCs/>
                      <w:color w:val="auto"/>
                      <w:sz w:val="21"/>
                      <w:szCs w:val="16"/>
                    </w:rPr>
                  </w:pPr>
                  <w:r>
                    <w:rPr>
                      <w:rFonts w:hint="default" w:ascii="Times New Roman" w:hAnsi="Times New Roman" w:cs="Times New Roman"/>
                      <w:b/>
                      <w:bCs/>
                      <w:color w:val="auto"/>
                      <w:sz w:val="21"/>
                      <w:szCs w:val="16"/>
                    </w:rPr>
                    <w:t>地面硬化照片01</w:t>
                  </w:r>
                </w:p>
              </w:tc>
              <w:tc>
                <w:tcPr>
                  <w:tcW w:w="4125" w:type="dxa"/>
                  <w:vAlign w:val="center"/>
                </w:tcPr>
                <w:p w14:paraId="400FAEC5">
                  <w:pPr>
                    <w:pStyle w:val="6"/>
                    <w:spacing w:line="240" w:lineRule="auto"/>
                    <w:ind w:firstLine="0" w:firstLineChars="0"/>
                    <w:jc w:val="center"/>
                    <w:rPr>
                      <w:rFonts w:hint="default" w:ascii="Times New Roman" w:hAnsi="Times New Roman" w:cs="Times New Roman"/>
                      <w:b/>
                      <w:bCs/>
                      <w:color w:val="auto"/>
                      <w:sz w:val="21"/>
                      <w:szCs w:val="16"/>
                    </w:rPr>
                  </w:pPr>
                  <w:r>
                    <w:rPr>
                      <w:rFonts w:hint="default" w:ascii="Times New Roman" w:hAnsi="Times New Roman" w:cs="Times New Roman"/>
                      <w:b/>
                      <w:bCs/>
                      <w:color w:val="auto"/>
                      <w:sz w:val="21"/>
                      <w:szCs w:val="16"/>
                    </w:rPr>
                    <w:drawing>
                      <wp:inline distT="0" distB="0" distL="114300" distR="114300">
                        <wp:extent cx="2458085" cy="1955800"/>
                        <wp:effectExtent l="0" t="0" r="18415" b="6350"/>
                        <wp:docPr id="5" name="图片 5" descr="IMG20240909160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20240909160751"/>
                                <pic:cNvPicPr>
                                  <a:picLocks noChangeAspect="1"/>
                                </pic:cNvPicPr>
                              </pic:nvPicPr>
                              <pic:blipFill>
                                <a:blip r:embed="rId21"/>
                                <a:stretch>
                                  <a:fillRect/>
                                </a:stretch>
                              </pic:blipFill>
                              <pic:spPr>
                                <a:xfrm>
                                  <a:off x="0" y="0"/>
                                  <a:ext cx="2458085" cy="1955800"/>
                                </a:xfrm>
                                <a:prstGeom prst="rect">
                                  <a:avLst/>
                                </a:prstGeom>
                              </pic:spPr>
                            </pic:pic>
                          </a:graphicData>
                        </a:graphic>
                      </wp:inline>
                    </w:drawing>
                  </w:r>
                </w:p>
                <w:p w14:paraId="6D45A25C">
                  <w:pPr>
                    <w:pStyle w:val="6"/>
                    <w:spacing w:line="240" w:lineRule="auto"/>
                    <w:ind w:firstLine="0" w:firstLineChars="0"/>
                    <w:jc w:val="center"/>
                    <w:rPr>
                      <w:rFonts w:hint="default" w:ascii="Times New Roman" w:hAnsi="Times New Roman" w:cs="Times New Roman"/>
                      <w:b/>
                      <w:bCs/>
                      <w:color w:val="auto"/>
                      <w:sz w:val="21"/>
                      <w:szCs w:val="16"/>
                    </w:rPr>
                  </w:pPr>
                  <w:r>
                    <w:rPr>
                      <w:rFonts w:hint="default" w:ascii="Times New Roman" w:hAnsi="Times New Roman" w:cs="Times New Roman"/>
                      <w:b/>
                      <w:bCs/>
                      <w:color w:val="auto"/>
                      <w:sz w:val="21"/>
                      <w:szCs w:val="16"/>
                    </w:rPr>
                    <w:t>地面硬化照片02</w:t>
                  </w:r>
                </w:p>
              </w:tc>
            </w:tr>
          </w:tbl>
          <w:p w14:paraId="3FDD7CA5">
            <w:pPr>
              <w:pStyle w:val="6"/>
              <w:ind w:firstLine="480"/>
              <w:rPr>
                <w:rFonts w:hint="default" w:ascii="Times New Roman" w:hAnsi="Times New Roman" w:cs="Times New Roman"/>
                <w:color w:val="auto"/>
              </w:rPr>
            </w:pPr>
          </w:p>
        </w:tc>
      </w:tr>
      <w:tr w14:paraId="234E2D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 w:type="pct"/>
            <w:vAlign w:val="center"/>
          </w:tcPr>
          <w:p w14:paraId="51C1EE29">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环境</w:t>
            </w:r>
          </w:p>
          <w:p w14:paraId="56E4DB46">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保护</w:t>
            </w:r>
          </w:p>
          <w:p w14:paraId="652486E0">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目标</w:t>
            </w:r>
          </w:p>
        </w:tc>
        <w:tc>
          <w:tcPr>
            <w:tcW w:w="4677" w:type="pct"/>
            <w:vAlign w:val="center"/>
          </w:tcPr>
          <w:p w14:paraId="626AAD8C">
            <w:pPr>
              <w:ind w:firstLine="480"/>
              <w:rPr>
                <w:rFonts w:hint="default" w:ascii="Times New Roman" w:hAnsi="Times New Roman" w:cs="Times New Roman"/>
                <w:color w:val="auto"/>
              </w:rPr>
            </w:pPr>
            <w:r>
              <w:rPr>
                <w:rFonts w:hint="default" w:ascii="Times New Roman" w:hAnsi="Times New Roman" w:cs="Times New Roman"/>
                <w:color w:val="auto"/>
              </w:rPr>
              <w:t>项目位于陕西省西咸新区沣东新城斗门街办沣惠渠南岸15号。</w:t>
            </w:r>
          </w:p>
          <w:p w14:paraId="025D7352">
            <w:pPr>
              <w:ind w:firstLine="480"/>
              <w:rPr>
                <w:rFonts w:hint="default" w:ascii="Times New Roman" w:hAnsi="Times New Roman" w:cs="Times New Roman"/>
                <w:color w:val="auto"/>
              </w:rPr>
            </w:pPr>
            <w:r>
              <w:rPr>
                <w:rFonts w:hint="default" w:ascii="Times New Roman" w:hAnsi="Times New Roman" w:cs="Times New Roman"/>
                <w:color w:val="auto"/>
              </w:rPr>
              <w:t>大气环境：根据现场调查，项目周边以农田为主，评价区域附近500m范围内不存在自然保护区、风景名胜区、居住区、文化区和农村地区中人群较集中的区域等大气环境敏感目标。</w:t>
            </w:r>
          </w:p>
          <w:p w14:paraId="75D56BED">
            <w:pPr>
              <w:ind w:firstLine="480"/>
              <w:rPr>
                <w:rFonts w:hint="default" w:ascii="Times New Roman" w:hAnsi="Times New Roman" w:cs="Times New Roman"/>
                <w:color w:val="auto"/>
              </w:rPr>
            </w:pPr>
            <w:r>
              <w:rPr>
                <w:rFonts w:hint="default" w:ascii="Times New Roman" w:hAnsi="Times New Roman" w:cs="Times New Roman"/>
                <w:color w:val="auto"/>
              </w:rPr>
              <w:t>声环境：厂界外50m范围内无声环境保护目标；</w:t>
            </w:r>
          </w:p>
          <w:p w14:paraId="10AF0768">
            <w:pPr>
              <w:ind w:firstLine="480"/>
              <w:rPr>
                <w:rFonts w:hint="default" w:ascii="Times New Roman" w:hAnsi="Times New Roman" w:cs="Times New Roman"/>
                <w:color w:val="auto"/>
              </w:rPr>
            </w:pPr>
            <w:r>
              <w:rPr>
                <w:rFonts w:hint="default" w:ascii="Times New Roman" w:hAnsi="Times New Roman" w:cs="Times New Roman"/>
                <w:color w:val="auto"/>
              </w:rPr>
              <w:t>地下水环境：项目地500m范围内无地下水集中式饮用水水源和热水、矿泉水、温泉等特殊地下水资源；</w:t>
            </w:r>
          </w:p>
          <w:p w14:paraId="4795B439">
            <w:pPr>
              <w:ind w:firstLine="480"/>
              <w:rPr>
                <w:rFonts w:hint="default" w:ascii="Times New Roman" w:hAnsi="Times New Roman" w:cs="Times New Roman"/>
                <w:color w:val="auto"/>
              </w:rPr>
            </w:pPr>
            <w:r>
              <w:rPr>
                <w:rFonts w:hint="default" w:ascii="Times New Roman" w:hAnsi="Times New Roman" w:cs="Times New Roman"/>
                <w:color w:val="auto"/>
              </w:rPr>
              <w:t>生态环境：项目租赁长安油毡原纸厂现有厂房及办公区进行建设，不涉及生态环境保护目标。</w:t>
            </w:r>
          </w:p>
        </w:tc>
      </w:tr>
      <w:tr w14:paraId="24865D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9" w:hRule="atLeast"/>
          <w:jc w:val="center"/>
        </w:trPr>
        <w:tc>
          <w:tcPr>
            <w:tcW w:w="322" w:type="pct"/>
            <w:tcBorders>
              <w:bottom w:val="single" w:color="auto" w:sz="8" w:space="0"/>
            </w:tcBorders>
            <w:tcMar>
              <w:left w:w="28" w:type="dxa"/>
              <w:right w:w="28" w:type="dxa"/>
            </w:tcMar>
            <w:vAlign w:val="center"/>
          </w:tcPr>
          <w:p w14:paraId="0B2A5BBA">
            <w:pPr>
              <w:autoSpaceDE w:val="0"/>
              <w:autoSpaceDN w:val="0"/>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kern w:val="21"/>
                <w:szCs w:val="21"/>
              </w:rPr>
              <w:t>污</w:t>
            </w:r>
            <w:r>
              <w:rPr>
                <w:rFonts w:hint="default" w:ascii="Times New Roman" w:hAnsi="Times New Roman" w:cs="Times New Roman"/>
                <w:color w:val="auto"/>
              </w:rPr>
              <w:t>染</w:t>
            </w:r>
          </w:p>
          <w:p w14:paraId="1751F9DD">
            <w:pPr>
              <w:autoSpaceDE w:val="0"/>
              <w:autoSpaceDN w:val="0"/>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物排</w:t>
            </w:r>
          </w:p>
          <w:p w14:paraId="267DFD2B">
            <w:pPr>
              <w:autoSpaceDE w:val="0"/>
              <w:autoSpaceDN w:val="0"/>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放控</w:t>
            </w:r>
          </w:p>
          <w:p w14:paraId="45513B50">
            <w:pPr>
              <w:autoSpaceDE w:val="0"/>
              <w:autoSpaceDN w:val="0"/>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制标</w:t>
            </w:r>
          </w:p>
          <w:p w14:paraId="7DA8E4AC">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准</w:t>
            </w:r>
          </w:p>
        </w:tc>
        <w:tc>
          <w:tcPr>
            <w:tcW w:w="4677" w:type="pct"/>
            <w:tcBorders>
              <w:bottom w:val="single" w:color="auto" w:sz="8" w:space="0"/>
            </w:tcBorders>
            <w:vAlign w:val="center"/>
          </w:tcPr>
          <w:p w14:paraId="0AA00121">
            <w:pPr>
              <w:ind w:firstLine="480"/>
              <w:rPr>
                <w:rFonts w:hint="default" w:ascii="Times New Roman" w:hAnsi="Times New Roman" w:cs="Times New Roman"/>
                <w:color w:val="auto"/>
              </w:rPr>
            </w:pPr>
            <w:r>
              <w:rPr>
                <w:rFonts w:hint="default" w:ascii="Times New Roman" w:hAnsi="Times New Roman" w:cs="Times New Roman"/>
                <w:color w:val="auto"/>
              </w:rPr>
              <w:t>1、大气</w:t>
            </w:r>
          </w:p>
          <w:p w14:paraId="4C1511FD">
            <w:pPr>
              <w:ind w:firstLine="480"/>
              <w:rPr>
                <w:rFonts w:hint="default" w:ascii="Times New Roman" w:hAnsi="Times New Roman" w:cs="Times New Roman"/>
                <w:b/>
                <w:bCs/>
                <w:color w:val="auto"/>
              </w:rPr>
            </w:pPr>
            <w:r>
              <w:rPr>
                <w:rFonts w:hint="default" w:ascii="Times New Roman" w:hAnsi="Times New Roman" w:cs="Times New Roman"/>
                <w:color w:val="auto"/>
              </w:rPr>
              <w:t>运营期非甲烷总烃有组织、厂界排放执行《合成树脂工业污染物排放标准》（GB31572-2015，含2024年修改单）表5特别排放标准限值和表9无组织排放限值，厂区内无组织非甲烷总烃排放执行《挥发性有机物无组织排放控制标准》（GB37822-2019）附录A中厂区内VOCs无组织特别排放限值，食堂油烟执行《饮食业油烟排放标准》（GB18483-2001）中表2标准限值，具体标准值见表3-4。</w:t>
            </w:r>
          </w:p>
          <w:p w14:paraId="56952BA7">
            <w:pPr>
              <w:spacing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表3-4  项目运营期大气污染物排放标准</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0"/>
              <w:gridCol w:w="426"/>
              <w:gridCol w:w="1080"/>
              <w:gridCol w:w="2374"/>
              <w:gridCol w:w="702"/>
              <w:gridCol w:w="3094"/>
            </w:tblGrid>
            <w:tr w14:paraId="7FB90F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2" w:type="pct"/>
                  <w:tcBorders>
                    <w:tl2br w:val="nil"/>
                    <w:tr2bl w:val="nil"/>
                  </w:tcBorders>
                  <w:vAlign w:val="center"/>
                </w:tcPr>
                <w:p w14:paraId="6E886499">
                  <w:pPr>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911" w:type="pct"/>
                  <w:gridSpan w:val="2"/>
                  <w:tcBorders>
                    <w:tl2br w:val="nil"/>
                    <w:tr2bl w:val="nil"/>
                  </w:tcBorders>
                  <w:vAlign w:val="center"/>
                </w:tcPr>
                <w:p w14:paraId="3F0AC107">
                  <w:pPr>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1862" w:type="pct"/>
                  <w:gridSpan w:val="2"/>
                  <w:tcBorders>
                    <w:tl2br w:val="nil"/>
                    <w:tr2bl w:val="nil"/>
                  </w:tcBorders>
                  <w:vAlign w:val="center"/>
                </w:tcPr>
                <w:p w14:paraId="4D811FFB">
                  <w:pPr>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标准限值</w:t>
                  </w:r>
                </w:p>
              </w:tc>
              <w:tc>
                <w:tcPr>
                  <w:tcW w:w="1873" w:type="pct"/>
                  <w:tcBorders>
                    <w:tl2br w:val="nil"/>
                    <w:tr2bl w:val="nil"/>
                  </w:tcBorders>
                  <w:vAlign w:val="center"/>
                </w:tcPr>
                <w:p w14:paraId="388035DF">
                  <w:pPr>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标准名称</w:t>
                  </w:r>
                </w:p>
              </w:tc>
            </w:tr>
            <w:tr w14:paraId="30EB19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2" w:type="pct"/>
                  <w:vMerge w:val="restart"/>
                  <w:tcBorders>
                    <w:tl2br w:val="nil"/>
                    <w:tr2bl w:val="nil"/>
                  </w:tcBorders>
                  <w:vAlign w:val="center"/>
                </w:tcPr>
                <w:p w14:paraId="62880FD5">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非甲烷总烃</w:t>
                  </w:r>
                </w:p>
              </w:tc>
              <w:tc>
                <w:tcPr>
                  <w:tcW w:w="911" w:type="pct"/>
                  <w:gridSpan w:val="2"/>
                  <w:tcBorders>
                    <w:tl2br w:val="nil"/>
                    <w:tr2bl w:val="nil"/>
                  </w:tcBorders>
                  <w:vAlign w:val="center"/>
                </w:tcPr>
                <w:p w14:paraId="2F299DAB">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有组织</w:t>
                  </w:r>
                </w:p>
              </w:tc>
              <w:tc>
                <w:tcPr>
                  <w:tcW w:w="1437" w:type="pct"/>
                  <w:tcBorders>
                    <w:tl2br w:val="nil"/>
                    <w:tr2bl w:val="nil"/>
                  </w:tcBorders>
                  <w:shd w:val="clear" w:color="auto" w:fill="auto"/>
                  <w:vAlign w:val="center"/>
                </w:tcPr>
                <w:p w14:paraId="08660595">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最高允许排放浓度（mg/m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425" w:type="pct"/>
                  <w:tcBorders>
                    <w:tl2br w:val="nil"/>
                    <w:tr2bl w:val="nil"/>
                  </w:tcBorders>
                  <w:shd w:val="clear" w:color="auto" w:fill="auto"/>
                  <w:vAlign w:val="center"/>
                </w:tcPr>
                <w:p w14:paraId="70988984">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60</w:t>
                  </w:r>
                </w:p>
              </w:tc>
              <w:tc>
                <w:tcPr>
                  <w:tcW w:w="1873" w:type="pct"/>
                  <w:tcBorders>
                    <w:tl2br w:val="nil"/>
                    <w:tr2bl w:val="nil"/>
                  </w:tcBorders>
                  <w:shd w:val="clear" w:color="auto" w:fill="auto"/>
                  <w:vAlign w:val="center"/>
                </w:tcPr>
                <w:p w14:paraId="715B28C4">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《合成树脂工业污染物排放标准》（GB31572-2015，含2024年修改单）表5特别排放标准限值和表9无组织排放限值</w:t>
                  </w:r>
                </w:p>
              </w:tc>
            </w:tr>
            <w:tr w14:paraId="0BB87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2" w:type="pct"/>
                  <w:vMerge w:val="continue"/>
                  <w:tcBorders>
                    <w:tl2br w:val="nil"/>
                    <w:tr2bl w:val="nil"/>
                  </w:tcBorders>
                  <w:vAlign w:val="center"/>
                </w:tcPr>
                <w:p w14:paraId="3113F0CA">
                  <w:pPr>
                    <w:widowControl/>
                    <w:spacing w:line="240" w:lineRule="auto"/>
                    <w:ind w:firstLine="0" w:firstLineChars="0"/>
                    <w:jc w:val="center"/>
                    <w:rPr>
                      <w:rFonts w:hint="default" w:ascii="Times New Roman" w:hAnsi="Times New Roman" w:cs="Times New Roman"/>
                      <w:color w:val="auto"/>
                      <w:sz w:val="21"/>
                      <w:szCs w:val="21"/>
                    </w:rPr>
                  </w:pPr>
                </w:p>
              </w:tc>
              <w:tc>
                <w:tcPr>
                  <w:tcW w:w="257" w:type="pct"/>
                  <w:vMerge w:val="restart"/>
                  <w:tcBorders>
                    <w:tl2br w:val="nil"/>
                    <w:tr2bl w:val="nil"/>
                  </w:tcBorders>
                  <w:vAlign w:val="center"/>
                </w:tcPr>
                <w:p w14:paraId="673CB4AD">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无组织</w:t>
                  </w:r>
                </w:p>
              </w:tc>
              <w:tc>
                <w:tcPr>
                  <w:tcW w:w="653" w:type="pct"/>
                  <w:tcBorders>
                    <w:tl2br w:val="nil"/>
                    <w:tr2bl w:val="nil"/>
                  </w:tcBorders>
                  <w:vAlign w:val="center"/>
                </w:tcPr>
                <w:p w14:paraId="40D66E47">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w:t>
                  </w:r>
                </w:p>
              </w:tc>
              <w:tc>
                <w:tcPr>
                  <w:tcW w:w="1437" w:type="pct"/>
                  <w:tcBorders>
                    <w:tl2br w:val="nil"/>
                    <w:tr2bl w:val="nil"/>
                  </w:tcBorders>
                  <w:shd w:val="clear" w:color="auto" w:fill="auto"/>
                  <w:vAlign w:val="center"/>
                </w:tcPr>
                <w:p w14:paraId="62622D60">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周界外浓度最高点（mg/m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425" w:type="pct"/>
                  <w:tcBorders>
                    <w:tl2br w:val="nil"/>
                    <w:tr2bl w:val="nil"/>
                  </w:tcBorders>
                  <w:shd w:val="clear" w:color="auto" w:fill="auto"/>
                  <w:vAlign w:val="center"/>
                </w:tcPr>
                <w:p w14:paraId="7CEFFE1E">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w:t>
                  </w:r>
                </w:p>
              </w:tc>
              <w:tc>
                <w:tcPr>
                  <w:tcW w:w="1873" w:type="pct"/>
                  <w:tcBorders>
                    <w:tl2br w:val="nil"/>
                    <w:tr2bl w:val="nil"/>
                  </w:tcBorders>
                  <w:shd w:val="clear" w:color="auto" w:fill="auto"/>
                  <w:vAlign w:val="center"/>
                </w:tcPr>
                <w:p w14:paraId="693875A1">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《合成树脂工业污染物排放标准》（GB31572-2015，含2024年修改单）表9无组织排放限值</w:t>
                  </w:r>
                </w:p>
              </w:tc>
            </w:tr>
            <w:tr w14:paraId="043A60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2" w:type="pct"/>
                  <w:vMerge w:val="continue"/>
                  <w:tcBorders>
                    <w:tl2br w:val="nil"/>
                    <w:tr2bl w:val="nil"/>
                  </w:tcBorders>
                  <w:vAlign w:val="center"/>
                </w:tcPr>
                <w:p w14:paraId="113327D5">
                  <w:pPr>
                    <w:widowControl/>
                    <w:spacing w:line="240" w:lineRule="auto"/>
                    <w:ind w:firstLine="0" w:firstLineChars="0"/>
                    <w:jc w:val="center"/>
                    <w:rPr>
                      <w:rFonts w:hint="default" w:ascii="Times New Roman" w:hAnsi="Times New Roman" w:cs="Times New Roman"/>
                      <w:color w:val="auto"/>
                      <w:sz w:val="21"/>
                      <w:szCs w:val="21"/>
                    </w:rPr>
                  </w:pPr>
                </w:p>
              </w:tc>
              <w:tc>
                <w:tcPr>
                  <w:tcW w:w="257" w:type="pct"/>
                  <w:vMerge w:val="continue"/>
                  <w:tcBorders>
                    <w:tl2br w:val="nil"/>
                    <w:tr2bl w:val="nil"/>
                  </w:tcBorders>
                  <w:vAlign w:val="center"/>
                </w:tcPr>
                <w:p w14:paraId="076A6DBA">
                  <w:pPr>
                    <w:widowControl/>
                    <w:spacing w:line="240" w:lineRule="auto"/>
                    <w:ind w:firstLine="0" w:firstLineChars="0"/>
                    <w:jc w:val="center"/>
                    <w:rPr>
                      <w:rFonts w:hint="default" w:ascii="Times New Roman" w:hAnsi="Times New Roman" w:cs="Times New Roman"/>
                      <w:color w:val="auto"/>
                      <w:sz w:val="21"/>
                      <w:szCs w:val="21"/>
                    </w:rPr>
                  </w:pPr>
                </w:p>
              </w:tc>
              <w:tc>
                <w:tcPr>
                  <w:tcW w:w="653" w:type="pct"/>
                  <w:vMerge w:val="restart"/>
                  <w:tcBorders>
                    <w:tl2br w:val="nil"/>
                    <w:tr2bl w:val="nil"/>
                  </w:tcBorders>
                  <w:vAlign w:val="center"/>
                </w:tcPr>
                <w:p w14:paraId="7C11407A">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厂区内车间外</w:t>
                  </w:r>
                </w:p>
              </w:tc>
              <w:tc>
                <w:tcPr>
                  <w:tcW w:w="1437" w:type="pct"/>
                  <w:tcBorders>
                    <w:tl2br w:val="nil"/>
                    <w:tr2bl w:val="nil"/>
                  </w:tcBorders>
                  <w:shd w:val="clear" w:color="auto" w:fill="auto"/>
                  <w:vAlign w:val="center"/>
                </w:tcPr>
                <w:p w14:paraId="1532B2F9">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监控点处1h平均浓度值（mg/m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425" w:type="pct"/>
                  <w:tcBorders>
                    <w:tl2br w:val="nil"/>
                    <w:tr2bl w:val="nil"/>
                  </w:tcBorders>
                  <w:shd w:val="clear" w:color="auto" w:fill="auto"/>
                  <w:vAlign w:val="center"/>
                </w:tcPr>
                <w:p w14:paraId="5DF094B5">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1873" w:type="pct"/>
                  <w:vMerge w:val="restart"/>
                  <w:tcBorders>
                    <w:tl2br w:val="nil"/>
                    <w:tr2bl w:val="nil"/>
                  </w:tcBorders>
                  <w:shd w:val="clear" w:color="auto" w:fill="auto"/>
                  <w:vAlign w:val="center"/>
                </w:tcPr>
                <w:p w14:paraId="7707A22E">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《挥发性有机物无组织排放控制标准》（GB37822-2019）附录A中厂区内VOCs无组织特别排放限值</w:t>
                  </w:r>
                </w:p>
              </w:tc>
            </w:tr>
            <w:tr w14:paraId="36F10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2" w:type="pct"/>
                  <w:vMerge w:val="continue"/>
                  <w:tcBorders>
                    <w:tl2br w:val="nil"/>
                    <w:tr2bl w:val="nil"/>
                  </w:tcBorders>
                  <w:vAlign w:val="center"/>
                </w:tcPr>
                <w:p w14:paraId="58C81120">
                  <w:pPr>
                    <w:widowControl/>
                    <w:spacing w:line="240" w:lineRule="auto"/>
                    <w:ind w:firstLine="0" w:firstLineChars="0"/>
                    <w:jc w:val="center"/>
                    <w:rPr>
                      <w:rFonts w:hint="default" w:ascii="Times New Roman" w:hAnsi="Times New Roman" w:cs="Times New Roman"/>
                      <w:color w:val="auto"/>
                      <w:sz w:val="21"/>
                      <w:szCs w:val="21"/>
                    </w:rPr>
                  </w:pPr>
                </w:p>
              </w:tc>
              <w:tc>
                <w:tcPr>
                  <w:tcW w:w="257" w:type="pct"/>
                  <w:vMerge w:val="continue"/>
                  <w:tcBorders>
                    <w:tl2br w:val="nil"/>
                    <w:tr2bl w:val="nil"/>
                  </w:tcBorders>
                  <w:vAlign w:val="center"/>
                </w:tcPr>
                <w:p w14:paraId="5698F20A">
                  <w:pPr>
                    <w:widowControl/>
                    <w:spacing w:line="240" w:lineRule="auto"/>
                    <w:ind w:firstLine="0" w:firstLineChars="0"/>
                    <w:jc w:val="center"/>
                    <w:rPr>
                      <w:rFonts w:hint="default" w:ascii="Times New Roman" w:hAnsi="Times New Roman" w:cs="Times New Roman"/>
                      <w:color w:val="auto"/>
                      <w:sz w:val="21"/>
                      <w:szCs w:val="21"/>
                    </w:rPr>
                  </w:pPr>
                </w:p>
              </w:tc>
              <w:tc>
                <w:tcPr>
                  <w:tcW w:w="653" w:type="pct"/>
                  <w:vMerge w:val="continue"/>
                  <w:tcBorders>
                    <w:tl2br w:val="nil"/>
                    <w:tr2bl w:val="nil"/>
                  </w:tcBorders>
                  <w:vAlign w:val="center"/>
                </w:tcPr>
                <w:p w14:paraId="3D9D023B">
                  <w:pPr>
                    <w:widowControl/>
                    <w:spacing w:line="240" w:lineRule="auto"/>
                    <w:ind w:firstLine="0" w:firstLineChars="0"/>
                    <w:jc w:val="center"/>
                    <w:rPr>
                      <w:rFonts w:hint="default" w:ascii="Times New Roman" w:hAnsi="Times New Roman" w:cs="Times New Roman"/>
                      <w:color w:val="auto"/>
                      <w:sz w:val="21"/>
                      <w:szCs w:val="21"/>
                    </w:rPr>
                  </w:pPr>
                </w:p>
              </w:tc>
              <w:tc>
                <w:tcPr>
                  <w:tcW w:w="1437" w:type="pct"/>
                  <w:tcBorders>
                    <w:tl2br w:val="nil"/>
                    <w:tr2bl w:val="nil"/>
                  </w:tcBorders>
                  <w:shd w:val="clear" w:color="auto" w:fill="auto"/>
                  <w:vAlign w:val="center"/>
                </w:tcPr>
                <w:p w14:paraId="07AE2646">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监控点处任意一次浓度值（mg/m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425" w:type="pct"/>
                  <w:tcBorders>
                    <w:tl2br w:val="nil"/>
                    <w:tr2bl w:val="nil"/>
                  </w:tcBorders>
                  <w:shd w:val="clear" w:color="auto" w:fill="auto"/>
                  <w:vAlign w:val="center"/>
                </w:tcPr>
                <w:p w14:paraId="3BD97D22">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1873" w:type="pct"/>
                  <w:vMerge w:val="continue"/>
                  <w:tcBorders>
                    <w:tl2br w:val="nil"/>
                    <w:tr2bl w:val="nil"/>
                  </w:tcBorders>
                  <w:shd w:val="clear" w:color="auto" w:fill="auto"/>
                  <w:vAlign w:val="center"/>
                </w:tcPr>
                <w:p w14:paraId="4C6A49D0">
                  <w:pPr>
                    <w:widowControl/>
                    <w:spacing w:line="240" w:lineRule="auto"/>
                    <w:ind w:firstLine="0" w:firstLineChars="0"/>
                    <w:jc w:val="center"/>
                    <w:rPr>
                      <w:rFonts w:hint="default" w:ascii="Times New Roman" w:hAnsi="Times New Roman" w:cs="Times New Roman"/>
                      <w:color w:val="auto"/>
                      <w:sz w:val="21"/>
                      <w:szCs w:val="21"/>
                    </w:rPr>
                  </w:pPr>
                </w:p>
              </w:tc>
            </w:tr>
            <w:tr w14:paraId="204D7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2" w:type="pct"/>
                  <w:vMerge w:val="restart"/>
                  <w:tcBorders>
                    <w:tl2br w:val="nil"/>
                    <w:tr2bl w:val="nil"/>
                  </w:tcBorders>
                  <w:vAlign w:val="center"/>
                </w:tcPr>
                <w:p w14:paraId="7E1F06A9">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油烟</w:t>
                  </w:r>
                </w:p>
              </w:tc>
              <w:tc>
                <w:tcPr>
                  <w:tcW w:w="911" w:type="pct"/>
                  <w:gridSpan w:val="2"/>
                  <w:vMerge w:val="restart"/>
                  <w:tcBorders>
                    <w:tl2br w:val="nil"/>
                    <w:tr2bl w:val="nil"/>
                  </w:tcBorders>
                  <w:vAlign w:val="center"/>
                </w:tcPr>
                <w:p w14:paraId="1034D7AE">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有组织</w:t>
                  </w:r>
                </w:p>
              </w:tc>
              <w:tc>
                <w:tcPr>
                  <w:tcW w:w="1437" w:type="pct"/>
                  <w:tcBorders>
                    <w:tl2br w:val="nil"/>
                    <w:tr2bl w:val="nil"/>
                  </w:tcBorders>
                  <w:shd w:val="clear" w:color="auto" w:fill="auto"/>
                  <w:vAlign w:val="center"/>
                </w:tcPr>
                <w:p w14:paraId="79D361AA">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最高允许排放浓度（mg/m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425" w:type="pct"/>
                  <w:tcBorders>
                    <w:tl2br w:val="nil"/>
                    <w:tr2bl w:val="nil"/>
                  </w:tcBorders>
                  <w:shd w:val="clear" w:color="auto" w:fill="auto"/>
                  <w:vAlign w:val="center"/>
                </w:tcPr>
                <w:p w14:paraId="421A32D3">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873" w:type="pct"/>
                  <w:vMerge w:val="restart"/>
                  <w:tcBorders>
                    <w:tl2br w:val="nil"/>
                    <w:tr2bl w:val="nil"/>
                  </w:tcBorders>
                  <w:shd w:val="clear" w:color="auto" w:fill="auto"/>
                  <w:vAlign w:val="center"/>
                </w:tcPr>
                <w:p w14:paraId="40636DA0">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《饮食业油烟排放标准》（GB18483-2001）中表2标准限值</w:t>
                  </w:r>
                </w:p>
              </w:tc>
            </w:tr>
            <w:tr w14:paraId="53634C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2" w:type="pct"/>
                  <w:vMerge w:val="continue"/>
                  <w:tcBorders>
                    <w:tl2br w:val="nil"/>
                    <w:tr2bl w:val="nil"/>
                  </w:tcBorders>
                  <w:vAlign w:val="center"/>
                </w:tcPr>
                <w:p w14:paraId="5B341DBB">
                  <w:pPr>
                    <w:widowControl/>
                    <w:spacing w:line="240" w:lineRule="auto"/>
                    <w:ind w:firstLine="0" w:firstLineChars="0"/>
                    <w:jc w:val="center"/>
                    <w:rPr>
                      <w:rFonts w:hint="default" w:ascii="Times New Roman" w:hAnsi="Times New Roman" w:cs="Times New Roman"/>
                      <w:color w:val="auto"/>
                      <w:sz w:val="21"/>
                      <w:szCs w:val="21"/>
                    </w:rPr>
                  </w:pPr>
                </w:p>
              </w:tc>
              <w:tc>
                <w:tcPr>
                  <w:tcW w:w="911" w:type="pct"/>
                  <w:gridSpan w:val="2"/>
                  <w:vMerge w:val="continue"/>
                  <w:tcBorders>
                    <w:tl2br w:val="nil"/>
                    <w:tr2bl w:val="nil"/>
                  </w:tcBorders>
                  <w:vAlign w:val="center"/>
                </w:tcPr>
                <w:p w14:paraId="0ACD15FB">
                  <w:pPr>
                    <w:widowControl/>
                    <w:spacing w:line="240" w:lineRule="auto"/>
                    <w:ind w:firstLine="0" w:firstLineChars="0"/>
                    <w:jc w:val="center"/>
                    <w:rPr>
                      <w:rFonts w:hint="default" w:ascii="Times New Roman" w:hAnsi="Times New Roman" w:cs="Times New Roman"/>
                      <w:color w:val="auto"/>
                      <w:sz w:val="21"/>
                      <w:szCs w:val="21"/>
                    </w:rPr>
                  </w:pPr>
                </w:p>
              </w:tc>
              <w:tc>
                <w:tcPr>
                  <w:tcW w:w="1437" w:type="pct"/>
                  <w:tcBorders>
                    <w:tl2br w:val="nil"/>
                    <w:tr2bl w:val="nil"/>
                  </w:tcBorders>
                  <w:shd w:val="clear" w:color="auto" w:fill="auto"/>
                  <w:vAlign w:val="center"/>
                </w:tcPr>
                <w:p w14:paraId="02EF8BE9">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净化设施最低去除效率（%））</w:t>
                  </w:r>
                </w:p>
              </w:tc>
              <w:tc>
                <w:tcPr>
                  <w:tcW w:w="425" w:type="pct"/>
                  <w:tcBorders>
                    <w:tl2br w:val="nil"/>
                    <w:tr2bl w:val="nil"/>
                  </w:tcBorders>
                  <w:shd w:val="clear" w:color="auto" w:fill="auto"/>
                  <w:vAlign w:val="center"/>
                </w:tcPr>
                <w:p w14:paraId="4D209842">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60</w:t>
                  </w:r>
                </w:p>
              </w:tc>
              <w:tc>
                <w:tcPr>
                  <w:tcW w:w="1873" w:type="pct"/>
                  <w:vMerge w:val="continue"/>
                  <w:tcBorders>
                    <w:tl2br w:val="nil"/>
                    <w:tr2bl w:val="nil"/>
                  </w:tcBorders>
                  <w:shd w:val="clear" w:color="auto" w:fill="auto"/>
                  <w:vAlign w:val="center"/>
                </w:tcPr>
                <w:p w14:paraId="491C0694">
                  <w:pPr>
                    <w:widowControl/>
                    <w:spacing w:line="240" w:lineRule="auto"/>
                    <w:ind w:firstLine="0" w:firstLineChars="0"/>
                    <w:jc w:val="center"/>
                    <w:rPr>
                      <w:rFonts w:hint="default" w:ascii="Times New Roman" w:hAnsi="Times New Roman" w:cs="Times New Roman"/>
                      <w:color w:val="auto"/>
                      <w:sz w:val="21"/>
                      <w:szCs w:val="21"/>
                    </w:rPr>
                  </w:pPr>
                </w:p>
              </w:tc>
            </w:tr>
          </w:tbl>
          <w:p w14:paraId="2D426F4D">
            <w:pPr>
              <w:ind w:firstLine="480"/>
              <w:rPr>
                <w:rFonts w:hint="default" w:ascii="Times New Roman" w:hAnsi="Times New Roman" w:cs="Times New Roman"/>
                <w:color w:val="auto"/>
              </w:rPr>
            </w:pPr>
            <w:r>
              <w:rPr>
                <w:rFonts w:hint="default" w:ascii="Times New Roman" w:hAnsi="Times New Roman" w:cs="Times New Roman"/>
                <w:color w:val="auto"/>
              </w:rPr>
              <w:t>2、废水</w:t>
            </w:r>
          </w:p>
          <w:p w14:paraId="75A92AE6">
            <w:pPr>
              <w:ind w:firstLine="480"/>
              <w:rPr>
                <w:rFonts w:hint="default" w:ascii="Times New Roman" w:hAnsi="Times New Roman" w:cs="Times New Roman"/>
                <w:color w:val="auto"/>
              </w:rPr>
            </w:pPr>
            <w:r>
              <w:rPr>
                <w:rFonts w:hint="default" w:ascii="Times New Roman" w:hAnsi="Times New Roman" w:cs="Times New Roman"/>
                <w:color w:val="auto"/>
              </w:rPr>
              <w:t>设备冷却水通过循环冷却水系统循环使用，定期补充新鲜水，</w:t>
            </w:r>
            <w:r>
              <w:rPr>
                <w:rFonts w:hint="default" w:ascii="Times New Roman" w:hAnsi="Times New Roman" w:cs="Times New Roman"/>
                <w:color w:val="auto"/>
              </w:rPr>
              <w:t>循环冷却水系统产生的排污水用于厂区</w:t>
            </w:r>
            <w:r>
              <w:rPr>
                <w:rFonts w:hint="default" w:ascii="Times New Roman" w:hAnsi="Times New Roman" w:cs="Times New Roman"/>
                <w:color w:val="auto"/>
                <w:lang w:val="en-US" w:eastAsia="zh-CN"/>
              </w:rPr>
              <w:t>洒水降尘</w:t>
            </w:r>
            <w:r>
              <w:rPr>
                <w:rFonts w:hint="default" w:ascii="Times New Roman" w:hAnsi="Times New Roman" w:cs="Times New Roman"/>
                <w:color w:val="auto"/>
              </w:rPr>
              <w:t>；食堂废水经油水分离器处理后和生活污水进入厂区化粪池进行处理后定期清掏肥田，不外排。</w:t>
            </w:r>
          </w:p>
          <w:p w14:paraId="420BDAEB">
            <w:pPr>
              <w:ind w:firstLine="480"/>
              <w:rPr>
                <w:rFonts w:hint="default" w:ascii="Times New Roman" w:hAnsi="Times New Roman" w:cs="Times New Roman"/>
                <w:color w:val="auto"/>
              </w:rPr>
            </w:pPr>
            <w:r>
              <w:rPr>
                <w:rFonts w:hint="default" w:ascii="Times New Roman" w:hAnsi="Times New Roman" w:cs="Times New Roman"/>
                <w:color w:val="auto"/>
              </w:rPr>
              <w:t>3、噪声</w:t>
            </w:r>
          </w:p>
          <w:p w14:paraId="0D58728A">
            <w:pPr>
              <w:ind w:firstLine="480"/>
              <w:rPr>
                <w:rFonts w:hint="default" w:ascii="Times New Roman" w:hAnsi="Times New Roman" w:cs="Times New Roman"/>
                <w:color w:val="auto"/>
              </w:rPr>
            </w:pPr>
            <w:r>
              <w:rPr>
                <w:rFonts w:hint="default" w:ascii="Times New Roman" w:hAnsi="Times New Roman" w:cs="Times New Roman"/>
                <w:color w:val="auto"/>
              </w:rPr>
              <w:t>运行期厂界四周噪声执行《工业企业厂界环境噪声排放标准》（GB12348-2008）2类标准。</w:t>
            </w:r>
          </w:p>
          <w:p w14:paraId="7B682249">
            <w:pPr>
              <w:spacing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表3-5  噪声排放标准</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186"/>
              <w:gridCol w:w="1868"/>
              <w:gridCol w:w="1871"/>
              <w:gridCol w:w="2006"/>
            </w:tblGrid>
            <w:tr w14:paraId="2AF786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pct"/>
                  <w:vMerge w:val="restart"/>
                  <w:tcBorders>
                    <w:tl2br w:val="nil"/>
                    <w:tr2bl w:val="nil"/>
                  </w:tcBorders>
                  <w:vAlign w:val="center"/>
                </w:tcPr>
                <w:p w14:paraId="1C49AC13">
                  <w:pPr>
                    <w:adjustRightInd/>
                    <w:spacing w:line="240" w:lineRule="auto"/>
                    <w:ind w:firstLine="0" w:firstLineChars="0"/>
                    <w:jc w:val="center"/>
                    <w:textAlignment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执行范围</w:t>
                  </w:r>
                </w:p>
              </w:tc>
              <w:tc>
                <w:tcPr>
                  <w:tcW w:w="718" w:type="pct"/>
                  <w:vMerge w:val="restart"/>
                  <w:tcBorders>
                    <w:tl2br w:val="nil"/>
                    <w:tr2bl w:val="nil"/>
                  </w:tcBorders>
                  <w:vAlign w:val="center"/>
                </w:tcPr>
                <w:p w14:paraId="3D2A430E">
                  <w:pPr>
                    <w:adjustRightInd/>
                    <w:spacing w:line="240" w:lineRule="auto"/>
                    <w:ind w:firstLine="0" w:firstLineChars="0"/>
                    <w:jc w:val="center"/>
                    <w:textAlignment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项目</w:t>
                  </w:r>
                </w:p>
              </w:tc>
              <w:tc>
                <w:tcPr>
                  <w:tcW w:w="2264" w:type="pct"/>
                  <w:gridSpan w:val="2"/>
                  <w:tcBorders>
                    <w:tl2br w:val="nil"/>
                    <w:tr2bl w:val="nil"/>
                  </w:tcBorders>
                  <w:vAlign w:val="center"/>
                </w:tcPr>
                <w:p w14:paraId="6DD0EF39">
                  <w:pPr>
                    <w:adjustRightInd/>
                    <w:spacing w:line="240" w:lineRule="auto"/>
                    <w:ind w:firstLine="0" w:firstLineChars="0"/>
                    <w:jc w:val="center"/>
                    <w:textAlignment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标准限值</w:t>
                  </w:r>
                </w:p>
              </w:tc>
              <w:tc>
                <w:tcPr>
                  <w:tcW w:w="1214" w:type="pct"/>
                  <w:vMerge w:val="restart"/>
                  <w:tcBorders>
                    <w:tl2br w:val="nil"/>
                    <w:tr2bl w:val="nil"/>
                  </w:tcBorders>
                  <w:vAlign w:val="center"/>
                </w:tcPr>
                <w:p w14:paraId="03DBE155">
                  <w:pPr>
                    <w:adjustRightInd/>
                    <w:spacing w:line="240" w:lineRule="auto"/>
                    <w:ind w:firstLine="0" w:firstLineChars="0"/>
                    <w:jc w:val="center"/>
                    <w:textAlignment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单位</w:t>
                  </w:r>
                </w:p>
              </w:tc>
            </w:tr>
            <w:tr w14:paraId="7123AA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pct"/>
                  <w:vMerge w:val="continue"/>
                  <w:tcBorders>
                    <w:tl2br w:val="nil"/>
                    <w:tr2bl w:val="nil"/>
                  </w:tcBorders>
                  <w:vAlign w:val="center"/>
                </w:tcPr>
                <w:p w14:paraId="6C795B83">
                  <w:pPr>
                    <w:adjustRightInd/>
                    <w:spacing w:line="240" w:lineRule="auto"/>
                    <w:ind w:firstLine="0" w:firstLineChars="0"/>
                    <w:jc w:val="center"/>
                    <w:textAlignment w:val="center"/>
                    <w:rPr>
                      <w:rFonts w:hint="default" w:ascii="Times New Roman" w:hAnsi="Times New Roman" w:cs="Times New Roman"/>
                      <w:color w:val="auto"/>
                      <w:kern w:val="0"/>
                      <w:sz w:val="21"/>
                      <w:szCs w:val="21"/>
                    </w:rPr>
                  </w:pPr>
                </w:p>
              </w:tc>
              <w:tc>
                <w:tcPr>
                  <w:tcW w:w="718" w:type="pct"/>
                  <w:vMerge w:val="continue"/>
                  <w:tcBorders>
                    <w:tl2br w:val="nil"/>
                    <w:tr2bl w:val="nil"/>
                  </w:tcBorders>
                  <w:vAlign w:val="center"/>
                </w:tcPr>
                <w:p w14:paraId="4DFF612E">
                  <w:pPr>
                    <w:adjustRightInd/>
                    <w:spacing w:line="240" w:lineRule="auto"/>
                    <w:ind w:firstLine="0" w:firstLineChars="0"/>
                    <w:jc w:val="center"/>
                    <w:textAlignment w:val="center"/>
                    <w:rPr>
                      <w:rFonts w:hint="default" w:ascii="Times New Roman" w:hAnsi="Times New Roman" w:cs="Times New Roman"/>
                      <w:color w:val="auto"/>
                      <w:kern w:val="0"/>
                      <w:sz w:val="21"/>
                      <w:szCs w:val="21"/>
                    </w:rPr>
                  </w:pPr>
                </w:p>
              </w:tc>
              <w:tc>
                <w:tcPr>
                  <w:tcW w:w="1131" w:type="pct"/>
                  <w:tcBorders>
                    <w:tl2br w:val="nil"/>
                    <w:tr2bl w:val="nil"/>
                  </w:tcBorders>
                  <w:vAlign w:val="center"/>
                </w:tcPr>
                <w:p w14:paraId="03AA8625">
                  <w:pPr>
                    <w:adjustRightInd/>
                    <w:spacing w:line="240" w:lineRule="auto"/>
                    <w:ind w:firstLine="0" w:firstLineChars="0"/>
                    <w:jc w:val="center"/>
                    <w:textAlignment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昼间</w:t>
                  </w:r>
                </w:p>
              </w:tc>
              <w:tc>
                <w:tcPr>
                  <w:tcW w:w="1132" w:type="pct"/>
                  <w:tcBorders>
                    <w:tl2br w:val="nil"/>
                    <w:tr2bl w:val="nil"/>
                  </w:tcBorders>
                  <w:vAlign w:val="center"/>
                </w:tcPr>
                <w:p w14:paraId="3C674354">
                  <w:pPr>
                    <w:adjustRightInd/>
                    <w:spacing w:line="240" w:lineRule="auto"/>
                    <w:ind w:firstLine="0" w:firstLineChars="0"/>
                    <w:jc w:val="center"/>
                    <w:textAlignment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夜间</w:t>
                  </w:r>
                </w:p>
              </w:tc>
              <w:tc>
                <w:tcPr>
                  <w:tcW w:w="1214" w:type="pct"/>
                  <w:vMerge w:val="continue"/>
                  <w:tcBorders>
                    <w:tl2br w:val="nil"/>
                    <w:tr2bl w:val="nil"/>
                  </w:tcBorders>
                  <w:vAlign w:val="center"/>
                </w:tcPr>
                <w:p w14:paraId="3314AC40">
                  <w:pPr>
                    <w:adjustRightInd/>
                    <w:spacing w:line="240" w:lineRule="auto"/>
                    <w:ind w:firstLine="0" w:firstLineChars="0"/>
                    <w:jc w:val="center"/>
                    <w:textAlignment w:val="center"/>
                    <w:rPr>
                      <w:rFonts w:hint="default" w:ascii="Times New Roman" w:hAnsi="Times New Roman" w:cs="Times New Roman"/>
                      <w:color w:val="auto"/>
                      <w:kern w:val="0"/>
                      <w:sz w:val="21"/>
                      <w:szCs w:val="21"/>
                    </w:rPr>
                  </w:pPr>
                </w:p>
              </w:tc>
            </w:tr>
            <w:tr w14:paraId="5BEBE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pct"/>
                  <w:tcBorders>
                    <w:tl2br w:val="nil"/>
                    <w:tr2bl w:val="nil"/>
                  </w:tcBorders>
                  <w:vAlign w:val="center"/>
                </w:tcPr>
                <w:p w14:paraId="3C2CAF52">
                  <w:pPr>
                    <w:adjustRightInd/>
                    <w:spacing w:line="240" w:lineRule="auto"/>
                    <w:ind w:firstLine="0" w:firstLineChars="0"/>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厂界</w:t>
                  </w:r>
                </w:p>
              </w:tc>
              <w:tc>
                <w:tcPr>
                  <w:tcW w:w="718" w:type="pct"/>
                  <w:tcBorders>
                    <w:tl2br w:val="nil"/>
                    <w:tr2bl w:val="nil"/>
                  </w:tcBorders>
                  <w:vAlign w:val="center"/>
                </w:tcPr>
                <w:p w14:paraId="060716BC">
                  <w:pPr>
                    <w:adjustRightInd/>
                    <w:spacing w:line="240" w:lineRule="auto"/>
                    <w:ind w:firstLine="0" w:firstLineChars="0"/>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等效声级</w:t>
                  </w:r>
                </w:p>
              </w:tc>
              <w:tc>
                <w:tcPr>
                  <w:tcW w:w="1131" w:type="pct"/>
                  <w:tcBorders>
                    <w:tl2br w:val="nil"/>
                    <w:tr2bl w:val="nil"/>
                  </w:tcBorders>
                  <w:vAlign w:val="center"/>
                </w:tcPr>
                <w:p w14:paraId="5A648CFF">
                  <w:pPr>
                    <w:adjustRightInd/>
                    <w:spacing w:line="240" w:lineRule="auto"/>
                    <w:ind w:firstLine="0" w:firstLineChars="0"/>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60</w:t>
                  </w:r>
                </w:p>
              </w:tc>
              <w:tc>
                <w:tcPr>
                  <w:tcW w:w="1132" w:type="pct"/>
                  <w:tcBorders>
                    <w:tl2br w:val="nil"/>
                    <w:tr2bl w:val="nil"/>
                  </w:tcBorders>
                  <w:vAlign w:val="center"/>
                </w:tcPr>
                <w:p w14:paraId="3E8CB264">
                  <w:pPr>
                    <w:adjustRightInd/>
                    <w:spacing w:line="240" w:lineRule="auto"/>
                    <w:ind w:firstLine="0" w:firstLineChars="0"/>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50</w:t>
                  </w:r>
                </w:p>
              </w:tc>
              <w:tc>
                <w:tcPr>
                  <w:tcW w:w="1214" w:type="pct"/>
                  <w:tcBorders>
                    <w:tl2br w:val="nil"/>
                    <w:tr2bl w:val="nil"/>
                  </w:tcBorders>
                  <w:vAlign w:val="center"/>
                </w:tcPr>
                <w:p w14:paraId="443F0476">
                  <w:pPr>
                    <w:adjustRightInd/>
                    <w:spacing w:line="240" w:lineRule="auto"/>
                    <w:ind w:firstLine="0" w:firstLineChars="0"/>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dB（A）</w:t>
                  </w:r>
                </w:p>
              </w:tc>
            </w:tr>
          </w:tbl>
          <w:p w14:paraId="42A8744E">
            <w:pPr>
              <w:ind w:firstLine="480"/>
              <w:rPr>
                <w:rFonts w:hint="default" w:ascii="Times New Roman" w:hAnsi="Times New Roman" w:cs="Times New Roman"/>
                <w:color w:val="auto"/>
              </w:rPr>
            </w:pPr>
            <w:r>
              <w:rPr>
                <w:rFonts w:hint="default" w:ascii="Times New Roman" w:hAnsi="Times New Roman" w:cs="Times New Roman"/>
                <w:color w:val="auto"/>
              </w:rPr>
              <w:t>4、固体废物排放标准</w:t>
            </w:r>
          </w:p>
          <w:p w14:paraId="588D293F">
            <w:pPr>
              <w:ind w:firstLine="480"/>
              <w:rPr>
                <w:rFonts w:hint="default" w:ascii="Times New Roman" w:hAnsi="Times New Roman" w:cs="Times New Roman"/>
                <w:color w:val="auto"/>
              </w:rPr>
            </w:pPr>
            <w:r>
              <w:rPr>
                <w:rFonts w:hint="default" w:ascii="Times New Roman" w:hAnsi="Times New Roman" w:cs="Times New Roman"/>
                <w:color w:val="auto"/>
              </w:rPr>
              <w:t>一般固体废物执行《一般工业固体废物贮存和填埋污染控制标准》（GB18599-2020）的相关规定；危险废物执行《危险废物贮存污染控制标准》（GB 18597-2023）中相关规定。</w:t>
            </w:r>
          </w:p>
        </w:tc>
      </w:tr>
      <w:tr w14:paraId="7228BF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2" w:type="pct"/>
            <w:tcBorders>
              <w:top w:val="single" w:color="auto" w:sz="8" w:space="0"/>
            </w:tcBorders>
            <w:vAlign w:val="center"/>
          </w:tcPr>
          <w:p w14:paraId="41F1A4B7">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总量</w:t>
            </w:r>
          </w:p>
          <w:p w14:paraId="067AE495">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控制</w:t>
            </w:r>
          </w:p>
          <w:p w14:paraId="1F7EDF52">
            <w:pPr>
              <w:autoSpaceDE w:val="0"/>
              <w:autoSpaceDN w:val="0"/>
              <w:spacing w:line="240" w:lineRule="auto"/>
              <w:ind w:firstLine="0" w:firstLineChars="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指标</w:t>
            </w:r>
          </w:p>
        </w:tc>
        <w:tc>
          <w:tcPr>
            <w:tcW w:w="4677" w:type="pct"/>
            <w:tcBorders>
              <w:top w:val="single" w:color="auto" w:sz="8" w:space="0"/>
            </w:tcBorders>
            <w:vAlign w:val="center"/>
          </w:tcPr>
          <w:p w14:paraId="7FD34A16">
            <w:pPr>
              <w:pStyle w:val="64"/>
              <w:rPr>
                <w:rFonts w:hint="default" w:ascii="Times New Roman" w:hAnsi="Times New Roman" w:cs="Times New Roman"/>
                <w:color w:val="auto"/>
                <w:szCs w:val="24"/>
              </w:rPr>
            </w:pPr>
            <w:bookmarkStart w:id="4" w:name="OLE_LINK1"/>
            <w:r>
              <w:rPr>
                <w:rFonts w:hint="default" w:ascii="Times New Roman" w:hAnsi="Times New Roman" w:cs="Times New Roman"/>
                <w:color w:val="auto"/>
                <w:szCs w:val="24"/>
              </w:rPr>
              <w:t>根据《陕西省生态环境厅关于解决企业申报污染物许可排放量与环评文件排放量不一致问题的通知》（陕环排管函〔2024]18号）中“本通知适用纳入《固定污染源排污许可分类管理名录》排污许可重点管理类或简化管理类，且非项目性质、规模、生产工艺、原料、环境保护措施变化导致污染物环评文件排放量与实际排放量不一致需重新申领排污许可证的排污单位。涉及污染物为二氧化硫、氮氧化物、化学需氧量、氨氮及挥发性有机物和颗粒物”，本项目属于《固定污染源排污许可分类管理名录》排污许可登记管理类，无需进行污染物排放量核算。</w:t>
            </w:r>
          </w:p>
          <w:p w14:paraId="770375A6">
            <w:pPr>
              <w:pStyle w:val="64"/>
              <w:rPr>
                <w:rFonts w:hint="default" w:ascii="Times New Roman" w:hAnsi="Times New Roman" w:cs="Times New Roman"/>
                <w:color w:val="auto"/>
                <w:szCs w:val="24"/>
              </w:rPr>
            </w:pPr>
            <w:r>
              <w:rPr>
                <w:rFonts w:hint="default" w:ascii="Times New Roman" w:hAnsi="Times New Roman" w:cs="Times New Roman"/>
                <w:color w:val="auto"/>
                <w:szCs w:val="24"/>
              </w:rPr>
              <w:t>根据“十四五”全国主要污染物排放总量控制中提出的全国主要污染物排放总量控制项目，结合本项目工艺特征和排污特点，</w:t>
            </w:r>
            <w:bookmarkEnd w:id="4"/>
            <w:r>
              <w:rPr>
                <w:rFonts w:hint="default" w:ascii="Times New Roman" w:hAnsi="Times New Roman" w:cs="Times New Roman"/>
                <w:color w:val="auto"/>
                <w:szCs w:val="24"/>
              </w:rPr>
              <w:t>确定本项目污染物总量控制因子为：VOCs。</w:t>
            </w:r>
          </w:p>
          <w:p w14:paraId="6BDA6423">
            <w:pPr>
              <w:pStyle w:val="64"/>
              <w:rPr>
                <w:rFonts w:hint="default" w:ascii="Times New Roman" w:hAnsi="Times New Roman" w:cs="Times New Roman"/>
                <w:color w:val="auto"/>
                <w:szCs w:val="24"/>
              </w:rPr>
            </w:pPr>
            <w:r>
              <w:rPr>
                <w:rFonts w:hint="default" w:ascii="Times New Roman" w:hAnsi="Times New Roman" w:cs="Times New Roman"/>
                <w:color w:val="auto"/>
                <w:szCs w:val="24"/>
              </w:rPr>
              <w:t>本项目污染物总量VOCs为：</w:t>
            </w:r>
            <w:r>
              <w:rPr>
                <w:rFonts w:hint="default" w:ascii="Times New Roman" w:hAnsi="Times New Roman" w:cs="Times New Roman"/>
                <w:color w:val="auto"/>
                <w:szCs w:val="24"/>
                <w:lang w:eastAsia="zh-CN"/>
              </w:rPr>
              <w:t>3.856</w:t>
            </w:r>
            <w:r>
              <w:rPr>
                <w:rFonts w:hint="default" w:ascii="Times New Roman" w:hAnsi="Times New Roman" w:cs="Times New Roman"/>
                <w:color w:val="auto"/>
                <w:szCs w:val="24"/>
              </w:rPr>
              <w:t>t/a。</w:t>
            </w:r>
          </w:p>
          <w:p w14:paraId="2934D2D1">
            <w:pPr>
              <w:pStyle w:val="64"/>
              <w:rPr>
                <w:rFonts w:hint="default" w:ascii="Times New Roman" w:hAnsi="Times New Roman" w:cs="Times New Roman"/>
                <w:color w:val="auto"/>
                <w:szCs w:val="24"/>
              </w:rPr>
            </w:pPr>
            <w:r>
              <w:rPr>
                <w:rFonts w:hint="default" w:ascii="Times New Roman" w:hAnsi="Times New Roman" w:cs="Times New Roman"/>
                <w:color w:val="auto"/>
                <w:szCs w:val="24"/>
              </w:rPr>
              <w:t>项目具体总量指标最后以当地环保部门核定的总量为准。</w:t>
            </w:r>
          </w:p>
        </w:tc>
      </w:tr>
    </w:tbl>
    <w:p w14:paraId="4EE1E89A">
      <w:pPr>
        <w:pStyle w:val="23"/>
        <w:spacing w:line="240" w:lineRule="auto"/>
        <w:ind w:firstLine="0" w:firstLineChars="0"/>
        <w:jc w:val="center"/>
        <w:outlineLvl w:val="0"/>
        <w:rPr>
          <w:rFonts w:hint="default" w:ascii="Times New Roman" w:hAnsi="Times New Roman" w:cs="Times New Roman"/>
          <w:snapToGrid w:val="0"/>
          <w:color w:val="auto"/>
          <w:kern w:val="21"/>
          <w:sz w:val="30"/>
          <w:szCs w:val="30"/>
        </w:rPr>
      </w:pPr>
      <w:r>
        <w:rPr>
          <w:rFonts w:hint="default" w:ascii="Times New Roman" w:hAnsi="Times New Roman" w:cs="Times New Roman"/>
          <w:snapToGrid w:val="0"/>
          <w:color w:val="auto"/>
          <w:kern w:val="21"/>
          <w:sz w:val="36"/>
          <w:szCs w:val="36"/>
        </w:rPr>
        <w:br w:type="page"/>
      </w:r>
      <w:r>
        <w:rPr>
          <w:rFonts w:hint="default" w:ascii="Times New Roman" w:hAnsi="Times New Roman" w:eastAsia="黑体" w:cs="Times New Roman"/>
          <w:snapToGrid w:val="0"/>
          <w:color w:val="auto"/>
          <w:kern w:val="21"/>
          <w:sz w:val="30"/>
          <w:szCs w:val="30"/>
        </w:rPr>
        <w:t>四、主要环境影响和保护措施</w:t>
      </w:r>
    </w:p>
    <w:tbl>
      <w:tblPr>
        <w:tblStyle w:val="28"/>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8226"/>
      </w:tblGrid>
      <w:tr w14:paraId="04D12C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9" w:type="pct"/>
            <w:tcMar>
              <w:left w:w="28" w:type="dxa"/>
              <w:right w:w="28" w:type="dxa"/>
            </w:tcMar>
            <w:vAlign w:val="center"/>
          </w:tcPr>
          <w:p w14:paraId="6F50DF4F">
            <w:pPr>
              <w:autoSpaceDE w:val="0"/>
              <w:autoSpaceDN w:val="0"/>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施工</w:t>
            </w:r>
          </w:p>
          <w:p w14:paraId="3E7F29CB">
            <w:pPr>
              <w:autoSpaceDE w:val="0"/>
              <w:autoSpaceDN w:val="0"/>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期环</w:t>
            </w:r>
          </w:p>
          <w:p w14:paraId="6E487B52">
            <w:pPr>
              <w:autoSpaceDE w:val="0"/>
              <w:autoSpaceDN w:val="0"/>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境保</w:t>
            </w:r>
          </w:p>
          <w:p w14:paraId="2DCD14F7">
            <w:pPr>
              <w:autoSpaceDE w:val="0"/>
              <w:autoSpaceDN w:val="0"/>
              <w:spacing w:line="240" w:lineRule="auto"/>
              <w:ind w:firstLine="0" w:firstLineChars="0"/>
              <w:jc w:val="center"/>
              <w:rPr>
                <w:rFonts w:hint="default" w:ascii="Times New Roman" w:hAnsi="Times New Roman" w:cs="Times New Roman"/>
                <w:color w:val="auto"/>
                <w:kern w:val="21"/>
              </w:rPr>
            </w:pPr>
            <w:r>
              <w:rPr>
                <w:rFonts w:hint="default" w:ascii="Times New Roman" w:hAnsi="Times New Roman" w:cs="Times New Roman"/>
                <w:color w:val="auto"/>
              </w:rPr>
              <w:t>护措</w:t>
            </w:r>
          </w:p>
          <w:p w14:paraId="3CB58831">
            <w:pPr>
              <w:autoSpaceDE w:val="0"/>
              <w:autoSpaceDN w:val="0"/>
              <w:spacing w:line="240" w:lineRule="auto"/>
              <w:ind w:firstLine="0" w:firstLineChars="0"/>
              <w:jc w:val="center"/>
              <w:rPr>
                <w:rFonts w:hint="default" w:ascii="Times New Roman" w:hAnsi="Times New Roman" w:cs="Times New Roman"/>
                <w:bCs/>
                <w:color w:val="auto"/>
                <w:kern w:val="21"/>
              </w:rPr>
            </w:pPr>
            <w:r>
              <w:rPr>
                <w:rFonts w:hint="default" w:ascii="Times New Roman" w:hAnsi="Times New Roman" w:cs="Times New Roman"/>
                <w:color w:val="auto"/>
                <w:kern w:val="21"/>
              </w:rPr>
              <w:t>施</w:t>
            </w:r>
          </w:p>
        </w:tc>
        <w:tc>
          <w:tcPr>
            <w:tcW w:w="4580" w:type="pct"/>
            <w:vAlign w:val="center"/>
          </w:tcPr>
          <w:p w14:paraId="1C6D31D8">
            <w:pPr>
              <w:ind w:firstLine="480"/>
              <w:rPr>
                <w:rFonts w:hint="default" w:ascii="Times New Roman" w:hAnsi="Times New Roman" w:cs="Times New Roman"/>
                <w:color w:val="auto"/>
              </w:rPr>
            </w:pPr>
            <w:r>
              <w:rPr>
                <w:rFonts w:hint="default" w:ascii="Times New Roman" w:hAnsi="Times New Roman" w:cs="Times New Roman"/>
                <w:color w:val="auto"/>
              </w:rPr>
              <w:t>本项目租赁已建成厂房及现有设备，施工期主要为设备调试，项目工程较小，施工期较短，随着施工的结束，对周围声环境影响也会随之消失，对环境影响较小。</w:t>
            </w:r>
          </w:p>
        </w:tc>
      </w:tr>
      <w:tr w14:paraId="6557BF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9" w:type="pct"/>
            <w:tcMar>
              <w:left w:w="28" w:type="dxa"/>
              <w:right w:w="28" w:type="dxa"/>
            </w:tcMar>
            <w:vAlign w:val="center"/>
          </w:tcPr>
          <w:p w14:paraId="619ECDBF">
            <w:pPr>
              <w:autoSpaceDE w:val="0"/>
              <w:autoSpaceDN w:val="0"/>
              <w:spacing w:line="240" w:lineRule="auto"/>
              <w:ind w:firstLine="0" w:firstLineChars="0"/>
              <w:jc w:val="center"/>
              <w:rPr>
                <w:rFonts w:hint="default" w:ascii="Times New Roman" w:hAnsi="Times New Roman" w:cs="Times New Roman"/>
                <w:bCs/>
                <w:color w:val="auto"/>
                <w:kern w:val="21"/>
              </w:rPr>
            </w:pPr>
            <w:r>
              <w:rPr>
                <w:rFonts w:hint="default" w:ascii="Times New Roman" w:hAnsi="Times New Roman" w:cs="Times New Roman"/>
                <w:bCs/>
                <w:color w:val="auto"/>
                <w:kern w:val="21"/>
              </w:rPr>
              <w:t>运营</w:t>
            </w:r>
          </w:p>
          <w:p w14:paraId="77E4FE5E">
            <w:pPr>
              <w:autoSpaceDE w:val="0"/>
              <w:autoSpaceDN w:val="0"/>
              <w:spacing w:line="240" w:lineRule="auto"/>
              <w:ind w:firstLine="0" w:firstLineChars="0"/>
              <w:jc w:val="center"/>
              <w:rPr>
                <w:rFonts w:hint="default" w:ascii="Times New Roman" w:hAnsi="Times New Roman" w:cs="Times New Roman"/>
                <w:bCs/>
                <w:color w:val="auto"/>
                <w:kern w:val="21"/>
              </w:rPr>
            </w:pPr>
            <w:r>
              <w:rPr>
                <w:rFonts w:hint="default" w:ascii="Times New Roman" w:hAnsi="Times New Roman" w:cs="Times New Roman"/>
                <w:bCs/>
                <w:color w:val="auto"/>
                <w:kern w:val="21"/>
              </w:rPr>
              <w:t>期环</w:t>
            </w:r>
          </w:p>
          <w:p w14:paraId="05D1A827">
            <w:pPr>
              <w:autoSpaceDE w:val="0"/>
              <w:autoSpaceDN w:val="0"/>
              <w:spacing w:line="240" w:lineRule="auto"/>
              <w:ind w:firstLine="0" w:firstLineChars="0"/>
              <w:jc w:val="center"/>
              <w:rPr>
                <w:rFonts w:hint="default" w:ascii="Times New Roman" w:hAnsi="Times New Roman" w:cs="Times New Roman"/>
                <w:bCs/>
                <w:color w:val="auto"/>
                <w:kern w:val="21"/>
              </w:rPr>
            </w:pPr>
            <w:r>
              <w:rPr>
                <w:rFonts w:hint="default" w:ascii="Times New Roman" w:hAnsi="Times New Roman" w:cs="Times New Roman"/>
                <w:bCs/>
                <w:color w:val="auto"/>
                <w:kern w:val="21"/>
              </w:rPr>
              <w:t>境影</w:t>
            </w:r>
          </w:p>
          <w:p w14:paraId="473CF32A">
            <w:pPr>
              <w:autoSpaceDE w:val="0"/>
              <w:autoSpaceDN w:val="0"/>
              <w:spacing w:line="240" w:lineRule="auto"/>
              <w:ind w:firstLine="0" w:firstLineChars="0"/>
              <w:jc w:val="center"/>
              <w:rPr>
                <w:rFonts w:hint="default" w:ascii="Times New Roman" w:hAnsi="Times New Roman" w:cs="Times New Roman"/>
                <w:bCs/>
                <w:color w:val="auto"/>
                <w:kern w:val="21"/>
              </w:rPr>
            </w:pPr>
            <w:r>
              <w:rPr>
                <w:rFonts w:hint="default" w:ascii="Times New Roman" w:hAnsi="Times New Roman" w:cs="Times New Roman"/>
                <w:bCs/>
                <w:color w:val="auto"/>
                <w:kern w:val="21"/>
              </w:rPr>
              <w:t>响和</w:t>
            </w:r>
          </w:p>
          <w:p w14:paraId="16A17696">
            <w:pPr>
              <w:autoSpaceDE w:val="0"/>
              <w:autoSpaceDN w:val="0"/>
              <w:spacing w:line="240" w:lineRule="auto"/>
              <w:ind w:firstLine="0" w:firstLineChars="0"/>
              <w:jc w:val="center"/>
              <w:rPr>
                <w:rFonts w:hint="default" w:ascii="Times New Roman" w:hAnsi="Times New Roman" w:cs="Times New Roman"/>
                <w:bCs/>
                <w:color w:val="auto"/>
                <w:kern w:val="21"/>
              </w:rPr>
            </w:pPr>
            <w:r>
              <w:rPr>
                <w:rFonts w:hint="default" w:ascii="Times New Roman" w:hAnsi="Times New Roman" w:cs="Times New Roman"/>
                <w:bCs/>
                <w:color w:val="auto"/>
                <w:kern w:val="21"/>
              </w:rPr>
              <w:t>保护</w:t>
            </w:r>
          </w:p>
          <w:p w14:paraId="7586B2F9">
            <w:pPr>
              <w:autoSpaceDE w:val="0"/>
              <w:autoSpaceDN w:val="0"/>
              <w:spacing w:line="240" w:lineRule="auto"/>
              <w:ind w:firstLine="0" w:firstLineChars="0"/>
              <w:jc w:val="center"/>
              <w:rPr>
                <w:rFonts w:hint="default" w:ascii="Times New Roman" w:hAnsi="Times New Roman" w:cs="Times New Roman"/>
                <w:bCs/>
                <w:color w:val="auto"/>
                <w:kern w:val="21"/>
              </w:rPr>
            </w:pPr>
            <w:r>
              <w:rPr>
                <w:rFonts w:hint="default" w:ascii="Times New Roman" w:hAnsi="Times New Roman" w:cs="Times New Roman"/>
                <w:bCs/>
                <w:color w:val="auto"/>
                <w:kern w:val="21"/>
              </w:rPr>
              <w:t>措施</w:t>
            </w:r>
          </w:p>
        </w:tc>
        <w:tc>
          <w:tcPr>
            <w:tcW w:w="4580" w:type="pct"/>
            <w:vAlign w:val="center"/>
          </w:tcPr>
          <w:p w14:paraId="576FA9F2">
            <w:pPr>
              <w:adjustRightInd/>
              <w:snapToGrid/>
              <w:ind w:firstLine="482"/>
              <w:rPr>
                <w:rFonts w:hint="default" w:ascii="Times New Roman" w:hAnsi="Times New Roman" w:cs="Times New Roman"/>
                <w:b/>
                <w:bCs/>
                <w:color w:val="auto"/>
              </w:rPr>
            </w:pPr>
            <w:r>
              <w:rPr>
                <w:rFonts w:hint="default" w:ascii="Times New Roman" w:hAnsi="Times New Roman" w:cs="Times New Roman"/>
                <w:b/>
                <w:bCs/>
                <w:color w:val="auto"/>
              </w:rPr>
              <w:t>1、废气</w:t>
            </w:r>
          </w:p>
          <w:p w14:paraId="21AC001D">
            <w:pPr>
              <w:adjustRightInd/>
              <w:snapToGrid/>
              <w:ind w:firstLine="480"/>
              <w:rPr>
                <w:rFonts w:hint="default" w:ascii="Times New Roman" w:hAnsi="Times New Roman" w:cs="Times New Roman"/>
                <w:color w:val="auto"/>
              </w:rPr>
            </w:pPr>
            <w:r>
              <w:rPr>
                <w:rFonts w:hint="default" w:ascii="Times New Roman" w:hAnsi="Times New Roman" w:cs="Times New Roman"/>
                <w:color w:val="auto"/>
              </w:rPr>
              <w:t>本项目大气污染源主要为：原料混合及造粒工序投料粉尘、发泡挤出、复合、粘合、造粒工序产生的非甲烷总烃、食堂油烟等。</w:t>
            </w:r>
          </w:p>
          <w:p w14:paraId="25EEA3D5">
            <w:pPr>
              <w:adjustRightInd/>
              <w:snapToGrid/>
              <w:ind w:firstLine="482"/>
              <w:rPr>
                <w:rFonts w:hint="default" w:ascii="Times New Roman" w:hAnsi="Times New Roman" w:cs="Times New Roman"/>
                <w:b/>
                <w:bCs/>
                <w:color w:val="auto"/>
              </w:rPr>
            </w:pPr>
            <w:r>
              <w:rPr>
                <w:rFonts w:hint="default" w:ascii="Times New Roman" w:hAnsi="Times New Roman" w:cs="Times New Roman"/>
                <w:b/>
                <w:bCs/>
                <w:color w:val="auto"/>
              </w:rPr>
              <w:t>（1）粉尘</w:t>
            </w:r>
          </w:p>
          <w:p w14:paraId="4ADA9CC1">
            <w:pPr>
              <w:ind w:firstLine="480"/>
              <w:rPr>
                <w:rFonts w:hint="default" w:ascii="Times New Roman" w:hAnsi="Times New Roman" w:cs="Times New Roman"/>
                <w:color w:val="auto"/>
              </w:rPr>
            </w:pPr>
            <w:r>
              <w:rPr>
                <w:rFonts w:hint="default" w:ascii="Times New Roman" w:hAnsi="Times New Roman" w:cs="Times New Roman"/>
                <w:color w:val="auto"/>
              </w:rPr>
              <w:t>①原料混合粉尘</w:t>
            </w:r>
          </w:p>
          <w:p w14:paraId="03AD320F">
            <w:pPr>
              <w:ind w:firstLine="480"/>
              <w:rPr>
                <w:rFonts w:hint="default" w:ascii="Times New Roman" w:hAnsi="Times New Roman" w:cs="Times New Roman"/>
                <w:color w:val="auto"/>
              </w:rPr>
            </w:pPr>
            <w:r>
              <w:rPr>
                <w:rFonts w:hint="default" w:ascii="Times New Roman" w:hAnsi="Times New Roman" w:cs="Times New Roman"/>
                <w:color w:val="auto"/>
              </w:rPr>
              <w:t>原料混合工序主要是聚乙烯颗粒、单甘酯、发泡母粒、色母进行混合，</w:t>
            </w:r>
            <w:r>
              <w:rPr>
                <w:rFonts w:hint="default" w:ascii="Times New Roman" w:hAnsi="Times New Roman" w:eastAsia="宋体" w:cs="Times New Roman"/>
                <w:color w:val="auto"/>
                <w:sz w:val="24"/>
                <w:szCs w:val="24"/>
                <w:lang w:val="en-US" w:eastAsia="zh-CN"/>
              </w:rPr>
              <w:t>均为颗粒状</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lang w:val="en-US" w:eastAsia="zh-CN"/>
              </w:rPr>
              <w:t>表面无附着粉尘，</w:t>
            </w:r>
            <w:r>
              <w:rPr>
                <w:rFonts w:hint="default" w:ascii="Times New Roman" w:hAnsi="Times New Roman" w:cs="Times New Roman"/>
                <w:color w:val="auto"/>
              </w:rPr>
              <w:t>且上料过程为密闭负压抽吸上料，</w:t>
            </w:r>
            <w:r>
              <w:rPr>
                <w:rFonts w:hint="default" w:ascii="Times New Roman" w:hAnsi="Times New Roman" w:eastAsia="宋体" w:cs="Times New Roman"/>
                <w:color w:val="auto"/>
                <w:lang w:val="en-US" w:eastAsia="zh-CN"/>
              </w:rPr>
              <w:t>生产设备均位于密闭厂房内，</w:t>
            </w:r>
            <w:r>
              <w:rPr>
                <w:rFonts w:hint="default" w:ascii="Times New Roman" w:hAnsi="Times New Roman" w:cs="Times New Roman"/>
                <w:color w:val="auto"/>
              </w:rPr>
              <w:t>粉尘产生量极少，本次环评不定量分析。</w:t>
            </w:r>
          </w:p>
          <w:p w14:paraId="7E84B13C">
            <w:pPr>
              <w:ind w:firstLine="480"/>
              <w:rPr>
                <w:rFonts w:hint="default" w:ascii="Times New Roman" w:hAnsi="Times New Roman" w:cs="Times New Roman"/>
                <w:color w:val="auto"/>
              </w:rPr>
            </w:pPr>
            <w:r>
              <w:rPr>
                <w:rFonts w:hint="default" w:ascii="Times New Roman" w:hAnsi="Times New Roman" w:cs="Times New Roman"/>
                <w:color w:val="auto"/>
              </w:rPr>
              <w:t>②造粒工序投料粉尘</w:t>
            </w:r>
          </w:p>
          <w:p w14:paraId="05E6D5D6">
            <w:pPr>
              <w:ind w:firstLine="480"/>
              <w:rPr>
                <w:rFonts w:hint="default" w:ascii="Times New Roman" w:hAnsi="Times New Roman" w:cs="Times New Roman"/>
                <w:color w:val="auto"/>
              </w:rPr>
            </w:pPr>
            <w:r>
              <w:rPr>
                <w:rFonts w:hint="default" w:ascii="Times New Roman" w:hAnsi="Times New Roman" w:cs="Times New Roman"/>
                <w:color w:val="auto"/>
              </w:rPr>
              <w:t>造粒工序中，边角料和不合格产品均为不规则珍珠棉片，不进行破碎，切粒后的成品亦为颗粒，生产过程中产生的粉尘极少，本次环评不定量分析。</w:t>
            </w:r>
          </w:p>
          <w:p w14:paraId="000BE4FE">
            <w:pPr>
              <w:adjustRightInd/>
              <w:snapToGrid/>
              <w:ind w:firstLine="482"/>
              <w:rPr>
                <w:rFonts w:hint="default" w:ascii="Times New Roman" w:hAnsi="Times New Roman" w:cs="Times New Roman"/>
                <w:b/>
                <w:bCs/>
                <w:color w:val="auto"/>
              </w:rPr>
            </w:pPr>
            <w:r>
              <w:rPr>
                <w:rFonts w:hint="default" w:ascii="Times New Roman" w:hAnsi="Times New Roman" w:cs="Times New Roman"/>
                <w:b/>
                <w:bCs/>
                <w:color w:val="auto"/>
              </w:rPr>
              <w:t>（2）发泡挤出工序产生的非甲烷总烃</w:t>
            </w:r>
          </w:p>
          <w:p w14:paraId="0B4CBE06">
            <w:pPr>
              <w:adjustRightInd/>
              <w:snapToGrid/>
              <w:ind w:firstLine="480"/>
              <w:rPr>
                <w:rFonts w:hint="default" w:ascii="Times New Roman" w:hAnsi="Times New Roman" w:cs="Times New Roman"/>
                <w:color w:val="auto"/>
              </w:rPr>
            </w:pPr>
            <w:r>
              <w:rPr>
                <w:rFonts w:hint="default" w:ascii="Times New Roman" w:hAnsi="Times New Roman" w:cs="Times New Roman"/>
                <w:color w:val="auto"/>
              </w:rPr>
              <w:t>低密度聚乙烯树脂为高分子聚合物，为无毒无害的材料。聚乙烯成型温度为180℃左右，有良好的热稳定性，分解温度为300℃，本项目对聚乙烯</w:t>
            </w:r>
            <w:r>
              <w:rPr>
                <w:rFonts w:hint="default" w:ascii="Times New Roman" w:hAnsi="Times New Roman" w:cs="Times New Roman"/>
                <w:color w:val="auto"/>
                <w:lang w:val="zh-CN"/>
              </w:rPr>
              <w:t>加热温度在150℃~180℃</w:t>
            </w:r>
            <w:r>
              <w:rPr>
                <w:rFonts w:hint="default" w:ascii="Times New Roman" w:hAnsi="Times New Roman" w:cs="Times New Roman"/>
                <w:color w:val="auto"/>
              </w:rPr>
              <w:t>，原料不会分解，仅原料中残存和未聚合的反应单体会在挤出过程中逃逸，以非甲烷总烃计。</w:t>
            </w:r>
          </w:p>
          <w:p w14:paraId="6C8F3A12">
            <w:pPr>
              <w:adjustRightInd/>
              <w:snapToGrid/>
              <w:ind w:firstLine="480"/>
              <w:rPr>
                <w:rFonts w:hint="default" w:ascii="Times New Roman" w:hAnsi="Times New Roman" w:cs="Times New Roman"/>
                <w:color w:val="auto"/>
              </w:rPr>
            </w:pPr>
            <w:r>
              <w:rPr>
                <w:rFonts w:hint="default" w:ascii="Times New Roman" w:hAnsi="Times New Roman" w:cs="Times New Roman"/>
                <w:color w:val="auto"/>
              </w:rPr>
              <w:t>项目珍珠棉生产过程中使用丁烷作为发泡剂，丁烷在常温高压下可以呈液态，当减压注塑时丁烷由液态转变为气态，以成核心点为中心均匀地分散在聚合物中，降温后形成珍珠棉产品。整个工艺过程，丁烷为密闭输送，丁烷气在材料中的含量决定发泡材料的发泡倍率，根据企业提供的资料，发泡网在发泡过程中控制闭孔率为95%以上。发泡过程会有少部分丁烷逸散产生废气。发泡、挤出及丁烷逸散产生的废气最终全部由挤出工序排出。</w:t>
            </w:r>
          </w:p>
          <w:p w14:paraId="24FE2B90">
            <w:pPr>
              <w:adjustRightInd/>
              <w:snapToGrid/>
              <w:ind w:firstLine="480"/>
              <w:rPr>
                <w:rFonts w:hint="default" w:ascii="Times New Roman" w:hAnsi="Times New Roman" w:cs="Times New Roman"/>
                <w:color w:val="auto"/>
              </w:rPr>
            </w:pPr>
            <w:r>
              <w:rPr>
                <w:rFonts w:hint="default" w:ascii="Times New Roman" w:hAnsi="Times New Roman" w:cs="Times New Roman"/>
                <w:color w:val="auto"/>
              </w:rPr>
              <w:t>建设单位已在3个发泡机挤出口上方各设置一个覆斗式集气罩（2.2m×1.2m、2m×1.2m、2m×1.2m），并在集气罩四周垂直挂1m的活动帘以提高废气的收集率，废气收集后经一套二级活性炭吸附装置处理，最终通过一根15m排气筒（DA001）排放。</w:t>
            </w:r>
          </w:p>
          <w:p w14:paraId="556E795B">
            <w:pPr>
              <w:ind w:firstLine="480"/>
              <w:rPr>
                <w:rFonts w:hint="default" w:ascii="Times New Roman" w:hAnsi="Times New Roman" w:cs="Times New Roman"/>
                <w:color w:val="auto"/>
              </w:rPr>
            </w:pPr>
            <w:r>
              <w:rPr>
                <w:rFonts w:hint="default" w:ascii="Times New Roman" w:hAnsi="Times New Roman" w:cs="Times New Roman"/>
                <w:color w:val="auto"/>
              </w:rPr>
              <w:t>根据《排放源统计调查产排污核算方法和系数手册》-2924泡沫塑料行业挤出发泡工序挥发性有机物产污系数为1.5千克/吨-产品，本项目发泡工序产品年产量为373t/a，年生产时间为1440h，风机风量为20000m</w:t>
            </w:r>
            <w:r>
              <w:rPr>
                <w:rFonts w:hint="default" w:ascii="Times New Roman" w:hAnsi="Times New Roman" w:cs="Times New Roman"/>
                <w:color w:val="auto"/>
                <w:vertAlign w:val="superscript"/>
              </w:rPr>
              <w:t>3</w:t>
            </w:r>
            <w:r>
              <w:rPr>
                <w:rFonts w:hint="default" w:ascii="Times New Roman" w:hAnsi="Times New Roman" w:cs="Times New Roman"/>
                <w:color w:val="auto"/>
              </w:rPr>
              <w:t>/h，因此，发泡挤出工序非甲烷总烃产生量0.56t/a。根据《陕西省大气主要污染物许可排放量及实际排放量核定方法》中“仅保留物料进出通道，通道</w:t>
            </w:r>
            <w:r>
              <w:rPr>
                <w:rFonts w:hint="default" w:ascii="Times New Roman" w:hAnsi="Times New Roman" w:eastAsia="宋体" w:cs="Times New Roman"/>
                <w:color w:val="auto"/>
              </w:rPr>
              <w:t>敞开面小于1个操作工位面，敞开面控制风速不小于0.5m/s，集气效率取值80%”，本项目发泡挤出工序集气罩（包围型</w:t>
            </w:r>
            <w:r>
              <w:rPr>
                <w:rFonts w:hint="default" w:ascii="Times New Roman" w:hAnsi="Times New Roman" w:cs="Times New Roman"/>
                <w:color w:val="auto"/>
              </w:rPr>
              <w:t>集气设备）收集效率为</w:t>
            </w:r>
            <w:r>
              <w:rPr>
                <w:rFonts w:hint="default" w:ascii="Times New Roman" w:hAnsi="Times New Roman" w:eastAsia="宋体" w:cs="Times New Roman"/>
                <w:color w:val="auto"/>
              </w:rPr>
              <w:t>80%</w:t>
            </w:r>
            <w:r>
              <w:rPr>
                <w:rFonts w:hint="default" w:ascii="Times New Roman" w:hAnsi="Times New Roman" w:eastAsia="宋体" w:cs="Times New Roman"/>
                <w:color w:val="auto"/>
                <w:lang w:eastAsia="zh-CN"/>
              </w:rPr>
              <w:t>，</w:t>
            </w:r>
            <w:r>
              <w:rPr>
                <w:rFonts w:hint="default" w:ascii="Times New Roman" w:hAnsi="Times New Roman" w:cs="Times New Roman"/>
                <w:color w:val="auto"/>
                <w:lang w:val="en-US" w:eastAsia="zh-CN"/>
              </w:rPr>
              <w:t>蜂窝状活性炭取值20%</w:t>
            </w:r>
            <w:r>
              <w:rPr>
                <w:rFonts w:hint="default" w:ascii="Times New Roman" w:hAnsi="Times New Roman" w:cs="Times New Roman"/>
                <w:color w:val="auto"/>
                <w:lang w:val="en-US" w:eastAsia="zh-CN"/>
              </w:rPr>
              <w:t>，则</w:t>
            </w:r>
            <w:r>
              <w:rPr>
                <w:rFonts w:hint="default" w:ascii="Times New Roman" w:hAnsi="Times New Roman" w:cs="Times New Roman"/>
                <w:color w:val="auto"/>
              </w:rPr>
              <w:t>二级活性炭吸附处理效率为3</w:t>
            </w:r>
            <w:r>
              <w:rPr>
                <w:rFonts w:hint="default" w:ascii="Times New Roman" w:hAnsi="Times New Roman" w:cs="Times New Roman"/>
                <w:color w:val="auto"/>
                <w:lang w:val="en-US" w:eastAsia="zh-CN"/>
              </w:rPr>
              <w:t>6</w:t>
            </w:r>
            <w:r>
              <w:rPr>
                <w:rFonts w:hint="default" w:ascii="Times New Roman" w:hAnsi="Times New Roman" w:cs="Times New Roman"/>
                <w:color w:val="auto"/>
              </w:rPr>
              <w:t>%；未被集气罩收集的废气呈无组织形式排放。</w:t>
            </w:r>
          </w:p>
          <w:p w14:paraId="7DB28849">
            <w:pPr>
              <w:ind w:firstLine="480"/>
              <w:rPr>
                <w:rFonts w:hint="default" w:ascii="Times New Roman" w:hAnsi="Times New Roman" w:cs="Times New Roman"/>
                <w:color w:val="auto"/>
              </w:rPr>
            </w:pPr>
            <w:r>
              <w:rPr>
                <w:rFonts w:hint="default" w:ascii="Times New Roman" w:hAnsi="Times New Roman" w:cs="Times New Roman"/>
                <w:color w:val="auto"/>
              </w:rPr>
              <w:t>则发泡、挤出工序非甲烷总烃有组织产生量为0.448t/a，产生速率为0.31kg/h，产生浓度为15.56mg/m</w:t>
            </w:r>
            <w:r>
              <w:rPr>
                <w:rFonts w:hint="default" w:ascii="Times New Roman" w:hAnsi="Times New Roman" w:cs="Times New Roman"/>
                <w:color w:val="auto"/>
                <w:vertAlign w:val="superscript"/>
              </w:rPr>
              <w:t>3</w:t>
            </w:r>
            <w:r>
              <w:rPr>
                <w:rFonts w:hint="default" w:ascii="Times New Roman" w:hAnsi="Times New Roman" w:cs="Times New Roman"/>
                <w:color w:val="auto"/>
              </w:rPr>
              <w:t>，废气经处理后，非甲烷总烃有组织排放量为0.28</w:t>
            </w:r>
            <w:r>
              <w:rPr>
                <w:rFonts w:hint="default" w:ascii="Times New Roman" w:hAnsi="Times New Roman" w:cs="Times New Roman"/>
                <w:color w:val="auto"/>
                <w:lang w:val="en-US" w:eastAsia="zh-CN"/>
              </w:rPr>
              <w:t>7</w:t>
            </w:r>
            <w:r>
              <w:rPr>
                <w:rFonts w:hint="default" w:ascii="Times New Roman" w:hAnsi="Times New Roman" w:cs="Times New Roman"/>
                <w:color w:val="auto"/>
              </w:rPr>
              <w:t>t/a，排放速率为0.20kg/h，排放浓度为9.</w:t>
            </w:r>
            <w:r>
              <w:rPr>
                <w:rFonts w:hint="default" w:ascii="Times New Roman" w:hAnsi="Times New Roman" w:cs="Times New Roman"/>
                <w:color w:val="auto"/>
                <w:lang w:val="en-US" w:eastAsia="zh-CN"/>
              </w:rPr>
              <w:t>96</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default" w:ascii="Times New Roman" w:hAnsi="Times New Roman" w:cs="Times New Roman"/>
                <w:color w:val="auto"/>
              </w:rPr>
              <w:t>；无组织排放量为0.112t/a。</w:t>
            </w:r>
          </w:p>
          <w:p w14:paraId="712244AD">
            <w:pPr>
              <w:pStyle w:val="83"/>
              <w:spacing w:after="0"/>
              <w:ind w:leftChars="0" w:firstLine="482"/>
              <w:rPr>
                <w:rFonts w:hint="default" w:ascii="Times New Roman" w:hAnsi="Times New Roman" w:cs="Times New Roman"/>
                <w:color w:val="auto"/>
                <w:szCs w:val="24"/>
              </w:rPr>
            </w:pPr>
            <w:r>
              <w:rPr>
                <w:rFonts w:hint="default" w:ascii="Times New Roman" w:hAnsi="Times New Roman" w:cs="Times New Roman"/>
                <w:b/>
                <w:bCs/>
                <w:color w:val="auto"/>
                <w:szCs w:val="24"/>
              </w:rPr>
              <w:t>（2）复合工序产生的非甲烷总烃</w:t>
            </w:r>
          </w:p>
          <w:p w14:paraId="75347AC7">
            <w:pPr>
              <w:adjustRightInd/>
              <w:snapToGrid/>
              <w:ind w:firstLine="480"/>
              <w:rPr>
                <w:rFonts w:hint="default" w:ascii="Times New Roman" w:hAnsi="Times New Roman" w:cs="Times New Roman"/>
                <w:color w:val="auto"/>
                <w:kern w:val="0"/>
              </w:rPr>
            </w:pPr>
            <w:r>
              <w:rPr>
                <w:rFonts w:hint="default" w:ascii="Times New Roman" w:hAnsi="Times New Roman" w:cs="Times New Roman"/>
                <w:color w:val="auto"/>
                <w:kern w:val="0"/>
              </w:rPr>
              <w:t>本项目复合工序主要是将多个单层珍珠棉利用复合机、覆膜机、增厚机加热压合成型即为多层珍珠棉，此阶段有微量非甲烷总烃产生。本项目少量产品需要进行覆膜，覆膜机主要通过高温油化辊的压合可将PE膜覆合在珍珠棉上。增厚机是电阻丝加热芯加热后，将两卷或者多卷珍珠棉热合以达到客户要求厚度，覆膜机、增厚机均采用电加热。</w:t>
            </w:r>
          </w:p>
          <w:p w14:paraId="56057A9F">
            <w:pPr>
              <w:adjustRightInd/>
              <w:snapToGrid/>
              <w:ind w:firstLine="480"/>
              <w:rPr>
                <w:rFonts w:hint="default" w:ascii="Times New Roman" w:hAnsi="Times New Roman" w:cs="Times New Roman"/>
                <w:color w:val="auto"/>
              </w:rPr>
            </w:pPr>
            <w:r>
              <w:rPr>
                <w:rFonts w:hint="default" w:ascii="Times New Roman" w:hAnsi="Times New Roman" w:cs="Times New Roman"/>
                <w:color w:val="auto"/>
              </w:rPr>
              <w:t>建设单位已在2个复合机上方各设置一个覆斗式集气罩（2m×1.2m），环评要求在覆膜机、增厚机上方各补充设置一个覆斗式集气罩，并在集气罩四周垂直挂1m的活动帘以提高废气的收集率，废气收集后经一套二级活性炭吸附装置处理，最终通过一根15m排气筒（DA002）排放。</w:t>
            </w:r>
          </w:p>
          <w:p w14:paraId="3095C255">
            <w:pPr>
              <w:ind w:firstLine="480"/>
              <w:rPr>
                <w:rFonts w:hint="default" w:ascii="Times New Roman" w:hAnsi="Times New Roman" w:cs="Times New Roman"/>
                <w:color w:val="auto"/>
              </w:rPr>
            </w:pPr>
            <w:r>
              <w:rPr>
                <w:rFonts w:hint="default" w:ascii="Times New Roman" w:hAnsi="Times New Roman" w:cs="Times New Roman"/>
                <w:color w:val="auto"/>
              </w:rPr>
              <w:t>根据建设单位提供资料，复合工序年产量约540t，年生产时间为2240h，风机风量为14490m</w:t>
            </w:r>
            <w:r>
              <w:rPr>
                <w:rFonts w:hint="default" w:ascii="Times New Roman" w:hAnsi="Times New Roman" w:cs="Times New Roman"/>
                <w:color w:val="auto"/>
                <w:vertAlign w:val="superscript"/>
              </w:rPr>
              <w:t>3</w:t>
            </w:r>
            <w:r>
              <w:rPr>
                <w:rFonts w:hint="default" w:ascii="Times New Roman" w:hAnsi="Times New Roman" w:cs="Times New Roman"/>
                <w:color w:val="auto"/>
              </w:rPr>
              <w:t>/h。参考《排放源统计调查产排污核算方法和系数手册》2923 塑料丝、绳及编织品制造行业系数表中“熔化”工序产污系数，挥发性有机物（以非甲烷总烃计）产污系数为3.76千克/吨-产品，则本项目复合工序非甲烷总烃产生量为2.03t/a。根据《陕西省大气主要污染物许可排放量及实际排放量核定方法》中“仅保留物料进出通道，通道敞开面小于1个操作工位面，敞开面控制风速不小于0.5m/s，集气效率取值80%”，本项目复合工序集气罩（包围型集气设备）收集效率为80%，</w:t>
            </w:r>
            <w:r>
              <w:rPr>
                <w:rFonts w:hint="default" w:ascii="Times New Roman" w:hAnsi="Times New Roman" w:cs="Times New Roman"/>
                <w:color w:val="auto"/>
                <w:lang w:val="en-US" w:eastAsia="zh-CN"/>
              </w:rPr>
              <w:t>蜂窝状活性炭取值20%</w:t>
            </w:r>
            <w:r>
              <w:rPr>
                <w:rFonts w:hint="default" w:ascii="Times New Roman" w:hAnsi="Times New Roman" w:cs="Times New Roman"/>
                <w:color w:val="auto"/>
                <w:lang w:val="en-US" w:eastAsia="zh-CN"/>
              </w:rPr>
              <w:t>，则</w:t>
            </w:r>
            <w:r>
              <w:rPr>
                <w:rFonts w:hint="default" w:ascii="Times New Roman" w:hAnsi="Times New Roman" w:cs="Times New Roman"/>
                <w:color w:val="auto"/>
              </w:rPr>
              <w:t>二级活性炭吸附处理效率为3</w:t>
            </w:r>
            <w:r>
              <w:rPr>
                <w:rFonts w:hint="default" w:ascii="Times New Roman" w:hAnsi="Times New Roman" w:eastAsia="宋体" w:cs="Times New Roman"/>
                <w:color w:val="auto"/>
                <w:lang w:val="en-US" w:eastAsia="zh-CN"/>
              </w:rPr>
              <w:t>6</w:t>
            </w:r>
            <w:r>
              <w:rPr>
                <w:rFonts w:hint="default" w:ascii="Times New Roman" w:hAnsi="Times New Roman" w:cs="Times New Roman"/>
                <w:color w:val="auto"/>
              </w:rPr>
              <w:t>%，未被集气罩收集的废气呈无组织形式排放。</w:t>
            </w:r>
          </w:p>
          <w:p w14:paraId="7C60A9C3">
            <w:pPr>
              <w:ind w:firstLine="480"/>
              <w:rPr>
                <w:rFonts w:hint="default" w:ascii="Times New Roman" w:hAnsi="Times New Roman" w:cs="Times New Roman"/>
                <w:color w:val="auto"/>
              </w:rPr>
            </w:pPr>
            <w:r>
              <w:rPr>
                <w:rFonts w:hint="default" w:ascii="Times New Roman" w:hAnsi="Times New Roman" w:cs="Times New Roman"/>
                <w:color w:val="auto"/>
              </w:rPr>
              <w:t>则非甲烷总烃有组织产生量为1.624t/a，产生速率为0.73kg/h，产生浓度为50.03mg/m</w:t>
            </w:r>
            <w:r>
              <w:rPr>
                <w:rFonts w:hint="default" w:ascii="Times New Roman" w:hAnsi="Times New Roman" w:cs="Times New Roman"/>
                <w:color w:val="auto"/>
                <w:vertAlign w:val="superscript"/>
              </w:rPr>
              <w:t>3</w:t>
            </w:r>
            <w:r>
              <w:rPr>
                <w:rFonts w:hint="default" w:ascii="Times New Roman" w:hAnsi="Times New Roman" w:cs="Times New Roman"/>
                <w:color w:val="auto"/>
              </w:rPr>
              <w:t>，经处理后有组织排放量为1.0</w:t>
            </w:r>
            <w:r>
              <w:rPr>
                <w:rFonts w:hint="default" w:ascii="Times New Roman" w:hAnsi="Times New Roman" w:cs="Times New Roman"/>
                <w:color w:val="auto"/>
                <w:lang w:val="en-US" w:eastAsia="zh-CN"/>
              </w:rPr>
              <w:t>39</w:t>
            </w:r>
            <w:r>
              <w:rPr>
                <w:rFonts w:hint="default" w:ascii="Times New Roman" w:hAnsi="Times New Roman" w:cs="Times New Roman"/>
                <w:color w:val="auto"/>
              </w:rPr>
              <w:t>t/a，排放速率为0.46kg/h，排放浓度为3</w:t>
            </w:r>
            <w:r>
              <w:rPr>
                <w:rFonts w:hint="default" w:ascii="Times New Roman" w:hAnsi="Times New Roman" w:cs="Times New Roman"/>
                <w:color w:val="auto"/>
                <w:lang w:val="en-US" w:eastAsia="zh-CN"/>
              </w:rPr>
              <w:t>2.02</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default" w:ascii="Times New Roman" w:hAnsi="Times New Roman" w:cs="Times New Roman"/>
                <w:color w:val="auto"/>
              </w:rPr>
              <w:t>，未被集气罩收集到的20%无组织排放，无组织排放量为0.406t/a。</w:t>
            </w:r>
          </w:p>
          <w:p w14:paraId="7D24C5B1">
            <w:pPr>
              <w:spacing w:after="120"/>
              <w:ind w:firstLine="482"/>
              <w:rPr>
                <w:rFonts w:hint="default" w:ascii="Times New Roman" w:hAnsi="Times New Roman" w:cs="Times New Roman"/>
                <w:b/>
                <w:bCs/>
                <w:color w:val="auto"/>
                <w:kern w:val="0"/>
                <w:szCs w:val="20"/>
              </w:rPr>
            </w:pPr>
            <w:r>
              <w:rPr>
                <w:rFonts w:hint="default" w:ascii="Times New Roman" w:hAnsi="Times New Roman" w:cs="Times New Roman"/>
                <w:b/>
                <w:bCs/>
                <w:color w:val="auto"/>
                <w:kern w:val="0"/>
                <w:szCs w:val="20"/>
              </w:rPr>
              <w:t>（3）粘合工序产生的非甲烷总烃</w:t>
            </w:r>
          </w:p>
          <w:p w14:paraId="0CC1A3EC">
            <w:pPr>
              <w:pStyle w:val="83"/>
              <w:spacing w:after="0"/>
              <w:ind w:leftChars="0" w:firstLine="480"/>
              <w:rPr>
                <w:rFonts w:hint="default" w:ascii="Times New Roman" w:hAnsi="Times New Roman" w:cs="Times New Roman"/>
                <w:color w:val="auto"/>
              </w:rPr>
            </w:pPr>
            <w:r>
              <w:rPr>
                <w:rFonts w:hint="default" w:ascii="Times New Roman" w:hAnsi="Times New Roman" w:cs="Times New Roman"/>
                <w:color w:val="auto"/>
              </w:rPr>
              <w:t>本项目将深加工好的半成品件通过电热贴合机及热熔胶涂胶机不同方式进行粘合。电热贴合机通过发热板使珍珠棉接触而高温熔合成一体。热熔胶涂胶机通过热熔胶熔解后产生的胶粘性能使珍珠棉粘合在一起。</w:t>
            </w:r>
          </w:p>
          <w:p w14:paraId="02A80F7C">
            <w:pPr>
              <w:widowControl/>
              <w:adjustRightInd/>
              <w:snapToGrid/>
              <w:ind w:firstLine="480"/>
              <w:rPr>
                <w:rFonts w:hint="default" w:ascii="Times New Roman" w:hAnsi="Times New Roman" w:cs="Times New Roman"/>
                <w:color w:val="auto"/>
                <w:kern w:val="0"/>
              </w:rPr>
            </w:pPr>
            <w:r>
              <w:rPr>
                <w:rFonts w:hint="default" w:ascii="Times New Roman" w:hAnsi="Times New Roman" w:cs="Times New Roman"/>
                <w:color w:val="auto"/>
                <w:kern w:val="0"/>
              </w:rPr>
              <w:t>①电热贴合产生的非甲烷总烃</w:t>
            </w:r>
          </w:p>
          <w:p w14:paraId="39800D77">
            <w:pPr>
              <w:widowControl/>
              <w:adjustRightInd/>
              <w:snapToGrid/>
              <w:ind w:firstLine="480"/>
              <w:rPr>
                <w:rFonts w:hint="default" w:ascii="Times New Roman" w:hAnsi="Times New Roman" w:cs="Times New Roman"/>
                <w:color w:val="auto"/>
              </w:rPr>
            </w:pPr>
            <w:r>
              <w:rPr>
                <w:rFonts w:hint="default" w:ascii="Times New Roman" w:hAnsi="Times New Roman" w:cs="Times New Roman"/>
                <w:color w:val="auto"/>
                <w:kern w:val="0"/>
              </w:rPr>
              <w:t>根据建设单位提供资料，粘合工序年产量约630t，年生产时间为2240h，参考《排放源统计调查产排污核算方法和系数手册》2923 塑料丝、绳及编织品制造行业系数表中“熔化”工序产污系数，挥发性有机物（以非甲烷总烃计）产污系数为3.76千克/吨-产品，则电热贴合过程中非甲烷总烃产生量为2.37t/a。</w:t>
            </w:r>
          </w:p>
          <w:p w14:paraId="22D77EE4">
            <w:pPr>
              <w:ind w:firstLine="480"/>
              <w:rPr>
                <w:rFonts w:hint="default" w:ascii="Times New Roman" w:hAnsi="Times New Roman" w:cs="Times New Roman"/>
                <w:color w:val="auto"/>
              </w:rPr>
            </w:pPr>
            <w:r>
              <w:rPr>
                <w:rFonts w:hint="default" w:ascii="Times New Roman" w:hAnsi="Times New Roman" w:cs="Times New Roman"/>
                <w:color w:val="auto"/>
              </w:rPr>
              <w:t>②热熔胶贴合产生的非甲烷总烃</w:t>
            </w:r>
          </w:p>
          <w:p w14:paraId="6A7AB22B">
            <w:pPr>
              <w:ind w:firstLine="480"/>
              <w:rPr>
                <w:rFonts w:hint="default" w:ascii="Times New Roman" w:hAnsi="Times New Roman" w:cs="Times New Roman"/>
                <w:color w:val="auto"/>
              </w:rPr>
            </w:pPr>
            <w:r>
              <w:rPr>
                <w:rFonts w:hint="default" w:ascii="Times New Roman" w:hAnsi="Times New Roman" w:cs="Times New Roman"/>
                <w:color w:val="auto"/>
              </w:rPr>
              <w:t>根据誉标检测（深圳）有限公司出具的本项目所用热熔胶的总挥发有机物检测报告（报告编号：AW2024037（2）），热熔胶的总挥发有机物检测结果为6g/L，以质量百分数计为0.6%，本项目粘合过程中使用热熔胶量为7t/a，因此，热熔胶贴合过程中非甲烷总烃产生量为0.042t/a。</w:t>
            </w:r>
          </w:p>
          <w:p w14:paraId="0CB09BD1">
            <w:pPr>
              <w:ind w:firstLine="480"/>
              <w:rPr>
                <w:rFonts w:hint="default" w:ascii="Times New Roman" w:hAnsi="Times New Roman" w:cs="Times New Roman"/>
                <w:color w:val="auto"/>
              </w:rPr>
            </w:pPr>
            <w:r>
              <w:rPr>
                <w:rFonts w:hint="default" w:ascii="Times New Roman" w:hAnsi="Times New Roman" w:cs="Times New Roman"/>
                <w:color w:val="auto"/>
              </w:rPr>
              <w:t>综上，粘合工序产生的非甲烷总烃为2.412t/a，建设单位已在粘胶线、贴合机等设备上方共设置</w:t>
            </w:r>
            <w:r>
              <w:rPr>
                <w:rFonts w:hint="default" w:ascii="Times New Roman" w:hAnsi="Times New Roman" w:cs="Times New Roman"/>
                <w:color w:val="auto"/>
                <w:lang w:val="en-US" w:eastAsia="zh-CN"/>
              </w:rPr>
              <w:t>7</w:t>
            </w:r>
            <w:r>
              <w:rPr>
                <w:rFonts w:hint="default" w:ascii="Times New Roman" w:hAnsi="Times New Roman" w:cs="Times New Roman"/>
                <w:color w:val="auto"/>
              </w:rPr>
              <w:t>个覆斗式集气罩（2个1.7m×1.7m，5个1.2m×1.2m），并在集气罩四周垂直挂1m的活动帘以提高废气的收集率，风机风量为30000m</w:t>
            </w:r>
            <w:r>
              <w:rPr>
                <w:rFonts w:hint="default" w:ascii="Times New Roman" w:hAnsi="Times New Roman" w:cs="Times New Roman"/>
                <w:color w:val="auto"/>
                <w:vertAlign w:val="superscript"/>
              </w:rPr>
              <w:t>3</w:t>
            </w:r>
            <w:r>
              <w:rPr>
                <w:rFonts w:hint="default" w:ascii="Times New Roman" w:hAnsi="Times New Roman" w:cs="Times New Roman"/>
                <w:color w:val="auto"/>
              </w:rPr>
              <w:t>/h，根据《陕西省大气主要污染物许可排放量及实际排放量核定方法》中“仅保留物料进出通道，通道敞开面小于1个操作工位面，敞开面控制风速不小于0.5m/s，集气效率取值80%”，本项目粘合工序集气罩（包围型集气设备）收集效率为80%，</w:t>
            </w:r>
            <w:r>
              <w:rPr>
                <w:rFonts w:hint="default" w:ascii="Times New Roman" w:hAnsi="Times New Roman" w:cs="Times New Roman"/>
                <w:color w:val="auto"/>
                <w:lang w:val="en-US" w:eastAsia="zh-CN"/>
              </w:rPr>
              <w:t>蜂窝状活性炭取值20%</w:t>
            </w:r>
            <w:r>
              <w:rPr>
                <w:rFonts w:hint="default" w:ascii="Times New Roman" w:hAnsi="Times New Roman" w:cs="Times New Roman"/>
                <w:color w:val="auto"/>
                <w:lang w:val="en-US" w:eastAsia="zh-CN"/>
              </w:rPr>
              <w:t>，则</w:t>
            </w:r>
            <w:r>
              <w:rPr>
                <w:rFonts w:hint="default" w:ascii="Times New Roman" w:hAnsi="Times New Roman" w:cs="Times New Roman"/>
                <w:color w:val="auto"/>
              </w:rPr>
              <w:t>二级活性炭吸附处理效率为3</w:t>
            </w:r>
            <w:r>
              <w:rPr>
                <w:rFonts w:hint="default" w:ascii="Times New Roman" w:hAnsi="Times New Roman" w:eastAsia="宋体" w:cs="Times New Roman"/>
                <w:color w:val="auto"/>
                <w:lang w:val="en-US" w:eastAsia="zh-CN"/>
              </w:rPr>
              <w:t>6</w:t>
            </w:r>
            <w:r>
              <w:rPr>
                <w:rFonts w:hint="default" w:ascii="Times New Roman" w:hAnsi="Times New Roman" w:cs="Times New Roman"/>
                <w:color w:val="auto"/>
              </w:rPr>
              <w:t>%，未被集气罩收集的废气呈无组织形式排放。</w:t>
            </w:r>
          </w:p>
          <w:p w14:paraId="75982C7D">
            <w:pPr>
              <w:ind w:firstLine="480"/>
              <w:rPr>
                <w:rFonts w:hint="default" w:ascii="Times New Roman" w:hAnsi="Times New Roman" w:cs="Times New Roman"/>
                <w:color w:val="auto"/>
              </w:rPr>
            </w:pPr>
            <w:r>
              <w:rPr>
                <w:rFonts w:hint="default" w:ascii="Times New Roman" w:hAnsi="Times New Roman" w:cs="Times New Roman"/>
                <w:color w:val="auto"/>
              </w:rPr>
              <w:t>项目粘合工序产生的非甲烷总烃总量为2.412t/a，则非甲烷总烃有组织产生量为1.</w:t>
            </w:r>
            <w:r>
              <w:rPr>
                <w:rFonts w:hint="default" w:ascii="Times New Roman" w:hAnsi="Times New Roman" w:cs="Times New Roman"/>
                <w:color w:val="auto"/>
                <w:lang w:val="en-US" w:eastAsia="zh-CN"/>
              </w:rPr>
              <w:t>930</w:t>
            </w:r>
            <w:r>
              <w:rPr>
                <w:rFonts w:hint="default" w:ascii="Times New Roman" w:hAnsi="Times New Roman" w:cs="Times New Roman"/>
                <w:color w:val="auto"/>
              </w:rPr>
              <w:t>t/a，产生速率为0.</w:t>
            </w:r>
            <w:r>
              <w:rPr>
                <w:rFonts w:hint="default" w:ascii="Times New Roman" w:hAnsi="Times New Roman" w:cs="Times New Roman"/>
                <w:color w:val="auto"/>
                <w:lang w:val="en-US" w:eastAsia="zh-CN"/>
              </w:rPr>
              <w:t>86</w:t>
            </w:r>
            <w:r>
              <w:rPr>
                <w:rFonts w:hint="default" w:ascii="Times New Roman" w:hAnsi="Times New Roman" w:cs="Times New Roman"/>
                <w:color w:val="auto"/>
              </w:rPr>
              <w:t>kg/h，产生浓度为2</w:t>
            </w:r>
            <w:r>
              <w:rPr>
                <w:rFonts w:hint="default" w:ascii="Times New Roman" w:hAnsi="Times New Roman" w:cs="Times New Roman"/>
                <w:color w:val="auto"/>
                <w:lang w:val="en-US" w:eastAsia="zh-CN"/>
              </w:rPr>
              <w:t>8.71</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default" w:ascii="Times New Roman" w:hAnsi="Times New Roman" w:cs="Times New Roman"/>
                <w:color w:val="auto"/>
              </w:rPr>
              <w:t>，则复合工序非甲烷总烃有组织排放量为</w:t>
            </w:r>
            <w:r>
              <w:rPr>
                <w:rFonts w:hint="default" w:ascii="Times New Roman" w:hAnsi="Times New Roman" w:cs="Times New Roman"/>
                <w:color w:val="auto"/>
                <w:lang w:val="en-US" w:eastAsia="zh-CN"/>
              </w:rPr>
              <w:t>1.235</w:t>
            </w:r>
            <w:r>
              <w:rPr>
                <w:rFonts w:hint="default" w:ascii="Times New Roman" w:hAnsi="Times New Roman" w:cs="Times New Roman"/>
                <w:color w:val="auto"/>
              </w:rPr>
              <w:t>t/a，排放速率为0.</w:t>
            </w:r>
            <w:r>
              <w:rPr>
                <w:rFonts w:hint="default" w:ascii="Times New Roman" w:hAnsi="Times New Roman" w:cs="Times New Roman"/>
                <w:color w:val="auto"/>
                <w:lang w:val="en-US" w:eastAsia="zh-CN"/>
              </w:rPr>
              <w:t>55</w:t>
            </w:r>
            <w:r>
              <w:rPr>
                <w:rFonts w:hint="default" w:ascii="Times New Roman" w:hAnsi="Times New Roman" w:cs="Times New Roman"/>
                <w:color w:val="auto"/>
              </w:rPr>
              <w:t>kg/h，排放浓度为1</w:t>
            </w:r>
            <w:r>
              <w:rPr>
                <w:rFonts w:hint="default" w:ascii="Times New Roman" w:hAnsi="Times New Roman" w:cs="Times New Roman"/>
                <w:color w:val="auto"/>
                <w:lang w:val="en-US" w:eastAsia="zh-CN"/>
              </w:rPr>
              <w:t>8.38</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default" w:ascii="Times New Roman" w:hAnsi="Times New Roman" w:cs="Times New Roman"/>
                <w:color w:val="auto"/>
              </w:rPr>
              <w:t>；无组织排放量为0.</w:t>
            </w:r>
            <w:r>
              <w:rPr>
                <w:rFonts w:hint="default" w:ascii="Times New Roman" w:hAnsi="Times New Roman" w:cs="Times New Roman"/>
                <w:color w:val="auto"/>
                <w:lang w:val="en-US" w:eastAsia="zh-CN"/>
              </w:rPr>
              <w:t>482</w:t>
            </w:r>
            <w:r>
              <w:rPr>
                <w:rFonts w:hint="default" w:ascii="Times New Roman" w:hAnsi="Times New Roman" w:cs="Times New Roman"/>
                <w:color w:val="auto"/>
              </w:rPr>
              <w:t>t/a。</w:t>
            </w:r>
          </w:p>
          <w:p w14:paraId="5DB960BB">
            <w:pPr>
              <w:adjustRightInd/>
              <w:snapToGrid/>
              <w:ind w:firstLine="482"/>
              <w:rPr>
                <w:rFonts w:hint="default" w:ascii="Times New Roman" w:hAnsi="Times New Roman" w:cs="Times New Roman"/>
                <w:b/>
                <w:bCs/>
                <w:color w:val="auto"/>
              </w:rPr>
            </w:pPr>
            <w:r>
              <w:rPr>
                <w:rFonts w:hint="default" w:ascii="Times New Roman" w:hAnsi="Times New Roman" w:cs="Times New Roman"/>
                <w:b/>
                <w:bCs/>
                <w:color w:val="auto"/>
              </w:rPr>
              <w:t>（4）造粒工序产生的非甲烷总烃</w:t>
            </w:r>
          </w:p>
          <w:p w14:paraId="4E45C275">
            <w:pPr>
              <w:ind w:firstLine="480"/>
              <w:rPr>
                <w:rFonts w:hint="default" w:ascii="Times New Roman" w:hAnsi="Times New Roman" w:cs="Times New Roman"/>
                <w:color w:val="auto"/>
                <w:kern w:val="0"/>
              </w:rPr>
            </w:pPr>
            <w:r>
              <w:rPr>
                <w:rFonts w:hint="default" w:ascii="Times New Roman" w:hAnsi="Times New Roman" w:cs="Times New Roman"/>
                <w:color w:val="auto"/>
                <w:kern w:val="0"/>
              </w:rPr>
              <w:t>根据企业运行的实际情况，边角料和不合格产品产生量约为聚乙烯颗粒（LDPE）、卷材珍珠棉原料总量的10%左右，则本项目边角料和不合格产品产生量为90t/a，经造粒机加工后回用于生产，此阶段有微量非甲烷总烃产生。</w:t>
            </w:r>
          </w:p>
          <w:p w14:paraId="2EA72212">
            <w:pPr>
              <w:ind w:firstLine="480"/>
              <w:rPr>
                <w:rFonts w:hint="default" w:ascii="Times New Roman" w:hAnsi="Times New Roman" w:cs="Times New Roman"/>
                <w:color w:val="auto"/>
              </w:rPr>
            </w:pPr>
            <w:r>
              <w:rPr>
                <w:rFonts w:hint="default" w:ascii="Times New Roman" w:hAnsi="Times New Roman" w:cs="Times New Roman"/>
                <w:color w:val="auto"/>
              </w:rPr>
              <w:t>建设单位已在造粒机上方设置2个覆斗式集气罩（2个1.0m×1.0m），并在集气罩四周垂直挂1m的活动帘以提高废气的收集率，风机风量为11000m</w:t>
            </w:r>
            <w:r>
              <w:rPr>
                <w:rFonts w:hint="default" w:ascii="Times New Roman" w:hAnsi="Times New Roman" w:cs="Times New Roman"/>
                <w:color w:val="auto"/>
                <w:vertAlign w:val="superscript"/>
              </w:rPr>
              <w:t>3</w:t>
            </w:r>
            <w:r>
              <w:rPr>
                <w:rFonts w:hint="default" w:ascii="Times New Roman" w:hAnsi="Times New Roman" w:cs="Times New Roman"/>
                <w:color w:val="auto"/>
              </w:rPr>
              <w:t>/h，废气收集后经一套二级活性炭吸附装置处理，最终通过一根15m排气筒（DA004）排放。</w:t>
            </w:r>
          </w:p>
          <w:p w14:paraId="4D60B7F3">
            <w:pPr>
              <w:ind w:firstLine="480"/>
              <w:rPr>
                <w:rFonts w:hint="default" w:ascii="Times New Roman" w:hAnsi="Times New Roman" w:cs="Times New Roman"/>
                <w:color w:val="auto"/>
              </w:rPr>
            </w:pPr>
            <w:r>
              <w:rPr>
                <w:rFonts w:hint="default" w:ascii="Times New Roman" w:hAnsi="Times New Roman" w:cs="Times New Roman"/>
                <w:color w:val="auto"/>
              </w:rPr>
              <w:t>本项目造粒工序中边角料和不合格产品产生量为90t/a，年生产时间为840h，参考《排放源统计调查产排污核算方法和系数手册》-2929塑料零件及其他塑料制品制造行业系数表中“造粒”工序挥发性有机物（以非甲烷总烃计）产污系数为4.60kg/t-产品</w:t>
            </w:r>
            <w:r>
              <w:rPr>
                <w:rFonts w:hint="default" w:ascii="Times New Roman" w:hAnsi="Times New Roman" w:cs="Times New Roman"/>
                <w:color w:val="auto"/>
                <w:lang w:eastAsia="zh-CN"/>
              </w:rPr>
              <w:t>，</w:t>
            </w:r>
            <w:r>
              <w:rPr>
                <w:rFonts w:hint="default" w:ascii="Times New Roman" w:hAnsi="Times New Roman" w:cs="Times New Roman"/>
                <w:color w:val="auto"/>
              </w:rPr>
              <w:t>则造粒工序非甲烷总烃产生量为0.414t/a。</w:t>
            </w:r>
          </w:p>
          <w:p w14:paraId="4DD5FB8D">
            <w:pPr>
              <w:ind w:firstLine="480"/>
              <w:rPr>
                <w:rFonts w:hint="default" w:ascii="Times New Roman" w:hAnsi="Times New Roman" w:cs="Times New Roman"/>
                <w:color w:val="auto"/>
              </w:rPr>
            </w:pPr>
            <w:r>
              <w:rPr>
                <w:rFonts w:hint="default" w:ascii="Times New Roman" w:hAnsi="Times New Roman" w:cs="Times New Roman"/>
                <w:color w:val="auto"/>
              </w:rPr>
              <w:t>根据《陕西省大气主要污染物许可排放量及实际排放量核定方法》中“仅保留物料进出通道，通道敞开面小于1个操作工位面，敞开面控制风速不小于0.5m/s，集气效率取值80%”，本项目造粒工序集气罩（包围型集气设备）收集效率为80%，</w:t>
            </w:r>
            <w:r>
              <w:rPr>
                <w:rFonts w:hint="default" w:ascii="Times New Roman" w:hAnsi="Times New Roman" w:cs="Times New Roman"/>
                <w:color w:val="auto"/>
                <w:lang w:val="en-US" w:eastAsia="zh-CN"/>
              </w:rPr>
              <w:t>蜂窝状活性炭取值20%</w:t>
            </w:r>
            <w:r>
              <w:rPr>
                <w:rFonts w:hint="default" w:ascii="Times New Roman" w:hAnsi="Times New Roman" w:cs="Times New Roman"/>
                <w:color w:val="auto"/>
                <w:lang w:val="en-US" w:eastAsia="zh-CN"/>
              </w:rPr>
              <w:t>，则</w:t>
            </w:r>
            <w:r>
              <w:rPr>
                <w:rFonts w:hint="default" w:ascii="Times New Roman" w:hAnsi="Times New Roman" w:cs="Times New Roman"/>
                <w:color w:val="auto"/>
              </w:rPr>
              <w:t>二级活性炭吸附处理效率为3</w:t>
            </w:r>
            <w:r>
              <w:rPr>
                <w:rFonts w:hint="default" w:ascii="Times New Roman" w:hAnsi="Times New Roman" w:eastAsia="宋体" w:cs="Times New Roman"/>
                <w:color w:val="auto"/>
                <w:lang w:val="en-US" w:eastAsia="zh-CN"/>
              </w:rPr>
              <w:t>6</w:t>
            </w:r>
            <w:r>
              <w:rPr>
                <w:rFonts w:hint="default" w:ascii="Times New Roman" w:hAnsi="Times New Roman" w:cs="Times New Roman"/>
                <w:color w:val="auto"/>
              </w:rPr>
              <w:t>%，未被集气罩收集的废气呈无组织形式排放。则造粒工序非甲烷总烃有组织产生量为0.331t/a，产生速率为0.39kg/h，产生浓度为35.84mg/m</w:t>
            </w:r>
            <w:r>
              <w:rPr>
                <w:rFonts w:hint="default" w:ascii="Times New Roman" w:hAnsi="Times New Roman" w:cs="Times New Roman"/>
                <w:color w:val="auto"/>
                <w:vertAlign w:val="superscript"/>
              </w:rPr>
              <w:t>3</w:t>
            </w:r>
            <w:r>
              <w:rPr>
                <w:rFonts w:hint="default" w:ascii="Times New Roman" w:hAnsi="Times New Roman" w:cs="Times New Roman"/>
                <w:color w:val="auto"/>
              </w:rPr>
              <w:t>，废气经处理后有组织排放量为0.2</w:t>
            </w:r>
            <w:r>
              <w:rPr>
                <w:rFonts w:hint="default" w:ascii="Times New Roman" w:hAnsi="Times New Roman" w:cs="Times New Roman"/>
                <w:color w:val="auto"/>
                <w:lang w:val="en-US" w:eastAsia="zh-CN"/>
              </w:rPr>
              <w:t>12</w:t>
            </w:r>
            <w:r>
              <w:rPr>
                <w:rFonts w:hint="default" w:ascii="Times New Roman" w:hAnsi="Times New Roman" w:cs="Times New Roman"/>
                <w:color w:val="auto"/>
              </w:rPr>
              <w:t>t/a，排放速率为0.25kg/h，排放浓度为22.</w:t>
            </w:r>
            <w:r>
              <w:rPr>
                <w:rFonts w:hint="default" w:ascii="Times New Roman" w:hAnsi="Times New Roman" w:cs="Times New Roman"/>
                <w:color w:val="auto"/>
                <w:lang w:val="en-US" w:eastAsia="zh-CN"/>
              </w:rPr>
              <w:t>94</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default" w:ascii="Times New Roman" w:hAnsi="Times New Roman" w:cs="Times New Roman"/>
                <w:color w:val="auto"/>
              </w:rPr>
              <w:t>；无组织排放量为</w:t>
            </w:r>
            <w:r>
              <w:rPr>
                <w:rFonts w:hint="default" w:ascii="Times New Roman" w:hAnsi="Times New Roman" w:eastAsia="宋体" w:cs="Times New Roman"/>
                <w:color w:val="auto"/>
              </w:rPr>
              <w:t>0.083t/a。</w:t>
            </w:r>
          </w:p>
          <w:p w14:paraId="2260B129">
            <w:pPr>
              <w:ind w:firstLine="482"/>
              <w:rPr>
                <w:rFonts w:hint="default" w:ascii="Times New Roman" w:hAnsi="Times New Roman" w:cs="Times New Roman"/>
                <w:b/>
                <w:bCs/>
                <w:color w:val="auto"/>
              </w:rPr>
            </w:pPr>
            <w:r>
              <w:rPr>
                <w:rFonts w:hint="default" w:ascii="Times New Roman" w:hAnsi="Times New Roman" w:cs="Times New Roman"/>
                <w:b/>
                <w:bCs/>
                <w:color w:val="auto"/>
              </w:rPr>
              <w:t>（5）食堂油烟</w:t>
            </w:r>
          </w:p>
          <w:p w14:paraId="19AC8854">
            <w:pPr>
              <w:adjustRightInd/>
              <w:snapToGrid/>
              <w:ind w:firstLine="480"/>
              <w:rPr>
                <w:rFonts w:hint="default" w:ascii="Times New Roman" w:hAnsi="Times New Roman" w:eastAsia="Times New Roman" w:cs="Times New Roman"/>
                <w:color w:val="auto"/>
                <w:szCs w:val="22"/>
                <w:lang w:val="zh-CN"/>
              </w:rPr>
            </w:pPr>
            <w:r>
              <w:rPr>
                <w:rFonts w:hint="default" w:ascii="Times New Roman" w:hAnsi="Times New Roman" w:eastAsia="Times New Roman" w:cs="Times New Roman"/>
                <w:color w:val="auto"/>
                <w:szCs w:val="22"/>
              </w:rPr>
              <w:t>本项目食堂设在厂区北侧，能源为甲醇和电，日就餐人数60人，食堂灶头有2个，居民人均食用油日用量以25g/人·天计，年工作时间280天，灶头每天使用4h，预计年耗油量约0.42t/a，一般油烟挥发量占总耗油量的2.83%，则油烟产生量约为0.0119t/a。</w:t>
            </w:r>
          </w:p>
          <w:p w14:paraId="377BA2AF">
            <w:pPr>
              <w:adjustRightInd/>
              <w:snapToGrid/>
              <w:ind w:firstLine="480"/>
              <w:rPr>
                <w:rFonts w:hint="default" w:ascii="Times New Roman" w:hAnsi="Times New Roman" w:cs="Times New Roman"/>
                <w:color w:val="auto"/>
              </w:rPr>
            </w:pPr>
            <w:r>
              <w:rPr>
                <w:rFonts w:hint="default" w:ascii="Times New Roman" w:hAnsi="Times New Roman" w:eastAsia="Times New Roman" w:cs="Times New Roman"/>
                <w:color w:val="auto"/>
                <w:szCs w:val="22"/>
              </w:rPr>
              <w:t>食堂油烟采用油烟净化设施处理，每个灶头风量按2000m</w:t>
            </w:r>
            <w:r>
              <w:rPr>
                <w:rFonts w:hint="default" w:ascii="Times New Roman" w:hAnsi="Times New Roman" w:eastAsia="Times New Roman" w:cs="Times New Roman"/>
                <w:color w:val="auto"/>
                <w:szCs w:val="22"/>
                <w:vertAlign w:val="superscript"/>
              </w:rPr>
              <w:t>3</w:t>
            </w:r>
            <w:r>
              <w:rPr>
                <w:rFonts w:hint="default" w:ascii="Times New Roman" w:hAnsi="Times New Roman" w:eastAsia="Times New Roman" w:cs="Times New Roman"/>
                <w:color w:val="auto"/>
                <w:szCs w:val="22"/>
              </w:rPr>
              <w:t>/h计，则油烟产生速率为0.011kg/h，产生浓度为2.66mg/m</w:t>
            </w:r>
            <w:r>
              <w:rPr>
                <w:rFonts w:hint="default" w:ascii="Times New Roman" w:hAnsi="Times New Roman" w:eastAsia="Times New Roman" w:cs="Times New Roman"/>
                <w:color w:val="auto"/>
                <w:szCs w:val="22"/>
                <w:vertAlign w:val="superscript"/>
              </w:rPr>
              <w:t>3</w:t>
            </w:r>
            <w:r>
              <w:rPr>
                <w:rFonts w:hint="default" w:ascii="Times New Roman" w:hAnsi="Times New Roman" w:eastAsia="Times New Roman" w:cs="Times New Roman"/>
                <w:color w:val="auto"/>
                <w:szCs w:val="22"/>
              </w:rPr>
              <w:t>。油烟净化器净化效率为60%，则处理后油烟排放量为0.0077t/a，排放速率为0.0069kg/h，排放浓度为1.73mg/m</w:t>
            </w:r>
            <w:r>
              <w:rPr>
                <w:rFonts w:hint="default" w:ascii="Times New Roman" w:hAnsi="Times New Roman" w:eastAsia="Times New Roman" w:cs="Times New Roman"/>
                <w:color w:val="auto"/>
                <w:szCs w:val="22"/>
                <w:vertAlign w:val="superscript"/>
              </w:rPr>
              <w:t>3</w:t>
            </w:r>
            <w:r>
              <w:rPr>
                <w:rFonts w:hint="default" w:ascii="Times New Roman" w:hAnsi="Times New Roman" w:eastAsia="Times New Roman" w:cs="Times New Roman"/>
                <w:color w:val="auto"/>
                <w:szCs w:val="22"/>
              </w:rPr>
              <w:t>，油烟收集后经油烟净化器处理后由专用烟道引至楼顶排放，满足《饮食业油烟排放标准》（GB18483-2001）中排放标准。</w:t>
            </w:r>
          </w:p>
        </w:tc>
      </w:tr>
    </w:tbl>
    <w:p w14:paraId="5903C145">
      <w:pPr>
        <w:pStyle w:val="34"/>
        <w:ind w:firstLine="602"/>
        <w:rPr>
          <w:rFonts w:hint="default" w:ascii="Times New Roman" w:hAnsi="Times New Roman" w:eastAsia="黑体" w:cs="Times New Roman"/>
          <w:b/>
          <w:bCs/>
          <w:snapToGrid w:val="0"/>
          <w:color w:val="auto"/>
          <w:kern w:val="21"/>
          <w:sz w:val="30"/>
          <w:szCs w:val="30"/>
        </w:rPr>
        <w:sectPr>
          <w:pgSz w:w="11906" w:h="16838"/>
          <w:pgMar w:top="1701" w:right="1531" w:bottom="1701" w:left="1531"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6"/>
        <w:gridCol w:w="13166"/>
      </w:tblGrid>
      <w:tr w14:paraId="5C49A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14:paraId="5F3175C7">
            <w:pPr>
              <w:pStyle w:val="12"/>
              <w:adjustRightInd w:val="0"/>
              <w:snapToGrid w:val="0"/>
              <w:ind w:lef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运营</w:t>
            </w:r>
          </w:p>
          <w:p w14:paraId="04BA0A7B">
            <w:pPr>
              <w:pStyle w:val="12"/>
              <w:adjustRightInd w:val="0"/>
              <w:snapToGrid w:val="0"/>
              <w:ind w:lef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期环</w:t>
            </w:r>
          </w:p>
          <w:p w14:paraId="7AA505BB">
            <w:pPr>
              <w:pStyle w:val="12"/>
              <w:adjustRightInd w:val="0"/>
              <w:snapToGrid w:val="0"/>
              <w:ind w:lef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境影</w:t>
            </w:r>
          </w:p>
          <w:p w14:paraId="17DE94AA">
            <w:pPr>
              <w:pStyle w:val="12"/>
              <w:adjustRightInd w:val="0"/>
              <w:snapToGrid w:val="0"/>
              <w:ind w:lef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响和</w:t>
            </w:r>
          </w:p>
          <w:p w14:paraId="7BC7CFE2">
            <w:pPr>
              <w:pStyle w:val="12"/>
              <w:adjustRightInd w:val="0"/>
              <w:snapToGrid w:val="0"/>
              <w:ind w:lef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保护</w:t>
            </w:r>
          </w:p>
          <w:p w14:paraId="5D850D43">
            <w:pPr>
              <w:pStyle w:val="12"/>
              <w:adjustRightInd w:val="0"/>
              <w:snapToGrid w:val="0"/>
              <w:ind w:left="0"/>
              <w:jc w:val="center"/>
              <w:rPr>
                <w:rFonts w:hint="default" w:ascii="Times New Roman" w:hAnsi="Times New Roman" w:cs="Times New Roman"/>
                <w:color w:val="auto"/>
              </w:rPr>
            </w:pPr>
            <w:r>
              <w:rPr>
                <w:rFonts w:hint="default" w:ascii="Times New Roman" w:hAnsi="Times New Roman" w:cs="Times New Roman"/>
                <w:color w:val="auto"/>
                <w:sz w:val="24"/>
                <w:szCs w:val="24"/>
              </w:rPr>
              <w:t>措施</w:t>
            </w:r>
          </w:p>
        </w:tc>
        <w:tc>
          <w:tcPr>
            <w:tcW w:w="13166" w:type="dxa"/>
          </w:tcPr>
          <w:p w14:paraId="5BDBA096">
            <w:pPr>
              <w:spacing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表4-1  废气产生及排放情况一览表</w:t>
            </w:r>
          </w:p>
          <w:tbl>
            <w:tblPr>
              <w:tblStyle w:val="2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5"/>
              <w:gridCol w:w="427"/>
              <w:gridCol w:w="741"/>
              <w:gridCol w:w="755"/>
              <w:gridCol w:w="871"/>
              <w:gridCol w:w="1035"/>
              <w:gridCol w:w="1221"/>
              <w:gridCol w:w="427"/>
              <w:gridCol w:w="872"/>
              <w:gridCol w:w="896"/>
              <w:gridCol w:w="1035"/>
              <w:gridCol w:w="1225"/>
              <w:gridCol w:w="601"/>
              <w:gridCol w:w="637"/>
              <w:gridCol w:w="942"/>
            </w:tblGrid>
            <w:tr w14:paraId="4A4F18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84" w:type="pct"/>
                  <w:vMerge w:val="restart"/>
                  <w:tcBorders>
                    <w:tl2br w:val="nil"/>
                    <w:tr2bl w:val="nil"/>
                  </w:tcBorders>
                  <w:vAlign w:val="center"/>
                </w:tcPr>
                <w:p w14:paraId="1EC34C63">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产污环节</w:t>
                  </w:r>
                </w:p>
              </w:tc>
              <w:tc>
                <w:tcPr>
                  <w:tcW w:w="164" w:type="pct"/>
                  <w:vMerge w:val="restart"/>
                  <w:tcBorders>
                    <w:tl2br w:val="nil"/>
                    <w:tr2bl w:val="nil"/>
                  </w:tcBorders>
                  <w:vAlign w:val="center"/>
                </w:tcPr>
                <w:p w14:paraId="6F4AC8E3">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286" w:type="pct"/>
                  <w:vMerge w:val="restart"/>
                  <w:tcBorders>
                    <w:tl2br w:val="nil"/>
                    <w:tr2bl w:val="nil"/>
                  </w:tcBorders>
                  <w:vAlign w:val="center"/>
                </w:tcPr>
                <w:p w14:paraId="0B92322F">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风机风量m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c>
                <w:tcPr>
                  <w:tcW w:w="291" w:type="pct"/>
                  <w:vMerge w:val="restart"/>
                  <w:tcBorders>
                    <w:tl2br w:val="nil"/>
                    <w:tr2bl w:val="nil"/>
                  </w:tcBorders>
                  <w:vAlign w:val="center"/>
                </w:tcPr>
                <w:p w14:paraId="6A51F45A">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年工作时间（h）</w:t>
                  </w:r>
                </w:p>
              </w:tc>
              <w:tc>
                <w:tcPr>
                  <w:tcW w:w="1207" w:type="pct"/>
                  <w:gridSpan w:val="3"/>
                  <w:tcBorders>
                    <w:tl2br w:val="nil"/>
                    <w:tr2bl w:val="nil"/>
                  </w:tcBorders>
                  <w:vAlign w:val="center"/>
                </w:tcPr>
                <w:p w14:paraId="4632642A">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污染物产生情况</w:t>
                  </w:r>
                </w:p>
              </w:tc>
              <w:tc>
                <w:tcPr>
                  <w:tcW w:w="164" w:type="pct"/>
                  <w:vMerge w:val="restart"/>
                  <w:tcBorders>
                    <w:tl2br w:val="nil"/>
                    <w:tr2bl w:val="nil"/>
                  </w:tcBorders>
                  <w:vAlign w:val="center"/>
                </w:tcPr>
                <w:p w14:paraId="605E85AD">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排放形式</w:t>
                  </w:r>
                </w:p>
              </w:tc>
              <w:tc>
                <w:tcPr>
                  <w:tcW w:w="337" w:type="pct"/>
                  <w:vMerge w:val="restart"/>
                  <w:tcBorders>
                    <w:tl2br w:val="nil"/>
                    <w:tr2bl w:val="nil"/>
                  </w:tcBorders>
                  <w:vAlign w:val="center"/>
                </w:tcPr>
                <w:p w14:paraId="24D9F2A9">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处理</w:t>
                  </w:r>
                </w:p>
                <w:p w14:paraId="059A1C1B">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措施</w:t>
                  </w:r>
                </w:p>
              </w:tc>
              <w:tc>
                <w:tcPr>
                  <w:tcW w:w="1218" w:type="pct"/>
                  <w:gridSpan w:val="3"/>
                  <w:tcBorders>
                    <w:tl2br w:val="nil"/>
                    <w:tr2bl w:val="nil"/>
                  </w:tcBorders>
                  <w:vAlign w:val="center"/>
                </w:tcPr>
                <w:p w14:paraId="6F877AC2">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污染物排放情况</w:t>
                  </w:r>
                </w:p>
              </w:tc>
              <w:tc>
                <w:tcPr>
                  <w:tcW w:w="232" w:type="pct"/>
                  <w:vMerge w:val="restart"/>
                  <w:tcBorders>
                    <w:tl2br w:val="nil"/>
                    <w:tr2bl w:val="nil"/>
                  </w:tcBorders>
                  <w:shd w:val="clear" w:color="auto" w:fill="auto"/>
                  <w:vAlign w:val="center"/>
                </w:tcPr>
                <w:p w14:paraId="48DCC094">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收集效率</w:t>
                  </w:r>
                </w:p>
                <w:p w14:paraId="5B58B890">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c>
                <w:tcPr>
                  <w:tcW w:w="246" w:type="pct"/>
                  <w:vMerge w:val="restart"/>
                  <w:tcBorders>
                    <w:tl2br w:val="nil"/>
                    <w:tr2bl w:val="nil"/>
                  </w:tcBorders>
                  <w:shd w:val="clear" w:color="auto" w:fill="auto"/>
                  <w:vAlign w:val="center"/>
                </w:tcPr>
                <w:p w14:paraId="260124AF">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去除效率%</w:t>
                  </w:r>
                </w:p>
              </w:tc>
              <w:tc>
                <w:tcPr>
                  <w:tcW w:w="364" w:type="pct"/>
                  <w:tcBorders>
                    <w:tl2br w:val="nil"/>
                    <w:tr2bl w:val="nil"/>
                  </w:tcBorders>
                  <w:shd w:val="clear" w:color="auto" w:fill="auto"/>
                  <w:vAlign w:val="center"/>
                </w:tcPr>
                <w:p w14:paraId="5246B6A6">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标准限值</w:t>
                  </w:r>
                </w:p>
              </w:tc>
            </w:tr>
            <w:tr w14:paraId="5FB03D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84" w:type="pct"/>
                  <w:vMerge w:val="continue"/>
                  <w:tcBorders>
                    <w:tl2br w:val="nil"/>
                    <w:tr2bl w:val="nil"/>
                  </w:tcBorders>
                  <w:shd w:val="clear" w:color="auto" w:fill="auto"/>
                  <w:vAlign w:val="center"/>
                </w:tcPr>
                <w:p w14:paraId="7B66B409">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产污环节</w:t>
                  </w:r>
                </w:p>
              </w:tc>
              <w:tc>
                <w:tcPr>
                  <w:tcW w:w="164" w:type="pct"/>
                  <w:vMerge w:val="continue"/>
                  <w:tcBorders>
                    <w:tl2br w:val="nil"/>
                    <w:tr2bl w:val="nil"/>
                  </w:tcBorders>
                  <w:vAlign w:val="center"/>
                </w:tcPr>
                <w:p w14:paraId="2033DC2C">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286" w:type="pct"/>
                  <w:vMerge w:val="continue"/>
                  <w:tcBorders>
                    <w:tl2br w:val="nil"/>
                    <w:tr2bl w:val="nil"/>
                  </w:tcBorders>
                  <w:vAlign w:val="center"/>
                </w:tcPr>
                <w:p w14:paraId="3AADEB6A">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风机风量m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c>
                <w:tcPr>
                  <w:tcW w:w="291" w:type="pct"/>
                  <w:vMerge w:val="continue"/>
                  <w:tcBorders>
                    <w:tl2br w:val="nil"/>
                    <w:tr2bl w:val="nil"/>
                  </w:tcBorders>
                  <w:vAlign w:val="center"/>
                </w:tcPr>
                <w:p w14:paraId="4E54D3EE">
                  <w:pPr>
                    <w:tabs>
                      <w:tab w:val="left" w:pos="3300"/>
                    </w:tabs>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年工作时间</w:t>
                  </w:r>
                </w:p>
              </w:tc>
              <w:tc>
                <w:tcPr>
                  <w:tcW w:w="336" w:type="pct"/>
                  <w:tcBorders>
                    <w:tl2br w:val="nil"/>
                    <w:tr2bl w:val="nil"/>
                  </w:tcBorders>
                  <w:shd w:val="clear" w:color="auto" w:fill="auto"/>
                  <w:vAlign w:val="center"/>
                </w:tcPr>
                <w:p w14:paraId="46EF0728">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399" w:type="pct"/>
                  <w:tcBorders>
                    <w:tl2br w:val="nil"/>
                    <w:tr2bl w:val="nil"/>
                  </w:tcBorders>
                  <w:shd w:val="clear" w:color="auto" w:fill="auto"/>
                  <w:vAlign w:val="center"/>
                </w:tcPr>
                <w:p w14:paraId="5B3F73B9">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w:t>
                  </w:r>
                </w:p>
                <w:p w14:paraId="4565774E">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速率</w:t>
                  </w:r>
                </w:p>
                <w:p w14:paraId="1C321A28">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（kg/h）</w:t>
                  </w:r>
                </w:p>
              </w:tc>
              <w:tc>
                <w:tcPr>
                  <w:tcW w:w="471" w:type="pct"/>
                  <w:tcBorders>
                    <w:tl2br w:val="nil"/>
                    <w:tr2bl w:val="nil"/>
                  </w:tcBorders>
                  <w:shd w:val="clear" w:color="auto" w:fill="auto"/>
                  <w:vAlign w:val="center"/>
                </w:tcPr>
                <w:p w14:paraId="7005C241">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w:t>
                  </w:r>
                </w:p>
                <w:p w14:paraId="4A1AADA4">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浓度（mg/m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164" w:type="pct"/>
                  <w:vMerge w:val="continue"/>
                  <w:tcBorders>
                    <w:tl2br w:val="nil"/>
                    <w:tr2bl w:val="nil"/>
                  </w:tcBorders>
                  <w:vAlign w:val="center"/>
                </w:tcPr>
                <w:p w14:paraId="2579FCD5">
                  <w:pPr>
                    <w:tabs>
                      <w:tab w:val="left" w:pos="3300"/>
                    </w:tabs>
                    <w:spacing w:line="240" w:lineRule="auto"/>
                    <w:ind w:firstLine="0" w:firstLineChars="0"/>
                    <w:jc w:val="center"/>
                    <w:rPr>
                      <w:rFonts w:hint="default" w:ascii="Times New Roman" w:hAnsi="Times New Roman" w:cs="Times New Roman"/>
                      <w:b/>
                      <w:bCs/>
                      <w:color w:val="auto"/>
                      <w:sz w:val="21"/>
                      <w:szCs w:val="21"/>
                    </w:rPr>
                  </w:pPr>
                </w:p>
              </w:tc>
              <w:tc>
                <w:tcPr>
                  <w:tcW w:w="337" w:type="pct"/>
                  <w:vMerge w:val="continue"/>
                  <w:tcBorders>
                    <w:tl2br w:val="nil"/>
                    <w:tr2bl w:val="nil"/>
                  </w:tcBorders>
                  <w:vAlign w:val="center"/>
                </w:tcPr>
                <w:p w14:paraId="5EAEF1AA">
                  <w:pPr>
                    <w:tabs>
                      <w:tab w:val="left" w:pos="3300"/>
                    </w:tabs>
                    <w:spacing w:line="240" w:lineRule="auto"/>
                    <w:ind w:firstLine="0" w:firstLineChars="0"/>
                    <w:jc w:val="center"/>
                    <w:rPr>
                      <w:rFonts w:hint="default" w:ascii="Times New Roman" w:hAnsi="Times New Roman" w:cs="Times New Roman"/>
                      <w:b/>
                      <w:bCs/>
                      <w:color w:val="auto"/>
                      <w:sz w:val="21"/>
                      <w:szCs w:val="21"/>
                    </w:rPr>
                  </w:pPr>
                </w:p>
              </w:tc>
              <w:tc>
                <w:tcPr>
                  <w:tcW w:w="346" w:type="pct"/>
                  <w:tcBorders>
                    <w:tl2br w:val="nil"/>
                    <w:tr2bl w:val="nil"/>
                  </w:tcBorders>
                  <w:shd w:val="clear" w:color="auto" w:fill="auto"/>
                  <w:vAlign w:val="center"/>
                </w:tcPr>
                <w:p w14:paraId="0E0D1C80">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排放量（t/a）</w:t>
                  </w:r>
                </w:p>
              </w:tc>
              <w:tc>
                <w:tcPr>
                  <w:tcW w:w="399" w:type="pct"/>
                  <w:tcBorders>
                    <w:tl2br w:val="nil"/>
                    <w:tr2bl w:val="nil"/>
                  </w:tcBorders>
                  <w:shd w:val="clear" w:color="auto" w:fill="auto"/>
                  <w:vAlign w:val="center"/>
                </w:tcPr>
                <w:p w14:paraId="573E4B27">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w:t>
                  </w:r>
                </w:p>
                <w:p w14:paraId="0003A4E6">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速率（kg/h）</w:t>
                  </w:r>
                </w:p>
              </w:tc>
              <w:tc>
                <w:tcPr>
                  <w:tcW w:w="471" w:type="pct"/>
                  <w:tcBorders>
                    <w:tl2br w:val="nil"/>
                    <w:tr2bl w:val="nil"/>
                  </w:tcBorders>
                  <w:shd w:val="clear" w:color="auto" w:fill="auto"/>
                  <w:vAlign w:val="center"/>
                </w:tcPr>
                <w:p w14:paraId="4EEE9387">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w:t>
                  </w:r>
                </w:p>
                <w:p w14:paraId="38C34C83">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浓度（mg/m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232" w:type="pct"/>
                  <w:vMerge w:val="continue"/>
                  <w:tcBorders>
                    <w:tl2br w:val="nil"/>
                    <w:tr2bl w:val="nil"/>
                  </w:tcBorders>
                  <w:shd w:val="clear" w:color="auto" w:fill="auto"/>
                  <w:vAlign w:val="center"/>
                </w:tcPr>
                <w:p w14:paraId="1B8E1412">
                  <w:pPr>
                    <w:spacing w:line="240" w:lineRule="auto"/>
                    <w:ind w:firstLine="0" w:firstLineChars="0"/>
                    <w:jc w:val="center"/>
                    <w:rPr>
                      <w:rFonts w:hint="default" w:ascii="Times New Roman" w:hAnsi="Times New Roman" w:cs="Times New Roman"/>
                      <w:b/>
                      <w:bCs/>
                      <w:color w:val="auto"/>
                      <w:sz w:val="21"/>
                      <w:szCs w:val="21"/>
                    </w:rPr>
                  </w:pPr>
                </w:p>
              </w:tc>
              <w:tc>
                <w:tcPr>
                  <w:tcW w:w="246" w:type="pct"/>
                  <w:vMerge w:val="continue"/>
                  <w:tcBorders>
                    <w:tl2br w:val="nil"/>
                    <w:tr2bl w:val="nil"/>
                  </w:tcBorders>
                  <w:shd w:val="clear" w:color="auto" w:fill="auto"/>
                  <w:vAlign w:val="center"/>
                </w:tcPr>
                <w:p w14:paraId="078AFDBA">
                  <w:pPr>
                    <w:autoSpaceDE w:val="0"/>
                    <w:autoSpaceDN w:val="0"/>
                    <w:spacing w:line="240" w:lineRule="auto"/>
                    <w:ind w:firstLine="0" w:firstLineChars="0"/>
                    <w:jc w:val="center"/>
                    <w:rPr>
                      <w:rFonts w:hint="default" w:ascii="Times New Roman" w:hAnsi="Times New Roman" w:cs="Times New Roman"/>
                      <w:b/>
                      <w:bCs/>
                      <w:color w:val="auto"/>
                      <w:sz w:val="21"/>
                      <w:szCs w:val="21"/>
                    </w:rPr>
                  </w:pPr>
                </w:p>
              </w:tc>
              <w:tc>
                <w:tcPr>
                  <w:tcW w:w="364" w:type="pct"/>
                  <w:tcBorders>
                    <w:tl2br w:val="nil"/>
                    <w:tr2bl w:val="nil"/>
                  </w:tcBorders>
                  <w:shd w:val="clear" w:color="auto" w:fill="auto"/>
                  <w:vAlign w:val="center"/>
                </w:tcPr>
                <w:p w14:paraId="614E347C">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mg/m</w:t>
                  </w:r>
                  <w:r>
                    <w:rPr>
                      <w:rFonts w:hint="default" w:ascii="Times New Roman" w:hAnsi="Times New Roman" w:cs="Times New Roman"/>
                      <w:b/>
                      <w:bCs/>
                      <w:color w:val="auto"/>
                      <w:sz w:val="21"/>
                      <w:szCs w:val="21"/>
                      <w:vertAlign w:val="superscript"/>
                    </w:rPr>
                    <w:t>3</w:t>
                  </w:r>
                </w:p>
              </w:tc>
            </w:tr>
            <w:tr w14:paraId="12A88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restart"/>
                  <w:tcBorders>
                    <w:tl2br w:val="nil"/>
                    <w:tr2bl w:val="nil"/>
                  </w:tcBorders>
                  <w:shd w:val="clear" w:color="auto" w:fill="auto"/>
                  <w:vAlign w:val="center"/>
                </w:tcPr>
                <w:p w14:paraId="68D5FA2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发泡挤出工序（DA001）</w:t>
                  </w:r>
                </w:p>
              </w:tc>
              <w:tc>
                <w:tcPr>
                  <w:tcW w:w="164" w:type="pct"/>
                  <w:vMerge w:val="restart"/>
                  <w:tcBorders>
                    <w:tl2br w:val="nil"/>
                    <w:tr2bl w:val="nil"/>
                  </w:tcBorders>
                  <w:vAlign w:val="center"/>
                </w:tcPr>
                <w:p w14:paraId="3847AB4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非甲烷总烃</w:t>
                  </w:r>
                </w:p>
              </w:tc>
              <w:tc>
                <w:tcPr>
                  <w:tcW w:w="286" w:type="pct"/>
                  <w:vMerge w:val="restart"/>
                  <w:tcBorders>
                    <w:tl2br w:val="nil"/>
                    <w:tr2bl w:val="nil"/>
                  </w:tcBorders>
                  <w:vAlign w:val="center"/>
                </w:tcPr>
                <w:p w14:paraId="3C17BAB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20000</w:t>
                  </w:r>
                </w:p>
              </w:tc>
              <w:tc>
                <w:tcPr>
                  <w:tcW w:w="291" w:type="pct"/>
                  <w:vMerge w:val="restart"/>
                  <w:tcBorders>
                    <w:tl2br w:val="nil"/>
                    <w:tr2bl w:val="nil"/>
                  </w:tcBorders>
                  <w:vAlign w:val="center"/>
                </w:tcPr>
                <w:p w14:paraId="68D827B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1440</w:t>
                  </w:r>
                </w:p>
              </w:tc>
              <w:tc>
                <w:tcPr>
                  <w:tcW w:w="336" w:type="pct"/>
                  <w:tcBorders>
                    <w:tl2br w:val="nil"/>
                    <w:tr2bl w:val="nil"/>
                  </w:tcBorders>
                  <w:vAlign w:val="center"/>
                </w:tcPr>
                <w:p w14:paraId="45231975">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0.448</w:t>
                  </w:r>
                </w:p>
              </w:tc>
              <w:tc>
                <w:tcPr>
                  <w:tcW w:w="399" w:type="pct"/>
                  <w:tcBorders>
                    <w:tl2br w:val="nil"/>
                    <w:tr2bl w:val="nil"/>
                  </w:tcBorders>
                  <w:vAlign w:val="center"/>
                </w:tcPr>
                <w:p w14:paraId="59D3543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0.31</w:t>
                  </w:r>
                </w:p>
              </w:tc>
              <w:tc>
                <w:tcPr>
                  <w:tcW w:w="471" w:type="pct"/>
                  <w:tcBorders>
                    <w:tl2br w:val="nil"/>
                    <w:tr2bl w:val="nil"/>
                  </w:tcBorders>
                  <w:vAlign w:val="center"/>
                </w:tcPr>
                <w:p w14:paraId="058A417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15.56</w:t>
                  </w:r>
                </w:p>
              </w:tc>
              <w:tc>
                <w:tcPr>
                  <w:tcW w:w="164" w:type="pct"/>
                  <w:tcBorders>
                    <w:tl2br w:val="nil"/>
                    <w:tr2bl w:val="nil"/>
                  </w:tcBorders>
                  <w:shd w:val="clear" w:color="auto" w:fill="auto"/>
                  <w:vAlign w:val="center"/>
                </w:tcPr>
                <w:p w14:paraId="7D44A17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有组织</w:t>
                  </w:r>
                </w:p>
              </w:tc>
              <w:tc>
                <w:tcPr>
                  <w:tcW w:w="337" w:type="pct"/>
                  <w:tcBorders>
                    <w:tl2br w:val="nil"/>
                    <w:tr2bl w:val="nil"/>
                  </w:tcBorders>
                  <w:vAlign w:val="center"/>
                </w:tcPr>
                <w:p w14:paraId="1E04EEBF">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二级活性炭吸附装置+15m高排气筒</w:t>
                  </w:r>
                </w:p>
              </w:tc>
              <w:tc>
                <w:tcPr>
                  <w:tcW w:w="346" w:type="pct"/>
                  <w:tcBorders>
                    <w:tl2br w:val="nil"/>
                    <w:tr2bl w:val="nil"/>
                  </w:tcBorders>
                  <w:vAlign w:val="center"/>
                </w:tcPr>
                <w:p w14:paraId="3CF978E0">
                  <w:pPr>
                    <w:widowControl/>
                    <w:spacing w:line="240" w:lineRule="auto"/>
                    <w:ind w:firstLine="0" w:firstLineChars="0"/>
                    <w:jc w:val="center"/>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rPr>
                    <w:t>0.28</w:t>
                  </w:r>
                  <w:r>
                    <w:rPr>
                      <w:rFonts w:hint="default" w:ascii="Times New Roman" w:hAnsi="Times New Roman" w:cs="Times New Roman"/>
                      <w:color w:val="auto"/>
                      <w:kern w:val="0"/>
                      <w:sz w:val="21"/>
                      <w:szCs w:val="21"/>
                      <w:lang w:val="en-US" w:eastAsia="zh-CN"/>
                    </w:rPr>
                    <w:t>7</w:t>
                  </w:r>
                </w:p>
              </w:tc>
              <w:tc>
                <w:tcPr>
                  <w:tcW w:w="399" w:type="pct"/>
                  <w:tcBorders>
                    <w:tl2br w:val="nil"/>
                    <w:tr2bl w:val="nil"/>
                  </w:tcBorders>
                  <w:vAlign w:val="center"/>
                </w:tcPr>
                <w:p w14:paraId="48E87F15">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0.20</w:t>
                  </w:r>
                </w:p>
              </w:tc>
              <w:tc>
                <w:tcPr>
                  <w:tcW w:w="471" w:type="pct"/>
                  <w:tcBorders>
                    <w:tl2br w:val="nil"/>
                    <w:tr2bl w:val="nil"/>
                  </w:tcBorders>
                  <w:vAlign w:val="center"/>
                </w:tcPr>
                <w:p w14:paraId="1FD409F7">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rPr>
                    <w:t>9.</w:t>
                  </w:r>
                  <w:r>
                    <w:rPr>
                      <w:rFonts w:hint="default" w:ascii="Times New Roman" w:hAnsi="Times New Roman" w:cs="Times New Roman"/>
                      <w:color w:val="auto"/>
                      <w:kern w:val="0"/>
                      <w:sz w:val="21"/>
                      <w:szCs w:val="21"/>
                      <w:lang w:val="en-US" w:eastAsia="zh-CN"/>
                    </w:rPr>
                    <w:t>96</w:t>
                  </w:r>
                </w:p>
              </w:tc>
              <w:tc>
                <w:tcPr>
                  <w:tcW w:w="232" w:type="pct"/>
                  <w:vMerge w:val="restart"/>
                  <w:tcBorders>
                    <w:tl2br w:val="nil"/>
                    <w:tr2bl w:val="nil"/>
                  </w:tcBorders>
                  <w:vAlign w:val="center"/>
                </w:tcPr>
                <w:p w14:paraId="047EA82E">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80%</w:t>
                  </w:r>
                </w:p>
              </w:tc>
              <w:tc>
                <w:tcPr>
                  <w:tcW w:w="246" w:type="pct"/>
                  <w:vMerge w:val="restart"/>
                  <w:tcBorders>
                    <w:tl2br w:val="nil"/>
                    <w:tr2bl w:val="nil"/>
                  </w:tcBorders>
                  <w:vAlign w:val="center"/>
                </w:tcPr>
                <w:p w14:paraId="01C2B34F">
                  <w:pPr>
                    <w:widowControl/>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kern w:val="0"/>
                      <w:sz w:val="21"/>
                      <w:szCs w:val="21"/>
                      <w:lang w:eastAsia="zh-CN"/>
                    </w:rPr>
                    <w:t>36%</w:t>
                  </w:r>
                </w:p>
              </w:tc>
              <w:tc>
                <w:tcPr>
                  <w:tcW w:w="364" w:type="pct"/>
                  <w:tcBorders>
                    <w:tl2br w:val="nil"/>
                    <w:tr2bl w:val="nil"/>
                  </w:tcBorders>
                  <w:vAlign w:val="center"/>
                </w:tcPr>
                <w:p w14:paraId="6A0B9113">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60</w:t>
                  </w:r>
                </w:p>
              </w:tc>
            </w:tr>
            <w:tr w14:paraId="029F3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continue"/>
                  <w:tcBorders>
                    <w:tl2br w:val="nil"/>
                    <w:tr2bl w:val="nil"/>
                  </w:tcBorders>
                  <w:vAlign w:val="center"/>
                </w:tcPr>
                <w:p w14:paraId="49353D7E">
                  <w:pPr>
                    <w:widowControl/>
                    <w:spacing w:line="240" w:lineRule="auto"/>
                    <w:ind w:firstLine="0" w:firstLineChars="0"/>
                    <w:jc w:val="center"/>
                    <w:rPr>
                      <w:rFonts w:hint="default" w:ascii="Times New Roman" w:hAnsi="Times New Roman" w:cs="Times New Roman"/>
                      <w:color w:val="auto"/>
                      <w:kern w:val="0"/>
                      <w:sz w:val="21"/>
                      <w:szCs w:val="21"/>
                    </w:rPr>
                  </w:pPr>
                </w:p>
              </w:tc>
              <w:tc>
                <w:tcPr>
                  <w:tcW w:w="164" w:type="pct"/>
                  <w:vMerge w:val="continue"/>
                  <w:tcBorders>
                    <w:tl2br w:val="nil"/>
                    <w:tr2bl w:val="nil"/>
                  </w:tcBorders>
                  <w:vAlign w:val="center"/>
                </w:tcPr>
                <w:p w14:paraId="6070B45B">
                  <w:pPr>
                    <w:widowControl/>
                    <w:spacing w:line="240" w:lineRule="auto"/>
                    <w:ind w:firstLine="0" w:firstLineChars="0"/>
                    <w:jc w:val="center"/>
                    <w:rPr>
                      <w:rFonts w:hint="default" w:ascii="Times New Roman" w:hAnsi="Times New Roman" w:cs="Times New Roman"/>
                      <w:color w:val="auto"/>
                      <w:kern w:val="0"/>
                      <w:sz w:val="21"/>
                      <w:szCs w:val="21"/>
                    </w:rPr>
                  </w:pPr>
                </w:p>
              </w:tc>
              <w:tc>
                <w:tcPr>
                  <w:tcW w:w="286" w:type="pct"/>
                  <w:vMerge w:val="continue"/>
                  <w:tcBorders>
                    <w:tl2br w:val="nil"/>
                    <w:tr2bl w:val="nil"/>
                  </w:tcBorders>
                  <w:vAlign w:val="center"/>
                </w:tcPr>
                <w:p w14:paraId="6D95E7A4">
                  <w:pPr>
                    <w:widowControl/>
                    <w:spacing w:line="240" w:lineRule="auto"/>
                    <w:ind w:firstLine="0" w:firstLineChars="0"/>
                    <w:jc w:val="center"/>
                    <w:rPr>
                      <w:rFonts w:hint="default" w:ascii="Times New Roman" w:hAnsi="Times New Roman" w:cs="Times New Roman"/>
                      <w:color w:val="auto"/>
                      <w:kern w:val="0"/>
                      <w:sz w:val="21"/>
                      <w:szCs w:val="21"/>
                    </w:rPr>
                  </w:pPr>
                </w:p>
              </w:tc>
              <w:tc>
                <w:tcPr>
                  <w:tcW w:w="291" w:type="pct"/>
                  <w:vMerge w:val="continue"/>
                  <w:tcBorders>
                    <w:tl2br w:val="nil"/>
                    <w:tr2bl w:val="nil"/>
                  </w:tcBorders>
                  <w:vAlign w:val="center"/>
                </w:tcPr>
                <w:p w14:paraId="768D2011">
                  <w:pPr>
                    <w:widowControl/>
                    <w:spacing w:line="240" w:lineRule="auto"/>
                    <w:ind w:firstLine="0" w:firstLineChars="0"/>
                    <w:jc w:val="center"/>
                    <w:rPr>
                      <w:rFonts w:hint="default" w:ascii="Times New Roman" w:hAnsi="Times New Roman" w:cs="Times New Roman"/>
                      <w:color w:val="auto"/>
                      <w:kern w:val="0"/>
                      <w:sz w:val="21"/>
                      <w:szCs w:val="21"/>
                    </w:rPr>
                  </w:pPr>
                </w:p>
              </w:tc>
              <w:tc>
                <w:tcPr>
                  <w:tcW w:w="336" w:type="pct"/>
                  <w:tcBorders>
                    <w:tl2br w:val="nil"/>
                    <w:tr2bl w:val="nil"/>
                  </w:tcBorders>
                  <w:vAlign w:val="center"/>
                </w:tcPr>
                <w:p w14:paraId="20EE4766">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399" w:type="pct"/>
                  <w:tcBorders>
                    <w:tl2br w:val="nil"/>
                    <w:tr2bl w:val="nil"/>
                  </w:tcBorders>
                  <w:vAlign w:val="center"/>
                </w:tcPr>
                <w:p w14:paraId="533A9A19">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471" w:type="pct"/>
                  <w:tcBorders>
                    <w:tl2br w:val="nil"/>
                    <w:tr2bl w:val="nil"/>
                  </w:tcBorders>
                  <w:vAlign w:val="center"/>
                </w:tcPr>
                <w:p w14:paraId="13798477">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164" w:type="pct"/>
                  <w:tcBorders>
                    <w:tl2br w:val="nil"/>
                    <w:tr2bl w:val="nil"/>
                  </w:tcBorders>
                  <w:shd w:val="clear" w:color="auto" w:fill="auto"/>
                  <w:vAlign w:val="center"/>
                </w:tcPr>
                <w:p w14:paraId="6F2D86E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无组织</w:t>
                  </w:r>
                </w:p>
              </w:tc>
              <w:tc>
                <w:tcPr>
                  <w:tcW w:w="337" w:type="pct"/>
                  <w:tcBorders>
                    <w:tl2br w:val="nil"/>
                    <w:tr2bl w:val="nil"/>
                  </w:tcBorders>
                  <w:vAlign w:val="center"/>
                </w:tcPr>
                <w:p w14:paraId="4C07B2D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通风</w:t>
                  </w:r>
                </w:p>
              </w:tc>
              <w:tc>
                <w:tcPr>
                  <w:tcW w:w="346" w:type="pct"/>
                  <w:tcBorders>
                    <w:tl2br w:val="nil"/>
                    <w:tr2bl w:val="nil"/>
                  </w:tcBorders>
                  <w:vAlign w:val="center"/>
                </w:tcPr>
                <w:p w14:paraId="06F58427">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0.112</w:t>
                  </w:r>
                </w:p>
              </w:tc>
              <w:tc>
                <w:tcPr>
                  <w:tcW w:w="399" w:type="pct"/>
                  <w:tcBorders>
                    <w:tl2br w:val="nil"/>
                    <w:tr2bl w:val="nil"/>
                  </w:tcBorders>
                  <w:vAlign w:val="center"/>
                </w:tcPr>
                <w:p w14:paraId="6BDA484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471" w:type="pct"/>
                  <w:tcBorders>
                    <w:tl2br w:val="nil"/>
                    <w:tr2bl w:val="nil"/>
                  </w:tcBorders>
                  <w:vAlign w:val="center"/>
                </w:tcPr>
                <w:p w14:paraId="5C98372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232" w:type="pct"/>
                  <w:vMerge w:val="continue"/>
                  <w:tcBorders>
                    <w:tl2br w:val="nil"/>
                    <w:tr2bl w:val="nil"/>
                  </w:tcBorders>
                  <w:vAlign w:val="center"/>
                </w:tcPr>
                <w:p w14:paraId="51B59673">
                  <w:pPr>
                    <w:widowControl/>
                    <w:spacing w:line="240" w:lineRule="auto"/>
                    <w:ind w:firstLine="0" w:firstLineChars="0"/>
                    <w:jc w:val="center"/>
                    <w:rPr>
                      <w:rFonts w:hint="default" w:ascii="Times New Roman" w:hAnsi="Times New Roman" w:cs="Times New Roman"/>
                      <w:color w:val="auto"/>
                      <w:kern w:val="0"/>
                      <w:sz w:val="21"/>
                      <w:szCs w:val="21"/>
                    </w:rPr>
                  </w:pPr>
                </w:p>
              </w:tc>
              <w:tc>
                <w:tcPr>
                  <w:tcW w:w="246" w:type="pct"/>
                  <w:vMerge w:val="continue"/>
                  <w:tcBorders>
                    <w:tl2br w:val="nil"/>
                    <w:tr2bl w:val="nil"/>
                  </w:tcBorders>
                  <w:vAlign w:val="center"/>
                </w:tcPr>
                <w:p w14:paraId="047C85E6">
                  <w:pPr>
                    <w:widowControl/>
                    <w:spacing w:line="240" w:lineRule="auto"/>
                    <w:ind w:firstLine="0" w:firstLineChars="0"/>
                    <w:jc w:val="center"/>
                    <w:rPr>
                      <w:rFonts w:hint="default" w:ascii="Times New Roman" w:hAnsi="Times New Roman" w:cs="Times New Roman"/>
                      <w:color w:val="auto"/>
                      <w:kern w:val="0"/>
                      <w:sz w:val="21"/>
                      <w:szCs w:val="21"/>
                    </w:rPr>
                  </w:pPr>
                </w:p>
              </w:tc>
              <w:tc>
                <w:tcPr>
                  <w:tcW w:w="364" w:type="pct"/>
                  <w:tcBorders>
                    <w:tl2br w:val="nil"/>
                    <w:tr2bl w:val="nil"/>
                  </w:tcBorders>
                  <w:vAlign w:val="center"/>
                </w:tcPr>
                <w:p w14:paraId="3E84625D">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4.0</w:t>
                  </w:r>
                </w:p>
              </w:tc>
            </w:tr>
            <w:tr w14:paraId="693EC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restart"/>
                  <w:tcBorders>
                    <w:tl2br w:val="nil"/>
                    <w:tr2bl w:val="nil"/>
                  </w:tcBorders>
                  <w:shd w:val="clear" w:color="auto" w:fill="auto"/>
                  <w:vAlign w:val="center"/>
                </w:tcPr>
                <w:p w14:paraId="392693E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复合工序（DA002）</w:t>
                  </w:r>
                </w:p>
              </w:tc>
              <w:tc>
                <w:tcPr>
                  <w:tcW w:w="164" w:type="pct"/>
                  <w:vMerge w:val="restart"/>
                  <w:tcBorders>
                    <w:tl2br w:val="nil"/>
                    <w:tr2bl w:val="nil"/>
                  </w:tcBorders>
                  <w:vAlign w:val="center"/>
                </w:tcPr>
                <w:p w14:paraId="4877490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非甲烷总烃</w:t>
                  </w:r>
                </w:p>
              </w:tc>
              <w:tc>
                <w:tcPr>
                  <w:tcW w:w="286" w:type="pct"/>
                  <w:vMerge w:val="restart"/>
                  <w:tcBorders>
                    <w:tl2br w:val="nil"/>
                    <w:tr2bl w:val="nil"/>
                  </w:tcBorders>
                  <w:vAlign w:val="center"/>
                </w:tcPr>
                <w:p w14:paraId="31FA62EB">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14490</w:t>
                  </w:r>
                </w:p>
              </w:tc>
              <w:tc>
                <w:tcPr>
                  <w:tcW w:w="291" w:type="pct"/>
                  <w:vMerge w:val="restart"/>
                  <w:tcBorders>
                    <w:tl2br w:val="nil"/>
                    <w:tr2bl w:val="nil"/>
                  </w:tcBorders>
                  <w:vAlign w:val="center"/>
                </w:tcPr>
                <w:p w14:paraId="1A76A7F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2240</w:t>
                  </w:r>
                </w:p>
              </w:tc>
              <w:tc>
                <w:tcPr>
                  <w:tcW w:w="336" w:type="pct"/>
                  <w:tcBorders>
                    <w:tl2br w:val="nil"/>
                    <w:tr2bl w:val="nil"/>
                  </w:tcBorders>
                  <w:vAlign w:val="center"/>
                </w:tcPr>
                <w:p w14:paraId="3C06B3FB">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1.624</w:t>
                  </w:r>
                </w:p>
              </w:tc>
              <w:tc>
                <w:tcPr>
                  <w:tcW w:w="399" w:type="pct"/>
                  <w:tcBorders>
                    <w:tl2br w:val="nil"/>
                    <w:tr2bl w:val="nil"/>
                  </w:tcBorders>
                  <w:vAlign w:val="center"/>
                </w:tcPr>
                <w:p w14:paraId="3B7822CB">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0.73</w:t>
                  </w:r>
                </w:p>
              </w:tc>
              <w:tc>
                <w:tcPr>
                  <w:tcW w:w="471" w:type="pct"/>
                  <w:tcBorders>
                    <w:tl2br w:val="nil"/>
                    <w:tr2bl w:val="nil"/>
                  </w:tcBorders>
                  <w:vAlign w:val="center"/>
                </w:tcPr>
                <w:p w14:paraId="1178901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50.03</w:t>
                  </w:r>
                </w:p>
              </w:tc>
              <w:tc>
                <w:tcPr>
                  <w:tcW w:w="164" w:type="pct"/>
                  <w:tcBorders>
                    <w:tl2br w:val="nil"/>
                    <w:tr2bl w:val="nil"/>
                  </w:tcBorders>
                  <w:shd w:val="clear" w:color="auto" w:fill="auto"/>
                  <w:vAlign w:val="center"/>
                </w:tcPr>
                <w:p w14:paraId="4127FEE5">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有组织</w:t>
                  </w:r>
                </w:p>
              </w:tc>
              <w:tc>
                <w:tcPr>
                  <w:tcW w:w="337" w:type="pct"/>
                  <w:tcBorders>
                    <w:tl2br w:val="nil"/>
                    <w:tr2bl w:val="nil"/>
                  </w:tcBorders>
                  <w:vAlign w:val="center"/>
                </w:tcPr>
                <w:p w14:paraId="0F89EEB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二级活性炭吸附装置+15m高排气筒</w:t>
                  </w:r>
                </w:p>
              </w:tc>
              <w:tc>
                <w:tcPr>
                  <w:tcW w:w="346" w:type="pct"/>
                  <w:tcBorders>
                    <w:tl2br w:val="nil"/>
                    <w:tr2bl w:val="nil"/>
                  </w:tcBorders>
                  <w:vAlign w:val="center"/>
                </w:tcPr>
                <w:p w14:paraId="3A4923A3">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1.039</w:t>
                  </w:r>
                </w:p>
              </w:tc>
              <w:tc>
                <w:tcPr>
                  <w:tcW w:w="399" w:type="pct"/>
                  <w:tcBorders>
                    <w:tl2br w:val="nil"/>
                    <w:tr2bl w:val="nil"/>
                  </w:tcBorders>
                  <w:vAlign w:val="center"/>
                </w:tcPr>
                <w:p w14:paraId="38D96458">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0.46</w:t>
                  </w:r>
                </w:p>
              </w:tc>
              <w:tc>
                <w:tcPr>
                  <w:tcW w:w="471" w:type="pct"/>
                  <w:tcBorders>
                    <w:tl2br w:val="nil"/>
                    <w:tr2bl w:val="nil"/>
                  </w:tcBorders>
                  <w:vAlign w:val="center"/>
                </w:tcPr>
                <w:p w14:paraId="768E6953">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32.02</w:t>
                  </w:r>
                </w:p>
              </w:tc>
              <w:tc>
                <w:tcPr>
                  <w:tcW w:w="232" w:type="pct"/>
                  <w:vMerge w:val="restart"/>
                  <w:tcBorders>
                    <w:tl2br w:val="nil"/>
                    <w:tr2bl w:val="nil"/>
                  </w:tcBorders>
                  <w:vAlign w:val="center"/>
                </w:tcPr>
                <w:p w14:paraId="2341744A">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80%</w:t>
                  </w:r>
                </w:p>
              </w:tc>
              <w:tc>
                <w:tcPr>
                  <w:tcW w:w="246" w:type="pct"/>
                  <w:vMerge w:val="restart"/>
                  <w:tcBorders>
                    <w:tl2br w:val="nil"/>
                    <w:tr2bl w:val="nil"/>
                  </w:tcBorders>
                  <w:vAlign w:val="center"/>
                </w:tcPr>
                <w:p w14:paraId="277F7D59">
                  <w:pPr>
                    <w:widowControl/>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kern w:val="0"/>
                      <w:sz w:val="21"/>
                      <w:szCs w:val="21"/>
                      <w:lang w:eastAsia="zh-CN"/>
                    </w:rPr>
                    <w:t>36%</w:t>
                  </w:r>
                </w:p>
              </w:tc>
              <w:tc>
                <w:tcPr>
                  <w:tcW w:w="364" w:type="pct"/>
                  <w:tcBorders>
                    <w:tl2br w:val="nil"/>
                    <w:tr2bl w:val="nil"/>
                  </w:tcBorders>
                  <w:vAlign w:val="center"/>
                </w:tcPr>
                <w:p w14:paraId="4ED386D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60</w:t>
                  </w:r>
                </w:p>
              </w:tc>
            </w:tr>
            <w:tr w14:paraId="3F568D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continue"/>
                  <w:tcBorders>
                    <w:tl2br w:val="nil"/>
                    <w:tr2bl w:val="nil"/>
                  </w:tcBorders>
                  <w:vAlign w:val="center"/>
                </w:tcPr>
                <w:p w14:paraId="0CF1BB93">
                  <w:pPr>
                    <w:widowControl/>
                    <w:spacing w:line="240" w:lineRule="auto"/>
                    <w:ind w:firstLine="0" w:firstLineChars="0"/>
                    <w:jc w:val="center"/>
                    <w:rPr>
                      <w:rFonts w:hint="default" w:ascii="Times New Roman" w:hAnsi="Times New Roman" w:cs="Times New Roman"/>
                      <w:color w:val="auto"/>
                      <w:kern w:val="0"/>
                      <w:sz w:val="21"/>
                      <w:szCs w:val="21"/>
                    </w:rPr>
                  </w:pPr>
                </w:p>
              </w:tc>
              <w:tc>
                <w:tcPr>
                  <w:tcW w:w="164" w:type="pct"/>
                  <w:vMerge w:val="continue"/>
                  <w:tcBorders>
                    <w:tl2br w:val="nil"/>
                    <w:tr2bl w:val="nil"/>
                  </w:tcBorders>
                  <w:vAlign w:val="center"/>
                </w:tcPr>
                <w:p w14:paraId="77BD25B5">
                  <w:pPr>
                    <w:widowControl/>
                    <w:spacing w:line="240" w:lineRule="auto"/>
                    <w:ind w:firstLine="0" w:firstLineChars="0"/>
                    <w:jc w:val="center"/>
                    <w:rPr>
                      <w:rFonts w:hint="default" w:ascii="Times New Roman" w:hAnsi="Times New Roman" w:cs="Times New Roman"/>
                      <w:color w:val="auto"/>
                      <w:kern w:val="0"/>
                      <w:sz w:val="21"/>
                      <w:szCs w:val="21"/>
                    </w:rPr>
                  </w:pPr>
                </w:p>
              </w:tc>
              <w:tc>
                <w:tcPr>
                  <w:tcW w:w="286" w:type="pct"/>
                  <w:vMerge w:val="continue"/>
                  <w:tcBorders>
                    <w:tl2br w:val="nil"/>
                    <w:tr2bl w:val="nil"/>
                  </w:tcBorders>
                  <w:vAlign w:val="center"/>
                </w:tcPr>
                <w:p w14:paraId="5D74BE6F">
                  <w:pPr>
                    <w:widowControl/>
                    <w:spacing w:line="240" w:lineRule="auto"/>
                    <w:ind w:firstLine="0" w:firstLineChars="0"/>
                    <w:jc w:val="center"/>
                    <w:rPr>
                      <w:rFonts w:hint="default" w:ascii="Times New Roman" w:hAnsi="Times New Roman" w:cs="Times New Roman"/>
                      <w:color w:val="auto"/>
                      <w:kern w:val="0"/>
                      <w:sz w:val="21"/>
                      <w:szCs w:val="21"/>
                    </w:rPr>
                  </w:pPr>
                </w:p>
              </w:tc>
              <w:tc>
                <w:tcPr>
                  <w:tcW w:w="291" w:type="pct"/>
                  <w:vMerge w:val="continue"/>
                  <w:tcBorders>
                    <w:tl2br w:val="nil"/>
                    <w:tr2bl w:val="nil"/>
                  </w:tcBorders>
                  <w:vAlign w:val="center"/>
                </w:tcPr>
                <w:p w14:paraId="76453340">
                  <w:pPr>
                    <w:widowControl/>
                    <w:spacing w:line="240" w:lineRule="auto"/>
                    <w:ind w:firstLine="0" w:firstLineChars="0"/>
                    <w:jc w:val="center"/>
                    <w:rPr>
                      <w:rFonts w:hint="default" w:ascii="Times New Roman" w:hAnsi="Times New Roman" w:cs="Times New Roman"/>
                      <w:color w:val="auto"/>
                      <w:kern w:val="0"/>
                      <w:sz w:val="21"/>
                      <w:szCs w:val="21"/>
                    </w:rPr>
                  </w:pPr>
                </w:p>
              </w:tc>
              <w:tc>
                <w:tcPr>
                  <w:tcW w:w="336" w:type="pct"/>
                  <w:tcBorders>
                    <w:tl2br w:val="nil"/>
                    <w:tr2bl w:val="nil"/>
                  </w:tcBorders>
                  <w:vAlign w:val="center"/>
                </w:tcPr>
                <w:p w14:paraId="679460C7">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399" w:type="pct"/>
                  <w:tcBorders>
                    <w:tl2br w:val="nil"/>
                    <w:tr2bl w:val="nil"/>
                  </w:tcBorders>
                  <w:vAlign w:val="center"/>
                </w:tcPr>
                <w:p w14:paraId="603C5CA8">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471" w:type="pct"/>
                  <w:tcBorders>
                    <w:tl2br w:val="nil"/>
                    <w:tr2bl w:val="nil"/>
                  </w:tcBorders>
                  <w:vAlign w:val="center"/>
                </w:tcPr>
                <w:p w14:paraId="5D53D8B6">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164" w:type="pct"/>
                  <w:tcBorders>
                    <w:tl2br w:val="nil"/>
                    <w:tr2bl w:val="nil"/>
                  </w:tcBorders>
                  <w:shd w:val="clear" w:color="auto" w:fill="auto"/>
                  <w:vAlign w:val="center"/>
                </w:tcPr>
                <w:p w14:paraId="4E72299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无组织</w:t>
                  </w:r>
                </w:p>
              </w:tc>
              <w:tc>
                <w:tcPr>
                  <w:tcW w:w="337" w:type="pct"/>
                  <w:tcBorders>
                    <w:tl2br w:val="nil"/>
                    <w:tr2bl w:val="nil"/>
                  </w:tcBorders>
                  <w:vAlign w:val="center"/>
                </w:tcPr>
                <w:p w14:paraId="2CCE0CF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通风</w:t>
                  </w:r>
                </w:p>
              </w:tc>
              <w:tc>
                <w:tcPr>
                  <w:tcW w:w="346" w:type="pct"/>
                  <w:tcBorders>
                    <w:tl2br w:val="nil"/>
                    <w:tr2bl w:val="nil"/>
                  </w:tcBorders>
                  <w:vAlign w:val="center"/>
                </w:tcPr>
                <w:p w14:paraId="099F7AE7">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0.406</w:t>
                  </w:r>
                </w:p>
              </w:tc>
              <w:tc>
                <w:tcPr>
                  <w:tcW w:w="399" w:type="pct"/>
                  <w:tcBorders>
                    <w:tl2br w:val="nil"/>
                    <w:tr2bl w:val="nil"/>
                  </w:tcBorders>
                  <w:vAlign w:val="center"/>
                </w:tcPr>
                <w:p w14:paraId="70F5C6A8">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471" w:type="pct"/>
                  <w:tcBorders>
                    <w:tl2br w:val="nil"/>
                    <w:tr2bl w:val="nil"/>
                  </w:tcBorders>
                  <w:vAlign w:val="center"/>
                </w:tcPr>
                <w:p w14:paraId="3FF13B9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232" w:type="pct"/>
                  <w:vMerge w:val="continue"/>
                  <w:tcBorders>
                    <w:tl2br w:val="nil"/>
                    <w:tr2bl w:val="nil"/>
                  </w:tcBorders>
                  <w:vAlign w:val="center"/>
                </w:tcPr>
                <w:p w14:paraId="0E12CCB2">
                  <w:pPr>
                    <w:widowControl/>
                    <w:spacing w:line="240" w:lineRule="auto"/>
                    <w:ind w:firstLine="0" w:firstLineChars="0"/>
                    <w:jc w:val="center"/>
                    <w:rPr>
                      <w:rFonts w:hint="default" w:ascii="Times New Roman" w:hAnsi="Times New Roman" w:cs="Times New Roman"/>
                      <w:color w:val="auto"/>
                      <w:kern w:val="0"/>
                      <w:sz w:val="21"/>
                      <w:szCs w:val="21"/>
                    </w:rPr>
                  </w:pPr>
                </w:p>
              </w:tc>
              <w:tc>
                <w:tcPr>
                  <w:tcW w:w="246" w:type="pct"/>
                  <w:vMerge w:val="continue"/>
                  <w:tcBorders>
                    <w:tl2br w:val="nil"/>
                    <w:tr2bl w:val="nil"/>
                  </w:tcBorders>
                  <w:vAlign w:val="center"/>
                </w:tcPr>
                <w:p w14:paraId="24D87D46">
                  <w:pPr>
                    <w:widowControl/>
                    <w:spacing w:line="240" w:lineRule="auto"/>
                    <w:ind w:firstLine="0" w:firstLineChars="0"/>
                    <w:jc w:val="center"/>
                    <w:rPr>
                      <w:rFonts w:hint="default" w:ascii="Times New Roman" w:hAnsi="Times New Roman" w:cs="Times New Roman"/>
                      <w:color w:val="auto"/>
                      <w:kern w:val="0"/>
                      <w:sz w:val="21"/>
                      <w:szCs w:val="21"/>
                    </w:rPr>
                  </w:pPr>
                </w:p>
              </w:tc>
              <w:tc>
                <w:tcPr>
                  <w:tcW w:w="364" w:type="pct"/>
                  <w:tcBorders>
                    <w:tl2br w:val="nil"/>
                    <w:tr2bl w:val="nil"/>
                  </w:tcBorders>
                  <w:vAlign w:val="center"/>
                </w:tcPr>
                <w:p w14:paraId="557225B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4.0</w:t>
                  </w:r>
                </w:p>
              </w:tc>
            </w:tr>
            <w:tr w14:paraId="61F5F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restart"/>
                  <w:tcBorders>
                    <w:tl2br w:val="nil"/>
                    <w:tr2bl w:val="nil"/>
                  </w:tcBorders>
                  <w:shd w:val="clear" w:color="auto" w:fill="auto"/>
                  <w:vAlign w:val="center"/>
                </w:tcPr>
                <w:p w14:paraId="431E3E1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粘合工序（DA003）</w:t>
                  </w:r>
                </w:p>
              </w:tc>
              <w:tc>
                <w:tcPr>
                  <w:tcW w:w="164" w:type="pct"/>
                  <w:vMerge w:val="restart"/>
                  <w:tcBorders>
                    <w:tl2br w:val="nil"/>
                    <w:tr2bl w:val="nil"/>
                  </w:tcBorders>
                  <w:vAlign w:val="center"/>
                </w:tcPr>
                <w:p w14:paraId="158FCB6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非甲烷总烃</w:t>
                  </w:r>
                </w:p>
              </w:tc>
              <w:tc>
                <w:tcPr>
                  <w:tcW w:w="286" w:type="pct"/>
                  <w:vMerge w:val="restart"/>
                  <w:tcBorders>
                    <w:tl2br w:val="nil"/>
                    <w:tr2bl w:val="nil"/>
                  </w:tcBorders>
                  <w:vAlign w:val="center"/>
                </w:tcPr>
                <w:p w14:paraId="66A03CBA">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30000</w:t>
                  </w:r>
                </w:p>
              </w:tc>
              <w:tc>
                <w:tcPr>
                  <w:tcW w:w="291" w:type="pct"/>
                  <w:vMerge w:val="restart"/>
                  <w:tcBorders>
                    <w:tl2br w:val="nil"/>
                    <w:tr2bl w:val="nil"/>
                  </w:tcBorders>
                  <w:vAlign w:val="center"/>
                </w:tcPr>
                <w:p w14:paraId="022B264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2240</w:t>
                  </w:r>
                </w:p>
              </w:tc>
              <w:tc>
                <w:tcPr>
                  <w:tcW w:w="336" w:type="pct"/>
                  <w:tcBorders>
                    <w:tl2br w:val="nil"/>
                    <w:tr2bl w:val="nil"/>
                  </w:tcBorders>
                  <w:vAlign w:val="center"/>
                </w:tcPr>
                <w:p w14:paraId="3D1D7BEF">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1.930</w:t>
                  </w:r>
                </w:p>
              </w:tc>
              <w:tc>
                <w:tcPr>
                  <w:tcW w:w="399" w:type="pct"/>
                  <w:tcBorders>
                    <w:tl2br w:val="nil"/>
                    <w:tr2bl w:val="nil"/>
                  </w:tcBorders>
                  <w:vAlign w:val="center"/>
                </w:tcPr>
                <w:p w14:paraId="76870E4E">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0.86</w:t>
                  </w:r>
                </w:p>
              </w:tc>
              <w:tc>
                <w:tcPr>
                  <w:tcW w:w="471" w:type="pct"/>
                  <w:tcBorders>
                    <w:tl2br w:val="nil"/>
                    <w:tr2bl w:val="nil"/>
                  </w:tcBorders>
                  <w:vAlign w:val="center"/>
                </w:tcPr>
                <w:p w14:paraId="5FB665D1">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28.71</w:t>
                  </w:r>
                </w:p>
              </w:tc>
              <w:tc>
                <w:tcPr>
                  <w:tcW w:w="164" w:type="pct"/>
                  <w:tcBorders>
                    <w:tl2br w:val="nil"/>
                    <w:tr2bl w:val="nil"/>
                  </w:tcBorders>
                  <w:shd w:val="clear" w:color="auto" w:fill="auto"/>
                  <w:vAlign w:val="center"/>
                </w:tcPr>
                <w:p w14:paraId="2F1998A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有组织</w:t>
                  </w:r>
                </w:p>
              </w:tc>
              <w:tc>
                <w:tcPr>
                  <w:tcW w:w="337" w:type="pct"/>
                  <w:tcBorders>
                    <w:tl2br w:val="nil"/>
                    <w:tr2bl w:val="nil"/>
                  </w:tcBorders>
                  <w:vAlign w:val="center"/>
                </w:tcPr>
                <w:p w14:paraId="1346777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二级活性炭吸附装置+15m高排气筒</w:t>
                  </w:r>
                </w:p>
              </w:tc>
              <w:tc>
                <w:tcPr>
                  <w:tcW w:w="346" w:type="pct"/>
                  <w:tcBorders>
                    <w:tl2br w:val="nil"/>
                    <w:tr2bl w:val="nil"/>
                  </w:tcBorders>
                  <w:vAlign w:val="center"/>
                </w:tcPr>
                <w:p w14:paraId="01785C2A">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1.235</w:t>
                  </w:r>
                </w:p>
              </w:tc>
              <w:tc>
                <w:tcPr>
                  <w:tcW w:w="399" w:type="pct"/>
                  <w:tcBorders>
                    <w:tl2br w:val="nil"/>
                    <w:tr2bl w:val="nil"/>
                  </w:tcBorders>
                  <w:vAlign w:val="center"/>
                </w:tcPr>
                <w:p w14:paraId="60AFC75A">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0.55</w:t>
                  </w:r>
                </w:p>
              </w:tc>
              <w:tc>
                <w:tcPr>
                  <w:tcW w:w="471" w:type="pct"/>
                  <w:tcBorders>
                    <w:tl2br w:val="nil"/>
                    <w:tr2bl w:val="nil"/>
                  </w:tcBorders>
                  <w:vAlign w:val="center"/>
                </w:tcPr>
                <w:p w14:paraId="2534A25E">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18.38</w:t>
                  </w:r>
                </w:p>
              </w:tc>
              <w:tc>
                <w:tcPr>
                  <w:tcW w:w="232" w:type="pct"/>
                  <w:vMerge w:val="restart"/>
                  <w:tcBorders>
                    <w:tl2br w:val="nil"/>
                    <w:tr2bl w:val="nil"/>
                  </w:tcBorders>
                  <w:vAlign w:val="center"/>
                </w:tcPr>
                <w:p w14:paraId="0CD17511">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80%</w:t>
                  </w:r>
                </w:p>
              </w:tc>
              <w:tc>
                <w:tcPr>
                  <w:tcW w:w="246" w:type="pct"/>
                  <w:vMerge w:val="restart"/>
                  <w:tcBorders>
                    <w:tl2br w:val="nil"/>
                    <w:tr2bl w:val="nil"/>
                  </w:tcBorders>
                  <w:vAlign w:val="center"/>
                </w:tcPr>
                <w:p w14:paraId="73084B14">
                  <w:pPr>
                    <w:widowControl/>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kern w:val="0"/>
                      <w:sz w:val="21"/>
                      <w:szCs w:val="21"/>
                      <w:lang w:eastAsia="zh-CN"/>
                    </w:rPr>
                    <w:t>36%</w:t>
                  </w:r>
                </w:p>
              </w:tc>
              <w:tc>
                <w:tcPr>
                  <w:tcW w:w="364" w:type="pct"/>
                  <w:tcBorders>
                    <w:tl2br w:val="nil"/>
                    <w:tr2bl w:val="nil"/>
                  </w:tcBorders>
                  <w:vAlign w:val="center"/>
                </w:tcPr>
                <w:p w14:paraId="49D3B61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60</w:t>
                  </w:r>
                </w:p>
              </w:tc>
            </w:tr>
            <w:tr w14:paraId="1D0323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continue"/>
                  <w:tcBorders>
                    <w:tl2br w:val="nil"/>
                    <w:tr2bl w:val="nil"/>
                  </w:tcBorders>
                  <w:vAlign w:val="center"/>
                </w:tcPr>
                <w:p w14:paraId="5243C788">
                  <w:pPr>
                    <w:widowControl/>
                    <w:spacing w:line="240" w:lineRule="auto"/>
                    <w:ind w:firstLine="0" w:firstLineChars="0"/>
                    <w:jc w:val="center"/>
                    <w:rPr>
                      <w:rFonts w:hint="default" w:ascii="Times New Roman" w:hAnsi="Times New Roman" w:cs="Times New Roman"/>
                      <w:color w:val="auto"/>
                      <w:kern w:val="0"/>
                      <w:sz w:val="21"/>
                      <w:szCs w:val="21"/>
                    </w:rPr>
                  </w:pPr>
                </w:p>
              </w:tc>
              <w:tc>
                <w:tcPr>
                  <w:tcW w:w="164" w:type="pct"/>
                  <w:vMerge w:val="continue"/>
                  <w:tcBorders>
                    <w:tl2br w:val="nil"/>
                    <w:tr2bl w:val="nil"/>
                  </w:tcBorders>
                  <w:vAlign w:val="center"/>
                </w:tcPr>
                <w:p w14:paraId="5FFAEDCA">
                  <w:pPr>
                    <w:widowControl/>
                    <w:spacing w:line="240" w:lineRule="auto"/>
                    <w:ind w:firstLine="0" w:firstLineChars="0"/>
                    <w:jc w:val="center"/>
                    <w:rPr>
                      <w:rFonts w:hint="default" w:ascii="Times New Roman" w:hAnsi="Times New Roman" w:cs="Times New Roman"/>
                      <w:color w:val="auto"/>
                      <w:kern w:val="0"/>
                      <w:sz w:val="21"/>
                      <w:szCs w:val="21"/>
                    </w:rPr>
                  </w:pPr>
                </w:p>
              </w:tc>
              <w:tc>
                <w:tcPr>
                  <w:tcW w:w="286" w:type="pct"/>
                  <w:vMerge w:val="continue"/>
                  <w:tcBorders>
                    <w:tl2br w:val="nil"/>
                    <w:tr2bl w:val="nil"/>
                  </w:tcBorders>
                  <w:vAlign w:val="center"/>
                </w:tcPr>
                <w:p w14:paraId="461C9245">
                  <w:pPr>
                    <w:widowControl/>
                    <w:spacing w:line="240" w:lineRule="auto"/>
                    <w:ind w:firstLine="0" w:firstLineChars="0"/>
                    <w:jc w:val="center"/>
                    <w:rPr>
                      <w:rFonts w:hint="default" w:ascii="Times New Roman" w:hAnsi="Times New Roman" w:cs="Times New Roman"/>
                      <w:color w:val="auto"/>
                      <w:kern w:val="0"/>
                      <w:sz w:val="21"/>
                      <w:szCs w:val="21"/>
                    </w:rPr>
                  </w:pPr>
                </w:p>
              </w:tc>
              <w:tc>
                <w:tcPr>
                  <w:tcW w:w="291" w:type="pct"/>
                  <w:vMerge w:val="continue"/>
                  <w:tcBorders>
                    <w:tl2br w:val="nil"/>
                    <w:tr2bl w:val="nil"/>
                  </w:tcBorders>
                  <w:vAlign w:val="center"/>
                </w:tcPr>
                <w:p w14:paraId="2A045FAD">
                  <w:pPr>
                    <w:widowControl/>
                    <w:spacing w:line="240" w:lineRule="auto"/>
                    <w:ind w:firstLine="0" w:firstLineChars="0"/>
                    <w:jc w:val="center"/>
                    <w:rPr>
                      <w:rFonts w:hint="default" w:ascii="Times New Roman" w:hAnsi="Times New Roman" w:cs="Times New Roman"/>
                      <w:color w:val="auto"/>
                      <w:kern w:val="0"/>
                      <w:sz w:val="21"/>
                      <w:szCs w:val="21"/>
                    </w:rPr>
                  </w:pPr>
                </w:p>
              </w:tc>
              <w:tc>
                <w:tcPr>
                  <w:tcW w:w="336" w:type="pct"/>
                  <w:tcBorders>
                    <w:tl2br w:val="nil"/>
                    <w:tr2bl w:val="nil"/>
                  </w:tcBorders>
                  <w:vAlign w:val="center"/>
                </w:tcPr>
                <w:p w14:paraId="2C546266">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399" w:type="pct"/>
                  <w:tcBorders>
                    <w:tl2br w:val="nil"/>
                    <w:tr2bl w:val="nil"/>
                  </w:tcBorders>
                  <w:vAlign w:val="center"/>
                </w:tcPr>
                <w:p w14:paraId="6CEA2DC3">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471" w:type="pct"/>
                  <w:tcBorders>
                    <w:tl2br w:val="nil"/>
                    <w:tr2bl w:val="nil"/>
                  </w:tcBorders>
                  <w:vAlign w:val="center"/>
                </w:tcPr>
                <w:p w14:paraId="721E5AE9">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164" w:type="pct"/>
                  <w:tcBorders>
                    <w:tl2br w:val="nil"/>
                    <w:tr2bl w:val="nil"/>
                  </w:tcBorders>
                  <w:shd w:val="clear" w:color="auto" w:fill="auto"/>
                  <w:vAlign w:val="center"/>
                </w:tcPr>
                <w:p w14:paraId="571EACAA">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无组织</w:t>
                  </w:r>
                </w:p>
              </w:tc>
              <w:tc>
                <w:tcPr>
                  <w:tcW w:w="337" w:type="pct"/>
                  <w:tcBorders>
                    <w:tl2br w:val="nil"/>
                    <w:tr2bl w:val="nil"/>
                  </w:tcBorders>
                  <w:vAlign w:val="center"/>
                </w:tcPr>
                <w:p w14:paraId="2D80BB11">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通风</w:t>
                  </w:r>
                </w:p>
              </w:tc>
              <w:tc>
                <w:tcPr>
                  <w:tcW w:w="346" w:type="pct"/>
                  <w:tcBorders>
                    <w:tl2br w:val="nil"/>
                    <w:tr2bl w:val="nil"/>
                  </w:tcBorders>
                  <w:vAlign w:val="center"/>
                </w:tcPr>
                <w:p w14:paraId="38A90792">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0.482</w:t>
                  </w:r>
                </w:p>
              </w:tc>
              <w:tc>
                <w:tcPr>
                  <w:tcW w:w="399" w:type="pct"/>
                  <w:tcBorders>
                    <w:tl2br w:val="nil"/>
                    <w:tr2bl w:val="nil"/>
                  </w:tcBorders>
                  <w:vAlign w:val="center"/>
                </w:tcPr>
                <w:p w14:paraId="71E9B103">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471" w:type="pct"/>
                  <w:tcBorders>
                    <w:tl2br w:val="nil"/>
                    <w:tr2bl w:val="nil"/>
                  </w:tcBorders>
                  <w:vAlign w:val="center"/>
                </w:tcPr>
                <w:p w14:paraId="47B5C97D">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232" w:type="pct"/>
                  <w:vMerge w:val="continue"/>
                  <w:tcBorders>
                    <w:tl2br w:val="nil"/>
                    <w:tr2bl w:val="nil"/>
                  </w:tcBorders>
                  <w:vAlign w:val="center"/>
                </w:tcPr>
                <w:p w14:paraId="75E33157">
                  <w:pPr>
                    <w:widowControl/>
                    <w:spacing w:line="240" w:lineRule="auto"/>
                    <w:ind w:firstLine="0" w:firstLineChars="0"/>
                    <w:jc w:val="center"/>
                    <w:rPr>
                      <w:rFonts w:hint="default" w:ascii="Times New Roman" w:hAnsi="Times New Roman" w:cs="Times New Roman"/>
                      <w:color w:val="auto"/>
                      <w:kern w:val="0"/>
                      <w:sz w:val="21"/>
                      <w:szCs w:val="21"/>
                    </w:rPr>
                  </w:pPr>
                </w:p>
              </w:tc>
              <w:tc>
                <w:tcPr>
                  <w:tcW w:w="246" w:type="pct"/>
                  <w:vMerge w:val="continue"/>
                  <w:tcBorders>
                    <w:tl2br w:val="nil"/>
                    <w:tr2bl w:val="nil"/>
                  </w:tcBorders>
                  <w:vAlign w:val="center"/>
                </w:tcPr>
                <w:p w14:paraId="52B35BDC">
                  <w:pPr>
                    <w:widowControl/>
                    <w:spacing w:line="240" w:lineRule="auto"/>
                    <w:ind w:firstLine="0" w:firstLineChars="0"/>
                    <w:jc w:val="center"/>
                    <w:rPr>
                      <w:rFonts w:hint="default" w:ascii="Times New Roman" w:hAnsi="Times New Roman" w:cs="Times New Roman"/>
                      <w:color w:val="auto"/>
                      <w:kern w:val="0"/>
                      <w:sz w:val="21"/>
                      <w:szCs w:val="21"/>
                    </w:rPr>
                  </w:pPr>
                </w:p>
              </w:tc>
              <w:tc>
                <w:tcPr>
                  <w:tcW w:w="364" w:type="pct"/>
                  <w:tcBorders>
                    <w:tl2br w:val="nil"/>
                    <w:tr2bl w:val="nil"/>
                  </w:tcBorders>
                  <w:vAlign w:val="center"/>
                </w:tcPr>
                <w:p w14:paraId="1837485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4.0</w:t>
                  </w:r>
                </w:p>
              </w:tc>
            </w:tr>
            <w:tr w14:paraId="16D22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restart"/>
                  <w:tcBorders>
                    <w:tl2br w:val="nil"/>
                    <w:tr2bl w:val="nil"/>
                  </w:tcBorders>
                  <w:shd w:val="clear" w:color="auto" w:fill="auto"/>
                  <w:vAlign w:val="center"/>
                </w:tcPr>
                <w:p w14:paraId="2757014D">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造粒工序（DA004）</w:t>
                  </w:r>
                </w:p>
              </w:tc>
              <w:tc>
                <w:tcPr>
                  <w:tcW w:w="164" w:type="pct"/>
                  <w:vMerge w:val="restart"/>
                  <w:tcBorders>
                    <w:tl2br w:val="nil"/>
                    <w:tr2bl w:val="nil"/>
                  </w:tcBorders>
                  <w:vAlign w:val="center"/>
                </w:tcPr>
                <w:p w14:paraId="53B707A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非甲烷总烃</w:t>
                  </w:r>
                </w:p>
              </w:tc>
              <w:tc>
                <w:tcPr>
                  <w:tcW w:w="286" w:type="pct"/>
                  <w:vMerge w:val="restart"/>
                  <w:tcBorders>
                    <w:tl2br w:val="nil"/>
                    <w:tr2bl w:val="nil"/>
                  </w:tcBorders>
                  <w:vAlign w:val="center"/>
                </w:tcPr>
                <w:p w14:paraId="24D51E25">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11000</w:t>
                  </w:r>
                </w:p>
              </w:tc>
              <w:tc>
                <w:tcPr>
                  <w:tcW w:w="291" w:type="pct"/>
                  <w:vMerge w:val="restart"/>
                  <w:tcBorders>
                    <w:tl2br w:val="nil"/>
                    <w:tr2bl w:val="nil"/>
                  </w:tcBorders>
                  <w:vAlign w:val="center"/>
                </w:tcPr>
                <w:p w14:paraId="4BA38678">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840</w:t>
                  </w:r>
                </w:p>
              </w:tc>
              <w:tc>
                <w:tcPr>
                  <w:tcW w:w="336" w:type="pct"/>
                  <w:tcBorders>
                    <w:tl2br w:val="nil"/>
                    <w:tr2bl w:val="nil"/>
                  </w:tcBorders>
                  <w:vAlign w:val="center"/>
                </w:tcPr>
                <w:p w14:paraId="3C4B834F">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0.331</w:t>
                  </w:r>
                </w:p>
              </w:tc>
              <w:tc>
                <w:tcPr>
                  <w:tcW w:w="399" w:type="pct"/>
                  <w:tcBorders>
                    <w:tl2br w:val="nil"/>
                    <w:tr2bl w:val="nil"/>
                  </w:tcBorders>
                  <w:vAlign w:val="center"/>
                </w:tcPr>
                <w:p w14:paraId="4AAA784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0.39</w:t>
                  </w:r>
                </w:p>
              </w:tc>
              <w:tc>
                <w:tcPr>
                  <w:tcW w:w="471" w:type="pct"/>
                  <w:tcBorders>
                    <w:tl2br w:val="nil"/>
                    <w:tr2bl w:val="nil"/>
                  </w:tcBorders>
                  <w:vAlign w:val="center"/>
                </w:tcPr>
                <w:p w14:paraId="3C8D395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35.84</w:t>
                  </w:r>
                </w:p>
              </w:tc>
              <w:tc>
                <w:tcPr>
                  <w:tcW w:w="164" w:type="pct"/>
                  <w:tcBorders>
                    <w:tl2br w:val="nil"/>
                    <w:tr2bl w:val="nil"/>
                  </w:tcBorders>
                  <w:shd w:val="clear" w:color="auto" w:fill="auto"/>
                  <w:vAlign w:val="center"/>
                </w:tcPr>
                <w:p w14:paraId="1ED4BB5F">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有组织</w:t>
                  </w:r>
                </w:p>
              </w:tc>
              <w:tc>
                <w:tcPr>
                  <w:tcW w:w="337" w:type="pct"/>
                  <w:tcBorders>
                    <w:tl2br w:val="nil"/>
                    <w:tr2bl w:val="nil"/>
                  </w:tcBorders>
                  <w:vAlign w:val="center"/>
                </w:tcPr>
                <w:p w14:paraId="265293A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二级活性炭吸附装置+15m高排气筒</w:t>
                  </w:r>
                </w:p>
              </w:tc>
              <w:tc>
                <w:tcPr>
                  <w:tcW w:w="346" w:type="pct"/>
                  <w:tcBorders>
                    <w:tl2br w:val="nil"/>
                    <w:tr2bl w:val="nil"/>
                  </w:tcBorders>
                  <w:vAlign w:val="center"/>
                </w:tcPr>
                <w:p w14:paraId="51760A7B">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rPr>
                    <w:t>0.2</w:t>
                  </w:r>
                  <w:r>
                    <w:rPr>
                      <w:rFonts w:hint="default" w:ascii="Times New Roman" w:hAnsi="Times New Roman" w:cs="Times New Roman"/>
                      <w:color w:val="auto"/>
                      <w:kern w:val="0"/>
                      <w:sz w:val="21"/>
                      <w:szCs w:val="21"/>
                      <w:lang w:val="en-US" w:eastAsia="zh-CN"/>
                    </w:rPr>
                    <w:t>12</w:t>
                  </w:r>
                </w:p>
              </w:tc>
              <w:tc>
                <w:tcPr>
                  <w:tcW w:w="399" w:type="pct"/>
                  <w:tcBorders>
                    <w:tl2br w:val="nil"/>
                    <w:tr2bl w:val="nil"/>
                  </w:tcBorders>
                  <w:vAlign w:val="center"/>
                </w:tcPr>
                <w:p w14:paraId="3C2F5478">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0.25</w:t>
                  </w:r>
                </w:p>
              </w:tc>
              <w:tc>
                <w:tcPr>
                  <w:tcW w:w="471" w:type="pct"/>
                  <w:tcBorders>
                    <w:tl2br w:val="nil"/>
                    <w:tr2bl w:val="nil"/>
                  </w:tcBorders>
                  <w:vAlign w:val="center"/>
                </w:tcPr>
                <w:p w14:paraId="081E086E">
                  <w:pPr>
                    <w:widowControl/>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rPr>
                    <w:t>22.</w:t>
                  </w:r>
                  <w:r>
                    <w:rPr>
                      <w:rFonts w:hint="default" w:ascii="Times New Roman" w:hAnsi="Times New Roman" w:cs="Times New Roman"/>
                      <w:color w:val="auto"/>
                      <w:kern w:val="0"/>
                      <w:sz w:val="21"/>
                      <w:szCs w:val="21"/>
                      <w:lang w:val="en-US" w:eastAsia="zh-CN"/>
                    </w:rPr>
                    <w:t>94</w:t>
                  </w:r>
                </w:p>
              </w:tc>
              <w:tc>
                <w:tcPr>
                  <w:tcW w:w="232" w:type="pct"/>
                  <w:vMerge w:val="restart"/>
                  <w:tcBorders>
                    <w:tl2br w:val="nil"/>
                    <w:tr2bl w:val="nil"/>
                  </w:tcBorders>
                  <w:vAlign w:val="center"/>
                </w:tcPr>
                <w:p w14:paraId="0851B7E5">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80%</w:t>
                  </w:r>
                </w:p>
              </w:tc>
              <w:tc>
                <w:tcPr>
                  <w:tcW w:w="246" w:type="pct"/>
                  <w:vMerge w:val="restart"/>
                  <w:tcBorders>
                    <w:tl2br w:val="nil"/>
                    <w:tr2bl w:val="nil"/>
                  </w:tcBorders>
                  <w:vAlign w:val="center"/>
                </w:tcPr>
                <w:p w14:paraId="78E6C5AC">
                  <w:pPr>
                    <w:widowControl/>
                    <w:spacing w:line="240" w:lineRule="auto"/>
                    <w:ind w:firstLine="0" w:firstLineChars="0"/>
                    <w:jc w:val="center"/>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eastAsia="zh-CN"/>
                    </w:rPr>
                    <w:t>36%</w:t>
                  </w:r>
                </w:p>
              </w:tc>
              <w:tc>
                <w:tcPr>
                  <w:tcW w:w="364" w:type="pct"/>
                  <w:tcBorders>
                    <w:tl2br w:val="nil"/>
                    <w:tr2bl w:val="nil"/>
                  </w:tcBorders>
                  <w:vAlign w:val="center"/>
                </w:tcPr>
                <w:p w14:paraId="5B5C7168">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60</w:t>
                  </w:r>
                </w:p>
              </w:tc>
            </w:tr>
            <w:tr w14:paraId="755570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continue"/>
                  <w:tcBorders>
                    <w:tl2br w:val="nil"/>
                    <w:tr2bl w:val="nil"/>
                  </w:tcBorders>
                  <w:shd w:val="clear" w:color="auto" w:fill="auto"/>
                  <w:vAlign w:val="center"/>
                </w:tcPr>
                <w:p w14:paraId="350C7724">
                  <w:pPr>
                    <w:widowControl/>
                    <w:spacing w:line="240" w:lineRule="auto"/>
                    <w:ind w:firstLine="0" w:firstLineChars="0"/>
                    <w:jc w:val="center"/>
                    <w:rPr>
                      <w:rFonts w:hint="default" w:ascii="Times New Roman" w:hAnsi="Times New Roman" w:cs="Times New Roman"/>
                      <w:color w:val="auto"/>
                      <w:kern w:val="0"/>
                      <w:sz w:val="21"/>
                      <w:szCs w:val="21"/>
                    </w:rPr>
                  </w:pPr>
                </w:p>
              </w:tc>
              <w:tc>
                <w:tcPr>
                  <w:tcW w:w="164" w:type="pct"/>
                  <w:vMerge w:val="continue"/>
                  <w:tcBorders>
                    <w:tl2br w:val="nil"/>
                    <w:tr2bl w:val="nil"/>
                  </w:tcBorders>
                  <w:vAlign w:val="center"/>
                </w:tcPr>
                <w:p w14:paraId="434AC016">
                  <w:pPr>
                    <w:widowControl/>
                    <w:spacing w:line="240" w:lineRule="auto"/>
                    <w:ind w:firstLine="0" w:firstLineChars="0"/>
                    <w:jc w:val="center"/>
                    <w:rPr>
                      <w:rFonts w:hint="default" w:ascii="Times New Roman" w:hAnsi="Times New Roman" w:cs="Times New Roman"/>
                      <w:color w:val="auto"/>
                      <w:kern w:val="0"/>
                      <w:sz w:val="21"/>
                      <w:szCs w:val="21"/>
                    </w:rPr>
                  </w:pPr>
                </w:p>
              </w:tc>
              <w:tc>
                <w:tcPr>
                  <w:tcW w:w="286" w:type="pct"/>
                  <w:vMerge w:val="continue"/>
                  <w:tcBorders>
                    <w:tl2br w:val="nil"/>
                    <w:tr2bl w:val="nil"/>
                  </w:tcBorders>
                  <w:vAlign w:val="center"/>
                </w:tcPr>
                <w:p w14:paraId="61D5D71C">
                  <w:pPr>
                    <w:widowControl/>
                    <w:spacing w:line="240" w:lineRule="auto"/>
                    <w:ind w:firstLine="0" w:firstLineChars="0"/>
                    <w:jc w:val="center"/>
                    <w:rPr>
                      <w:rFonts w:hint="default" w:ascii="Times New Roman" w:hAnsi="Times New Roman" w:cs="Times New Roman"/>
                      <w:color w:val="auto"/>
                      <w:kern w:val="0"/>
                      <w:sz w:val="21"/>
                      <w:szCs w:val="21"/>
                    </w:rPr>
                  </w:pPr>
                </w:p>
              </w:tc>
              <w:tc>
                <w:tcPr>
                  <w:tcW w:w="291" w:type="pct"/>
                  <w:vMerge w:val="continue"/>
                  <w:tcBorders>
                    <w:tl2br w:val="nil"/>
                    <w:tr2bl w:val="nil"/>
                  </w:tcBorders>
                  <w:vAlign w:val="center"/>
                </w:tcPr>
                <w:p w14:paraId="669794D4">
                  <w:pPr>
                    <w:widowControl/>
                    <w:spacing w:line="240" w:lineRule="auto"/>
                    <w:ind w:firstLine="0" w:firstLineChars="0"/>
                    <w:jc w:val="center"/>
                    <w:rPr>
                      <w:rFonts w:hint="default" w:ascii="Times New Roman" w:hAnsi="Times New Roman" w:cs="Times New Roman"/>
                      <w:color w:val="auto"/>
                      <w:kern w:val="0"/>
                      <w:sz w:val="21"/>
                      <w:szCs w:val="21"/>
                    </w:rPr>
                  </w:pPr>
                </w:p>
              </w:tc>
              <w:tc>
                <w:tcPr>
                  <w:tcW w:w="336" w:type="pct"/>
                  <w:tcBorders>
                    <w:tl2br w:val="nil"/>
                    <w:tr2bl w:val="nil"/>
                  </w:tcBorders>
                  <w:vAlign w:val="center"/>
                </w:tcPr>
                <w:p w14:paraId="63F3E49E">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399" w:type="pct"/>
                  <w:tcBorders>
                    <w:tl2br w:val="nil"/>
                    <w:tr2bl w:val="nil"/>
                  </w:tcBorders>
                  <w:vAlign w:val="center"/>
                </w:tcPr>
                <w:p w14:paraId="1639E49A">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471" w:type="pct"/>
                  <w:tcBorders>
                    <w:tl2br w:val="nil"/>
                    <w:tr2bl w:val="nil"/>
                  </w:tcBorders>
                  <w:vAlign w:val="center"/>
                </w:tcPr>
                <w:p w14:paraId="3C994381">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164" w:type="pct"/>
                  <w:tcBorders>
                    <w:tl2br w:val="nil"/>
                    <w:tr2bl w:val="nil"/>
                  </w:tcBorders>
                  <w:shd w:val="clear" w:color="auto" w:fill="auto"/>
                  <w:vAlign w:val="center"/>
                </w:tcPr>
                <w:p w14:paraId="1DBAAB5D">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无组织</w:t>
                  </w:r>
                </w:p>
              </w:tc>
              <w:tc>
                <w:tcPr>
                  <w:tcW w:w="337" w:type="pct"/>
                  <w:tcBorders>
                    <w:tl2br w:val="nil"/>
                    <w:tr2bl w:val="nil"/>
                  </w:tcBorders>
                  <w:vAlign w:val="center"/>
                </w:tcPr>
                <w:p w14:paraId="447FDBA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通风</w:t>
                  </w:r>
                </w:p>
              </w:tc>
              <w:tc>
                <w:tcPr>
                  <w:tcW w:w="346" w:type="pct"/>
                  <w:tcBorders>
                    <w:tl2br w:val="nil"/>
                    <w:tr2bl w:val="nil"/>
                  </w:tcBorders>
                  <w:vAlign w:val="center"/>
                </w:tcPr>
                <w:p w14:paraId="6796593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0.083</w:t>
                  </w:r>
                </w:p>
              </w:tc>
              <w:tc>
                <w:tcPr>
                  <w:tcW w:w="399" w:type="pct"/>
                  <w:tcBorders>
                    <w:tl2br w:val="nil"/>
                    <w:tr2bl w:val="nil"/>
                  </w:tcBorders>
                  <w:vAlign w:val="center"/>
                </w:tcPr>
                <w:p w14:paraId="20F02E9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471" w:type="pct"/>
                  <w:tcBorders>
                    <w:tl2br w:val="nil"/>
                    <w:tr2bl w:val="nil"/>
                  </w:tcBorders>
                  <w:vAlign w:val="center"/>
                </w:tcPr>
                <w:p w14:paraId="2DBF8CC8">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232" w:type="pct"/>
                  <w:vMerge w:val="continue"/>
                  <w:tcBorders>
                    <w:tl2br w:val="nil"/>
                    <w:tr2bl w:val="nil"/>
                  </w:tcBorders>
                  <w:vAlign w:val="center"/>
                </w:tcPr>
                <w:p w14:paraId="7444058B">
                  <w:pPr>
                    <w:widowControl/>
                    <w:spacing w:line="240" w:lineRule="auto"/>
                    <w:ind w:firstLine="0" w:firstLineChars="0"/>
                    <w:jc w:val="center"/>
                    <w:rPr>
                      <w:rFonts w:hint="default" w:ascii="Times New Roman" w:hAnsi="Times New Roman" w:cs="Times New Roman"/>
                      <w:color w:val="auto"/>
                      <w:kern w:val="0"/>
                      <w:sz w:val="21"/>
                      <w:szCs w:val="21"/>
                    </w:rPr>
                  </w:pPr>
                </w:p>
              </w:tc>
              <w:tc>
                <w:tcPr>
                  <w:tcW w:w="246" w:type="pct"/>
                  <w:vMerge w:val="continue"/>
                  <w:tcBorders>
                    <w:tl2br w:val="nil"/>
                    <w:tr2bl w:val="nil"/>
                  </w:tcBorders>
                  <w:vAlign w:val="center"/>
                </w:tcPr>
                <w:p w14:paraId="4E702B95">
                  <w:pPr>
                    <w:widowControl/>
                    <w:spacing w:line="240" w:lineRule="auto"/>
                    <w:ind w:firstLine="0" w:firstLineChars="0"/>
                    <w:jc w:val="center"/>
                    <w:rPr>
                      <w:rFonts w:hint="default" w:ascii="Times New Roman" w:hAnsi="Times New Roman" w:cs="Times New Roman"/>
                      <w:color w:val="auto"/>
                      <w:kern w:val="0"/>
                      <w:sz w:val="21"/>
                      <w:szCs w:val="21"/>
                    </w:rPr>
                  </w:pPr>
                </w:p>
              </w:tc>
              <w:tc>
                <w:tcPr>
                  <w:tcW w:w="364" w:type="pct"/>
                  <w:tcBorders>
                    <w:tl2br w:val="nil"/>
                    <w:tr2bl w:val="nil"/>
                  </w:tcBorders>
                  <w:vAlign w:val="center"/>
                </w:tcPr>
                <w:p w14:paraId="6259F97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4.0</w:t>
                  </w:r>
                </w:p>
              </w:tc>
            </w:tr>
            <w:tr w14:paraId="29B7E2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tcBorders>
                    <w:tl2br w:val="nil"/>
                    <w:tr2bl w:val="nil"/>
                  </w:tcBorders>
                  <w:shd w:val="clear" w:color="auto" w:fill="auto"/>
                  <w:vAlign w:val="center"/>
                </w:tcPr>
                <w:p w14:paraId="771EA0F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食堂油烟（DA005）</w:t>
                  </w:r>
                </w:p>
              </w:tc>
              <w:tc>
                <w:tcPr>
                  <w:tcW w:w="164" w:type="pct"/>
                  <w:tcBorders>
                    <w:tl2br w:val="nil"/>
                    <w:tr2bl w:val="nil"/>
                  </w:tcBorders>
                  <w:vAlign w:val="center"/>
                </w:tcPr>
                <w:p w14:paraId="61A23E5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油烟</w:t>
                  </w:r>
                </w:p>
              </w:tc>
              <w:tc>
                <w:tcPr>
                  <w:tcW w:w="286" w:type="pct"/>
                  <w:tcBorders>
                    <w:tl2br w:val="nil"/>
                    <w:tr2bl w:val="nil"/>
                  </w:tcBorders>
                  <w:vAlign w:val="center"/>
                </w:tcPr>
                <w:p w14:paraId="1B5B39C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4000</w:t>
                  </w:r>
                </w:p>
              </w:tc>
              <w:tc>
                <w:tcPr>
                  <w:tcW w:w="291" w:type="pct"/>
                  <w:tcBorders>
                    <w:tl2br w:val="nil"/>
                    <w:tr2bl w:val="nil"/>
                  </w:tcBorders>
                  <w:vAlign w:val="center"/>
                </w:tcPr>
                <w:p w14:paraId="5F219CC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1120</w:t>
                  </w:r>
                </w:p>
              </w:tc>
              <w:tc>
                <w:tcPr>
                  <w:tcW w:w="336" w:type="pct"/>
                  <w:tcBorders>
                    <w:tl2br w:val="nil"/>
                    <w:tr2bl w:val="nil"/>
                  </w:tcBorders>
                  <w:vAlign w:val="center"/>
                </w:tcPr>
                <w:p w14:paraId="1AC6A183">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0.0119</w:t>
                  </w:r>
                </w:p>
              </w:tc>
              <w:tc>
                <w:tcPr>
                  <w:tcW w:w="399" w:type="pct"/>
                  <w:tcBorders>
                    <w:tl2br w:val="nil"/>
                    <w:tr2bl w:val="nil"/>
                  </w:tcBorders>
                  <w:vAlign w:val="center"/>
                </w:tcPr>
                <w:p w14:paraId="7CBA409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0.011</w:t>
                  </w:r>
                </w:p>
              </w:tc>
              <w:tc>
                <w:tcPr>
                  <w:tcW w:w="471" w:type="pct"/>
                  <w:tcBorders>
                    <w:tl2br w:val="nil"/>
                    <w:tr2bl w:val="nil"/>
                  </w:tcBorders>
                  <w:vAlign w:val="center"/>
                </w:tcPr>
                <w:p w14:paraId="7CBCFF3D">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2.66</w:t>
                  </w:r>
                </w:p>
              </w:tc>
              <w:tc>
                <w:tcPr>
                  <w:tcW w:w="164" w:type="pct"/>
                  <w:tcBorders>
                    <w:tl2br w:val="nil"/>
                    <w:tr2bl w:val="nil"/>
                  </w:tcBorders>
                  <w:shd w:val="clear" w:color="auto" w:fill="auto"/>
                  <w:vAlign w:val="center"/>
                </w:tcPr>
                <w:p w14:paraId="24A5250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有组织</w:t>
                  </w:r>
                </w:p>
              </w:tc>
              <w:tc>
                <w:tcPr>
                  <w:tcW w:w="337" w:type="pct"/>
                  <w:tcBorders>
                    <w:tl2br w:val="nil"/>
                    <w:tr2bl w:val="nil"/>
                  </w:tcBorders>
                  <w:vAlign w:val="center"/>
                </w:tcPr>
                <w:p w14:paraId="3BEC7F5A">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油烟净化器</w:t>
                  </w:r>
                </w:p>
              </w:tc>
              <w:tc>
                <w:tcPr>
                  <w:tcW w:w="346" w:type="pct"/>
                  <w:tcBorders>
                    <w:tl2br w:val="nil"/>
                    <w:tr2bl w:val="nil"/>
                  </w:tcBorders>
                  <w:shd w:val="clear" w:color="auto" w:fill="auto"/>
                  <w:vAlign w:val="center"/>
                </w:tcPr>
                <w:p w14:paraId="5C304BD7">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0.0077</w:t>
                  </w:r>
                </w:p>
              </w:tc>
              <w:tc>
                <w:tcPr>
                  <w:tcW w:w="399" w:type="pct"/>
                  <w:tcBorders>
                    <w:tl2br w:val="nil"/>
                    <w:tr2bl w:val="nil"/>
                  </w:tcBorders>
                  <w:shd w:val="clear" w:color="auto" w:fill="auto"/>
                  <w:vAlign w:val="center"/>
                </w:tcPr>
                <w:p w14:paraId="7881B28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0.0069</w:t>
                  </w:r>
                </w:p>
              </w:tc>
              <w:tc>
                <w:tcPr>
                  <w:tcW w:w="471" w:type="pct"/>
                  <w:tcBorders>
                    <w:tl2br w:val="nil"/>
                    <w:tr2bl w:val="nil"/>
                  </w:tcBorders>
                  <w:shd w:val="clear" w:color="auto" w:fill="auto"/>
                  <w:vAlign w:val="center"/>
                </w:tcPr>
                <w:p w14:paraId="0D18E45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1.73</w:t>
                  </w:r>
                </w:p>
              </w:tc>
              <w:tc>
                <w:tcPr>
                  <w:tcW w:w="232" w:type="pct"/>
                  <w:tcBorders>
                    <w:tl2br w:val="nil"/>
                    <w:tr2bl w:val="nil"/>
                  </w:tcBorders>
                  <w:vAlign w:val="center"/>
                </w:tcPr>
                <w:p w14:paraId="469096F7">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p>
              </w:tc>
              <w:tc>
                <w:tcPr>
                  <w:tcW w:w="246" w:type="pct"/>
                  <w:tcBorders>
                    <w:tl2br w:val="nil"/>
                    <w:tr2bl w:val="nil"/>
                  </w:tcBorders>
                  <w:vAlign w:val="center"/>
                </w:tcPr>
                <w:p w14:paraId="7DFA8B3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60%</w:t>
                  </w:r>
                </w:p>
              </w:tc>
              <w:tc>
                <w:tcPr>
                  <w:tcW w:w="364" w:type="pct"/>
                  <w:tcBorders>
                    <w:tl2br w:val="nil"/>
                    <w:tr2bl w:val="nil"/>
                  </w:tcBorders>
                  <w:vAlign w:val="center"/>
                </w:tcPr>
                <w:p w14:paraId="32D1726D">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w:t>
                  </w:r>
                </w:p>
              </w:tc>
            </w:tr>
          </w:tbl>
          <w:p w14:paraId="6FC26B50">
            <w:pPr>
              <w:spacing w:line="240" w:lineRule="auto"/>
              <w:ind w:firstLine="0" w:firstLineChars="0"/>
              <w:jc w:val="center"/>
              <w:rPr>
                <w:rFonts w:hint="default" w:ascii="Times New Roman" w:hAnsi="Times New Roman" w:cs="Times New Roman"/>
                <w:color w:val="auto"/>
              </w:rPr>
            </w:pPr>
          </w:p>
        </w:tc>
      </w:tr>
    </w:tbl>
    <w:p w14:paraId="1C447764">
      <w:pPr>
        <w:pStyle w:val="12"/>
        <w:rPr>
          <w:rFonts w:hint="default" w:ascii="Times New Roman" w:hAnsi="Times New Roman" w:cs="Times New Roman"/>
          <w:color w:val="auto"/>
        </w:rPr>
      </w:pPr>
    </w:p>
    <w:p w14:paraId="5E3709BD">
      <w:pPr>
        <w:ind w:firstLine="480"/>
        <w:rPr>
          <w:rFonts w:hint="default" w:ascii="Times New Roman" w:hAnsi="Times New Roman" w:cs="Times New Roman"/>
          <w:color w:val="auto"/>
        </w:rPr>
      </w:pPr>
    </w:p>
    <w:p w14:paraId="1DA87144">
      <w:pPr>
        <w:ind w:firstLine="480"/>
        <w:rPr>
          <w:rFonts w:hint="default" w:ascii="Times New Roman" w:hAnsi="Times New Roman" w:cs="Times New Roman"/>
          <w:color w:val="auto"/>
        </w:rPr>
        <w:sectPr>
          <w:pgSz w:w="16838" w:h="11906" w:orient="landscape"/>
          <w:pgMar w:top="1531" w:right="1701" w:bottom="1531" w:left="1701"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8149"/>
      </w:tblGrid>
      <w:tr w14:paraId="4C265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14:paraId="402792DF">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运营</w:t>
            </w:r>
          </w:p>
          <w:p w14:paraId="03D9348F">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期环</w:t>
            </w:r>
          </w:p>
          <w:p w14:paraId="0775392A">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境影</w:t>
            </w:r>
          </w:p>
          <w:p w14:paraId="33F01427">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响和</w:t>
            </w:r>
          </w:p>
          <w:p w14:paraId="40316697">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保护</w:t>
            </w:r>
          </w:p>
          <w:p w14:paraId="6D71CA15">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措施</w:t>
            </w:r>
          </w:p>
        </w:tc>
        <w:tc>
          <w:tcPr>
            <w:tcW w:w="8149" w:type="dxa"/>
          </w:tcPr>
          <w:p w14:paraId="0C5A4574">
            <w:pPr>
              <w:adjustRightInd/>
              <w:snapToGrid/>
              <w:ind w:firstLine="482"/>
              <w:rPr>
                <w:rFonts w:hint="default" w:ascii="Times New Roman" w:hAnsi="Times New Roman" w:cs="Times New Roman"/>
                <w:b/>
                <w:bCs/>
                <w:color w:val="auto"/>
              </w:rPr>
            </w:pPr>
            <w:r>
              <w:rPr>
                <w:rFonts w:hint="default" w:ascii="Times New Roman" w:hAnsi="Times New Roman" w:cs="Times New Roman"/>
                <w:b/>
                <w:bCs/>
                <w:color w:val="auto"/>
              </w:rPr>
              <w:t>（6）监测要求</w:t>
            </w:r>
          </w:p>
          <w:p w14:paraId="4116B987">
            <w:pPr>
              <w:adjustRightInd/>
              <w:snapToGrid/>
              <w:ind w:right="-5" w:rightChars="-2" w:firstLine="480"/>
              <w:rPr>
                <w:rFonts w:hint="default" w:ascii="Times New Roman" w:hAnsi="Times New Roman" w:cs="Times New Roman"/>
                <w:b/>
                <w:color w:val="auto"/>
                <w:sz w:val="21"/>
                <w:szCs w:val="21"/>
              </w:rPr>
            </w:pPr>
            <w:r>
              <w:rPr>
                <w:rFonts w:hint="default" w:ascii="Times New Roman" w:hAnsi="Times New Roman" w:cs="Times New Roman"/>
                <w:color w:val="auto"/>
                <w:lang w:bidi="ar"/>
              </w:rPr>
              <w:t>项目建成后，可委托当地有资质的环境监测单位进行监测，监测方法及频次严格按照《排污单位自行监测技术指南 橡胶和塑料制品》（HJ 12072021），制定本项目废气监测计划如下：</w:t>
            </w:r>
          </w:p>
          <w:p w14:paraId="2F239511">
            <w:pPr>
              <w:autoSpaceDE w:val="0"/>
              <w:autoSpaceDN w:val="0"/>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表4-2 运营期废气监测计划</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1100"/>
              <w:gridCol w:w="773"/>
              <w:gridCol w:w="1590"/>
              <w:gridCol w:w="687"/>
              <w:gridCol w:w="3270"/>
            </w:tblGrid>
            <w:tr w14:paraId="06CFE9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6" w:type="pct"/>
                  <w:gridSpan w:val="2"/>
                  <w:tcBorders>
                    <w:tl2br w:val="nil"/>
                    <w:tr2bl w:val="nil"/>
                  </w:tcBorders>
                  <w:vAlign w:val="center"/>
                </w:tcPr>
                <w:p w14:paraId="659F8A01">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类别</w:t>
                  </w:r>
                </w:p>
              </w:tc>
              <w:tc>
                <w:tcPr>
                  <w:tcW w:w="487" w:type="pct"/>
                  <w:tcBorders>
                    <w:tl2br w:val="nil"/>
                    <w:tr2bl w:val="nil"/>
                  </w:tcBorders>
                  <w:vAlign w:val="center"/>
                </w:tcPr>
                <w:p w14:paraId="38FCDF23">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监测</w:t>
                  </w:r>
                </w:p>
                <w:p w14:paraId="645040E0">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项目</w:t>
                  </w:r>
                </w:p>
              </w:tc>
              <w:tc>
                <w:tcPr>
                  <w:tcW w:w="1002" w:type="pct"/>
                  <w:tcBorders>
                    <w:tl2br w:val="nil"/>
                    <w:tr2bl w:val="nil"/>
                  </w:tcBorders>
                  <w:vAlign w:val="center"/>
                </w:tcPr>
                <w:p w14:paraId="0BFA9F65">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监测点位置</w:t>
                  </w:r>
                </w:p>
              </w:tc>
              <w:tc>
                <w:tcPr>
                  <w:tcW w:w="433" w:type="pct"/>
                  <w:tcBorders>
                    <w:tl2br w:val="nil"/>
                    <w:tr2bl w:val="nil"/>
                  </w:tcBorders>
                  <w:vAlign w:val="center"/>
                </w:tcPr>
                <w:p w14:paraId="2C6FE3A7">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频率</w:t>
                  </w:r>
                </w:p>
              </w:tc>
              <w:tc>
                <w:tcPr>
                  <w:tcW w:w="2060" w:type="pct"/>
                  <w:tcBorders>
                    <w:tl2br w:val="nil"/>
                    <w:tr2bl w:val="nil"/>
                  </w:tcBorders>
                  <w:vAlign w:val="center"/>
                </w:tcPr>
                <w:p w14:paraId="2964297E">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控制指标</w:t>
                  </w:r>
                </w:p>
              </w:tc>
            </w:tr>
            <w:tr w14:paraId="4AE6C1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restart"/>
                  <w:tcBorders>
                    <w:tl2br w:val="nil"/>
                    <w:tr2bl w:val="nil"/>
                  </w:tcBorders>
                  <w:vAlign w:val="center"/>
                </w:tcPr>
                <w:p w14:paraId="182495C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废气</w:t>
                  </w:r>
                </w:p>
              </w:tc>
              <w:tc>
                <w:tcPr>
                  <w:tcW w:w="693" w:type="pct"/>
                  <w:tcBorders>
                    <w:tl2br w:val="nil"/>
                    <w:tr2bl w:val="nil"/>
                  </w:tcBorders>
                  <w:vAlign w:val="center"/>
                </w:tcPr>
                <w:p w14:paraId="76566FC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DA001</w:t>
                  </w:r>
                </w:p>
              </w:tc>
              <w:tc>
                <w:tcPr>
                  <w:tcW w:w="487" w:type="pct"/>
                  <w:vMerge w:val="restart"/>
                  <w:tcBorders>
                    <w:tl2br w:val="nil"/>
                    <w:tr2bl w:val="nil"/>
                  </w:tcBorders>
                  <w:vAlign w:val="center"/>
                </w:tcPr>
                <w:p w14:paraId="4F5C382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非甲烷总烃</w:t>
                  </w:r>
                </w:p>
              </w:tc>
              <w:tc>
                <w:tcPr>
                  <w:tcW w:w="1002" w:type="pct"/>
                  <w:vMerge w:val="restart"/>
                  <w:tcBorders>
                    <w:tl2br w:val="nil"/>
                    <w:tr2bl w:val="nil"/>
                  </w:tcBorders>
                  <w:vAlign w:val="center"/>
                </w:tcPr>
                <w:p w14:paraId="715F70D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排气筒</w:t>
                  </w:r>
                </w:p>
              </w:tc>
              <w:tc>
                <w:tcPr>
                  <w:tcW w:w="433" w:type="pct"/>
                  <w:vMerge w:val="restart"/>
                  <w:tcBorders>
                    <w:tl2br w:val="nil"/>
                    <w:tr2bl w:val="nil"/>
                  </w:tcBorders>
                  <w:vAlign w:val="center"/>
                </w:tcPr>
                <w:p w14:paraId="48F402A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1次/半年</w:t>
                  </w:r>
                </w:p>
              </w:tc>
              <w:tc>
                <w:tcPr>
                  <w:tcW w:w="2060" w:type="pct"/>
                  <w:vMerge w:val="restart"/>
                  <w:tcBorders>
                    <w:tl2br w:val="nil"/>
                    <w:tr2bl w:val="nil"/>
                  </w:tcBorders>
                  <w:vAlign w:val="center"/>
                </w:tcPr>
                <w:p w14:paraId="394F3B9F">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《合成树脂工业污染物排放标准》（GB31572-2015，含2024修改单）</w:t>
                  </w:r>
                </w:p>
              </w:tc>
            </w:tr>
            <w:tr w14:paraId="65D38B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vAlign w:val="center"/>
                </w:tcPr>
                <w:p w14:paraId="0DC70523">
                  <w:pPr>
                    <w:widowControl/>
                    <w:spacing w:line="240" w:lineRule="auto"/>
                    <w:ind w:firstLine="0" w:firstLineChars="0"/>
                    <w:jc w:val="center"/>
                    <w:rPr>
                      <w:rFonts w:hint="default" w:ascii="Times New Roman" w:hAnsi="Times New Roman" w:cs="Times New Roman"/>
                      <w:color w:val="auto"/>
                    </w:rPr>
                  </w:pPr>
                </w:p>
              </w:tc>
              <w:tc>
                <w:tcPr>
                  <w:tcW w:w="693" w:type="pct"/>
                  <w:tcBorders>
                    <w:tl2br w:val="nil"/>
                    <w:tr2bl w:val="nil"/>
                  </w:tcBorders>
                  <w:shd w:val="clear" w:color="auto" w:fill="auto"/>
                  <w:vAlign w:val="center"/>
                </w:tcPr>
                <w:p w14:paraId="51CA629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DA002</w:t>
                  </w:r>
                </w:p>
              </w:tc>
              <w:tc>
                <w:tcPr>
                  <w:tcW w:w="487" w:type="pct"/>
                  <w:vMerge w:val="continue"/>
                  <w:tcBorders>
                    <w:tl2br w:val="nil"/>
                    <w:tr2bl w:val="nil"/>
                  </w:tcBorders>
                  <w:vAlign w:val="center"/>
                </w:tcPr>
                <w:p w14:paraId="1F1F1101">
                  <w:pPr>
                    <w:widowControl/>
                    <w:spacing w:line="240" w:lineRule="auto"/>
                    <w:ind w:firstLine="0" w:firstLineChars="0"/>
                    <w:jc w:val="center"/>
                    <w:rPr>
                      <w:rFonts w:hint="default" w:ascii="Times New Roman" w:hAnsi="Times New Roman" w:cs="Times New Roman"/>
                      <w:color w:val="auto"/>
                      <w:kern w:val="0"/>
                      <w:sz w:val="21"/>
                      <w:szCs w:val="21"/>
                    </w:rPr>
                  </w:pPr>
                </w:p>
              </w:tc>
              <w:tc>
                <w:tcPr>
                  <w:tcW w:w="1002" w:type="pct"/>
                  <w:vMerge w:val="continue"/>
                  <w:tcBorders>
                    <w:tl2br w:val="nil"/>
                    <w:tr2bl w:val="nil"/>
                  </w:tcBorders>
                  <w:vAlign w:val="center"/>
                </w:tcPr>
                <w:p w14:paraId="053539BA">
                  <w:pPr>
                    <w:widowControl/>
                    <w:spacing w:line="240" w:lineRule="auto"/>
                    <w:ind w:firstLine="0" w:firstLineChars="0"/>
                    <w:jc w:val="center"/>
                    <w:rPr>
                      <w:rFonts w:hint="default" w:ascii="Times New Roman" w:hAnsi="Times New Roman" w:cs="Times New Roman"/>
                      <w:color w:val="auto"/>
                      <w:kern w:val="0"/>
                      <w:sz w:val="21"/>
                      <w:szCs w:val="21"/>
                    </w:rPr>
                  </w:pPr>
                </w:p>
              </w:tc>
              <w:tc>
                <w:tcPr>
                  <w:tcW w:w="433" w:type="pct"/>
                  <w:vMerge w:val="continue"/>
                  <w:tcBorders>
                    <w:tl2br w:val="nil"/>
                    <w:tr2bl w:val="nil"/>
                  </w:tcBorders>
                  <w:vAlign w:val="center"/>
                </w:tcPr>
                <w:p w14:paraId="4D7C2CAE">
                  <w:pPr>
                    <w:widowControl/>
                    <w:spacing w:line="240" w:lineRule="auto"/>
                    <w:ind w:firstLine="0" w:firstLineChars="0"/>
                    <w:jc w:val="center"/>
                    <w:rPr>
                      <w:rFonts w:hint="default" w:ascii="Times New Roman" w:hAnsi="Times New Roman" w:cs="Times New Roman"/>
                      <w:color w:val="auto"/>
                      <w:kern w:val="0"/>
                      <w:sz w:val="21"/>
                      <w:szCs w:val="21"/>
                    </w:rPr>
                  </w:pPr>
                </w:p>
              </w:tc>
              <w:tc>
                <w:tcPr>
                  <w:tcW w:w="2060" w:type="pct"/>
                  <w:vMerge w:val="continue"/>
                  <w:tcBorders>
                    <w:tl2br w:val="nil"/>
                    <w:tr2bl w:val="nil"/>
                  </w:tcBorders>
                  <w:vAlign w:val="center"/>
                </w:tcPr>
                <w:p w14:paraId="48BE5862">
                  <w:pPr>
                    <w:widowControl/>
                    <w:spacing w:line="240" w:lineRule="auto"/>
                    <w:ind w:firstLine="0" w:firstLineChars="0"/>
                    <w:jc w:val="center"/>
                    <w:rPr>
                      <w:rFonts w:hint="default" w:ascii="Times New Roman" w:hAnsi="Times New Roman" w:cs="Times New Roman"/>
                      <w:color w:val="auto"/>
                      <w:kern w:val="0"/>
                      <w:sz w:val="21"/>
                      <w:szCs w:val="21"/>
                    </w:rPr>
                  </w:pPr>
                </w:p>
              </w:tc>
            </w:tr>
            <w:tr w14:paraId="495C86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vAlign w:val="center"/>
                </w:tcPr>
                <w:p w14:paraId="76A2420C">
                  <w:pPr>
                    <w:widowControl/>
                    <w:spacing w:line="240" w:lineRule="auto"/>
                    <w:ind w:firstLine="0" w:firstLineChars="0"/>
                    <w:jc w:val="center"/>
                    <w:rPr>
                      <w:rFonts w:hint="default" w:ascii="Times New Roman" w:hAnsi="Times New Roman" w:cs="Times New Roman"/>
                      <w:color w:val="auto"/>
                      <w:kern w:val="0"/>
                      <w:sz w:val="21"/>
                      <w:szCs w:val="21"/>
                    </w:rPr>
                  </w:pPr>
                </w:p>
              </w:tc>
              <w:tc>
                <w:tcPr>
                  <w:tcW w:w="693" w:type="pct"/>
                  <w:tcBorders>
                    <w:tl2br w:val="nil"/>
                    <w:tr2bl w:val="nil"/>
                  </w:tcBorders>
                  <w:shd w:val="clear" w:color="auto" w:fill="auto"/>
                  <w:vAlign w:val="center"/>
                </w:tcPr>
                <w:p w14:paraId="2C59E14F">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DA003</w:t>
                  </w:r>
                </w:p>
              </w:tc>
              <w:tc>
                <w:tcPr>
                  <w:tcW w:w="487" w:type="pct"/>
                  <w:vMerge w:val="continue"/>
                  <w:tcBorders>
                    <w:tl2br w:val="nil"/>
                    <w:tr2bl w:val="nil"/>
                  </w:tcBorders>
                  <w:vAlign w:val="center"/>
                </w:tcPr>
                <w:p w14:paraId="5089387A">
                  <w:pPr>
                    <w:widowControl/>
                    <w:spacing w:line="240" w:lineRule="auto"/>
                    <w:ind w:firstLine="0" w:firstLineChars="0"/>
                    <w:jc w:val="center"/>
                    <w:rPr>
                      <w:rFonts w:hint="default" w:ascii="Times New Roman" w:hAnsi="Times New Roman" w:cs="Times New Roman"/>
                      <w:color w:val="auto"/>
                      <w:kern w:val="0"/>
                      <w:sz w:val="21"/>
                      <w:szCs w:val="21"/>
                    </w:rPr>
                  </w:pPr>
                </w:p>
              </w:tc>
              <w:tc>
                <w:tcPr>
                  <w:tcW w:w="1002" w:type="pct"/>
                  <w:vMerge w:val="continue"/>
                  <w:tcBorders>
                    <w:tl2br w:val="nil"/>
                    <w:tr2bl w:val="nil"/>
                  </w:tcBorders>
                  <w:vAlign w:val="center"/>
                </w:tcPr>
                <w:p w14:paraId="05626E6B">
                  <w:pPr>
                    <w:widowControl/>
                    <w:spacing w:line="240" w:lineRule="auto"/>
                    <w:ind w:firstLine="0" w:firstLineChars="0"/>
                    <w:jc w:val="center"/>
                    <w:rPr>
                      <w:rFonts w:hint="default" w:ascii="Times New Roman" w:hAnsi="Times New Roman" w:cs="Times New Roman"/>
                      <w:color w:val="auto"/>
                      <w:kern w:val="0"/>
                      <w:sz w:val="21"/>
                      <w:szCs w:val="21"/>
                    </w:rPr>
                  </w:pPr>
                </w:p>
              </w:tc>
              <w:tc>
                <w:tcPr>
                  <w:tcW w:w="433" w:type="pct"/>
                  <w:vMerge w:val="continue"/>
                  <w:tcBorders>
                    <w:tl2br w:val="nil"/>
                    <w:tr2bl w:val="nil"/>
                  </w:tcBorders>
                  <w:vAlign w:val="center"/>
                </w:tcPr>
                <w:p w14:paraId="5A663D0F">
                  <w:pPr>
                    <w:widowControl/>
                    <w:spacing w:line="240" w:lineRule="auto"/>
                    <w:ind w:firstLine="0" w:firstLineChars="0"/>
                    <w:jc w:val="center"/>
                    <w:rPr>
                      <w:rFonts w:hint="default" w:ascii="Times New Roman" w:hAnsi="Times New Roman" w:cs="Times New Roman"/>
                      <w:color w:val="auto"/>
                      <w:kern w:val="0"/>
                      <w:sz w:val="21"/>
                      <w:szCs w:val="21"/>
                    </w:rPr>
                  </w:pPr>
                </w:p>
              </w:tc>
              <w:tc>
                <w:tcPr>
                  <w:tcW w:w="2060" w:type="pct"/>
                  <w:vMerge w:val="continue"/>
                  <w:tcBorders>
                    <w:tl2br w:val="nil"/>
                    <w:tr2bl w:val="nil"/>
                  </w:tcBorders>
                  <w:vAlign w:val="center"/>
                </w:tcPr>
                <w:p w14:paraId="4D19D1C5">
                  <w:pPr>
                    <w:widowControl/>
                    <w:spacing w:line="240" w:lineRule="auto"/>
                    <w:ind w:firstLine="0" w:firstLineChars="0"/>
                    <w:jc w:val="center"/>
                    <w:rPr>
                      <w:rFonts w:hint="default" w:ascii="Times New Roman" w:hAnsi="Times New Roman" w:cs="Times New Roman"/>
                      <w:color w:val="auto"/>
                      <w:kern w:val="0"/>
                      <w:sz w:val="21"/>
                      <w:szCs w:val="21"/>
                    </w:rPr>
                  </w:pPr>
                </w:p>
              </w:tc>
            </w:tr>
            <w:tr w14:paraId="0F535C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vAlign w:val="center"/>
                </w:tcPr>
                <w:p w14:paraId="10641251">
                  <w:pPr>
                    <w:widowControl/>
                    <w:spacing w:line="240" w:lineRule="auto"/>
                    <w:ind w:firstLine="0" w:firstLineChars="0"/>
                    <w:jc w:val="center"/>
                    <w:rPr>
                      <w:rFonts w:hint="default" w:ascii="Times New Roman" w:hAnsi="Times New Roman" w:cs="Times New Roman"/>
                      <w:color w:val="auto"/>
                      <w:kern w:val="0"/>
                      <w:sz w:val="21"/>
                      <w:szCs w:val="21"/>
                    </w:rPr>
                  </w:pPr>
                </w:p>
              </w:tc>
              <w:tc>
                <w:tcPr>
                  <w:tcW w:w="693" w:type="pct"/>
                  <w:tcBorders>
                    <w:tl2br w:val="nil"/>
                    <w:tr2bl w:val="nil"/>
                  </w:tcBorders>
                  <w:shd w:val="clear" w:color="auto" w:fill="auto"/>
                  <w:vAlign w:val="center"/>
                </w:tcPr>
                <w:p w14:paraId="3D4652C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DA004</w:t>
                  </w:r>
                </w:p>
              </w:tc>
              <w:tc>
                <w:tcPr>
                  <w:tcW w:w="487" w:type="pct"/>
                  <w:vMerge w:val="continue"/>
                  <w:tcBorders>
                    <w:tl2br w:val="nil"/>
                    <w:tr2bl w:val="nil"/>
                  </w:tcBorders>
                  <w:vAlign w:val="center"/>
                </w:tcPr>
                <w:p w14:paraId="4618ABCC">
                  <w:pPr>
                    <w:widowControl/>
                    <w:spacing w:line="240" w:lineRule="auto"/>
                    <w:ind w:firstLine="0" w:firstLineChars="0"/>
                    <w:jc w:val="center"/>
                    <w:rPr>
                      <w:rFonts w:hint="default" w:ascii="Times New Roman" w:hAnsi="Times New Roman" w:cs="Times New Roman"/>
                      <w:color w:val="auto"/>
                      <w:kern w:val="0"/>
                      <w:sz w:val="21"/>
                      <w:szCs w:val="21"/>
                    </w:rPr>
                  </w:pPr>
                </w:p>
              </w:tc>
              <w:tc>
                <w:tcPr>
                  <w:tcW w:w="1002" w:type="pct"/>
                  <w:vMerge w:val="continue"/>
                  <w:tcBorders>
                    <w:tl2br w:val="nil"/>
                    <w:tr2bl w:val="nil"/>
                  </w:tcBorders>
                  <w:vAlign w:val="center"/>
                </w:tcPr>
                <w:p w14:paraId="723C48C4">
                  <w:pPr>
                    <w:widowControl/>
                    <w:spacing w:line="240" w:lineRule="auto"/>
                    <w:ind w:firstLine="0" w:firstLineChars="0"/>
                    <w:jc w:val="center"/>
                    <w:rPr>
                      <w:rFonts w:hint="default" w:ascii="Times New Roman" w:hAnsi="Times New Roman" w:cs="Times New Roman"/>
                      <w:color w:val="auto"/>
                      <w:kern w:val="0"/>
                      <w:sz w:val="21"/>
                      <w:szCs w:val="21"/>
                    </w:rPr>
                  </w:pPr>
                </w:p>
              </w:tc>
              <w:tc>
                <w:tcPr>
                  <w:tcW w:w="433" w:type="pct"/>
                  <w:vMerge w:val="continue"/>
                  <w:tcBorders>
                    <w:tl2br w:val="nil"/>
                    <w:tr2bl w:val="nil"/>
                  </w:tcBorders>
                  <w:vAlign w:val="center"/>
                </w:tcPr>
                <w:p w14:paraId="64BD9C0D">
                  <w:pPr>
                    <w:widowControl/>
                    <w:spacing w:line="240" w:lineRule="auto"/>
                    <w:ind w:firstLine="0" w:firstLineChars="0"/>
                    <w:jc w:val="center"/>
                    <w:rPr>
                      <w:rFonts w:hint="default" w:ascii="Times New Roman" w:hAnsi="Times New Roman" w:cs="Times New Roman"/>
                      <w:color w:val="auto"/>
                      <w:kern w:val="0"/>
                      <w:sz w:val="21"/>
                      <w:szCs w:val="21"/>
                    </w:rPr>
                  </w:pPr>
                </w:p>
              </w:tc>
              <w:tc>
                <w:tcPr>
                  <w:tcW w:w="2060" w:type="pct"/>
                  <w:vMerge w:val="continue"/>
                  <w:tcBorders>
                    <w:tl2br w:val="nil"/>
                    <w:tr2bl w:val="nil"/>
                  </w:tcBorders>
                  <w:vAlign w:val="center"/>
                </w:tcPr>
                <w:p w14:paraId="02029209">
                  <w:pPr>
                    <w:widowControl/>
                    <w:spacing w:line="240" w:lineRule="auto"/>
                    <w:ind w:firstLine="0" w:firstLineChars="0"/>
                    <w:jc w:val="center"/>
                    <w:rPr>
                      <w:rFonts w:hint="default" w:ascii="Times New Roman" w:hAnsi="Times New Roman" w:cs="Times New Roman"/>
                      <w:color w:val="auto"/>
                      <w:kern w:val="0"/>
                      <w:sz w:val="21"/>
                      <w:szCs w:val="21"/>
                    </w:rPr>
                  </w:pPr>
                </w:p>
              </w:tc>
            </w:tr>
            <w:tr w14:paraId="4B8C69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vAlign w:val="center"/>
                </w:tcPr>
                <w:p w14:paraId="6C9DA526">
                  <w:pPr>
                    <w:widowControl/>
                    <w:spacing w:line="240" w:lineRule="auto"/>
                    <w:ind w:firstLine="0" w:firstLineChars="0"/>
                    <w:jc w:val="center"/>
                    <w:rPr>
                      <w:rFonts w:hint="default" w:ascii="Times New Roman" w:hAnsi="Times New Roman" w:cs="Times New Roman"/>
                      <w:color w:val="auto"/>
                      <w:kern w:val="0"/>
                      <w:sz w:val="21"/>
                      <w:szCs w:val="21"/>
                    </w:rPr>
                  </w:pPr>
                </w:p>
              </w:tc>
              <w:tc>
                <w:tcPr>
                  <w:tcW w:w="693" w:type="pct"/>
                  <w:tcBorders>
                    <w:tl2br w:val="nil"/>
                    <w:tr2bl w:val="nil"/>
                  </w:tcBorders>
                  <w:vAlign w:val="center"/>
                </w:tcPr>
                <w:p w14:paraId="4CE5EE9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厂界无组织</w:t>
                  </w:r>
                </w:p>
              </w:tc>
              <w:tc>
                <w:tcPr>
                  <w:tcW w:w="487" w:type="pct"/>
                  <w:vMerge w:val="restart"/>
                  <w:tcBorders>
                    <w:tl2br w:val="nil"/>
                    <w:tr2bl w:val="nil"/>
                  </w:tcBorders>
                  <w:vAlign w:val="center"/>
                </w:tcPr>
                <w:p w14:paraId="23324FA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非甲烷总烃</w:t>
                  </w:r>
                </w:p>
              </w:tc>
              <w:tc>
                <w:tcPr>
                  <w:tcW w:w="1002" w:type="pct"/>
                  <w:tcBorders>
                    <w:tl2br w:val="nil"/>
                    <w:tr2bl w:val="nil"/>
                  </w:tcBorders>
                  <w:vAlign w:val="center"/>
                </w:tcPr>
                <w:p w14:paraId="5C33B5E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上风向1个点，下风向3个点</w:t>
                  </w:r>
                </w:p>
              </w:tc>
              <w:tc>
                <w:tcPr>
                  <w:tcW w:w="433" w:type="pct"/>
                  <w:vMerge w:val="restart"/>
                  <w:tcBorders>
                    <w:tl2br w:val="nil"/>
                    <w:tr2bl w:val="nil"/>
                  </w:tcBorders>
                  <w:vAlign w:val="center"/>
                </w:tcPr>
                <w:p w14:paraId="40DD475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1次/年</w:t>
                  </w:r>
                </w:p>
              </w:tc>
              <w:tc>
                <w:tcPr>
                  <w:tcW w:w="2060" w:type="pct"/>
                  <w:tcBorders>
                    <w:tl2br w:val="nil"/>
                    <w:tr2bl w:val="nil"/>
                  </w:tcBorders>
                  <w:vAlign w:val="center"/>
                </w:tcPr>
                <w:p w14:paraId="4295D06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《合成树脂工业污染物排放标准》（GB31572-2015，含2024修改单）</w:t>
                  </w:r>
                </w:p>
              </w:tc>
            </w:tr>
            <w:tr w14:paraId="21BB3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3" w:type="pct"/>
                  <w:vMerge w:val="continue"/>
                  <w:tcBorders>
                    <w:tl2br w:val="nil"/>
                    <w:tr2bl w:val="nil"/>
                  </w:tcBorders>
                  <w:vAlign w:val="center"/>
                </w:tcPr>
                <w:p w14:paraId="70BFC9C2">
                  <w:pPr>
                    <w:widowControl/>
                    <w:spacing w:line="240" w:lineRule="auto"/>
                    <w:ind w:firstLine="0" w:firstLineChars="0"/>
                    <w:jc w:val="center"/>
                    <w:rPr>
                      <w:rFonts w:hint="default" w:ascii="Times New Roman" w:hAnsi="Times New Roman" w:cs="Times New Roman"/>
                      <w:color w:val="auto"/>
                      <w:kern w:val="0"/>
                      <w:sz w:val="21"/>
                      <w:szCs w:val="21"/>
                    </w:rPr>
                  </w:pPr>
                </w:p>
              </w:tc>
              <w:tc>
                <w:tcPr>
                  <w:tcW w:w="693" w:type="pct"/>
                  <w:tcBorders>
                    <w:tl2br w:val="nil"/>
                    <w:tr2bl w:val="nil"/>
                  </w:tcBorders>
                  <w:vAlign w:val="center"/>
                </w:tcPr>
                <w:p w14:paraId="0BB49469">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厂区内无组织</w:t>
                  </w:r>
                </w:p>
              </w:tc>
              <w:tc>
                <w:tcPr>
                  <w:tcW w:w="487" w:type="pct"/>
                  <w:vMerge w:val="continue"/>
                  <w:tcBorders>
                    <w:tl2br w:val="nil"/>
                    <w:tr2bl w:val="nil"/>
                  </w:tcBorders>
                  <w:vAlign w:val="center"/>
                </w:tcPr>
                <w:p w14:paraId="3506FD4C">
                  <w:pPr>
                    <w:widowControl/>
                    <w:spacing w:line="240" w:lineRule="auto"/>
                    <w:ind w:firstLine="0" w:firstLineChars="0"/>
                    <w:jc w:val="center"/>
                    <w:rPr>
                      <w:rFonts w:hint="default" w:ascii="Times New Roman" w:hAnsi="Times New Roman" w:cs="Times New Roman"/>
                      <w:color w:val="auto"/>
                      <w:kern w:val="0"/>
                      <w:sz w:val="21"/>
                      <w:szCs w:val="21"/>
                    </w:rPr>
                  </w:pPr>
                </w:p>
              </w:tc>
              <w:tc>
                <w:tcPr>
                  <w:tcW w:w="1002" w:type="pct"/>
                  <w:tcBorders>
                    <w:tl2br w:val="nil"/>
                    <w:tr2bl w:val="nil"/>
                  </w:tcBorders>
                  <w:vAlign w:val="center"/>
                </w:tcPr>
                <w:p w14:paraId="481B6D53">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厂区内车间外设置监控点</w:t>
                  </w:r>
                </w:p>
              </w:tc>
              <w:tc>
                <w:tcPr>
                  <w:tcW w:w="433" w:type="pct"/>
                  <w:vMerge w:val="continue"/>
                  <w:tcBorders>
                    <w:tl2br w:val="nil"/>
                    <w:tr2bl w:val="nil"/>
                  </w:tcBorders>
                  <w:shd w:val="clear" w:color="auto" w:fill="auto"/>
                  <w:vAlign w:val="center"/>
                </w:tcPr>
                <w:p w14:paraId="71AC4AC6">
                  <w:pPr>
                    <w:widowControl/>
                    <w:spacing w:line="240" w:lineRule="auto"/>
                    <w:ind w:firstLine="0" w:firstLineChars="0"/>
                    <w:jc w:val="center"/>
                    <w:rPr>
                      <w:rFonts w:hint="default" w:ascii="Times New Roman" w:hAnsi="Times New Roman" w:cs="Times New Roman"/>
                      <w:color w:val="auto"/>
                      <w:kern w:val="0"/>
                      <w:sz w:val="21"/>
                      <w:szCs w:val="21"/>
                    </w:rPr>
                  </w:pPr>
                </w:p>
              </w:tc>
              <w:tc>
                <w:tcPr>
                  <w:tcW w:w="2060" w:type="pct"/>
                  <w:tcBorders>
                    <w:tl2br w:val="nil"/>
                    <w:tr2bl w:val="nil"/>
                  </w:tcBorders>
                  <w:vAlign w:val="center"/>
                </w:tcPr>
                <w:p w14:paraId="5E6819E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《挥发性有机物无组织排放控制标准》（GB 37822-2019）</w:t>
                  </w:r>
                </w:p>
              </w:tc>
            </w:tr>
          </w:tbl>
          <w:p w14:paraId="3ED8DC70">
            <w:pPr>
              <w:ind w:firstLine="442"/>
              <w:rPr>
                <w:rFonts w:hint="default" w:ascii="Times New Roman" w:hAnsi="Times New Roman" w:cs="Times New Roman"/>
                <w:b/>
                <w:color w:val="auto"/>
                <w:lang w:bidi="ar"/>
              </w:rPr>
            </w:pPr>
            <w:r>
              <w:rPr>
                <w:rFonts w:hint="default" w:ascii="Times New Roman" w:hAnsi="Times New Roman" w:cs="Times New Roman"/>
                <w:b/>
                <w:color w:val="auto"/>
                <w:spacing w:val="-10"/>
              </w:rPr>
              <w:t>（7）</w:t>
            </w:r>
            <w:r>
              <w:rPr>
                <w:rFonts w:hint="default" w:ascii="Times New Roman" w:hAnsi="Times New Roman" w:cs="Times New Roman"/>
                <w:b/>
                <w:color w:val="auto"/>
                <w:lang w:bidi="ar"/>
              </w:rPr>
              <w:t>废气治理措施的可行性分析</w:t>
            </w:r>
          </w:p>
          <w:p w14:paraId="2C8AB6A1">
            <w:pPr>
              <w:adjustRightInd/>
              <w:snapToGrid/>
              <w:ind w:firstLine="480"/>
              <w:rPr>
                <w:rFonts w:hint="default" w:ascii="Times New Roman" w:hAnsi="Times New Roman" w:cs="Times New Roman"/>
                <w:color w:val="auto"/>
                <w:lang w:bidi="ar"/>
              </w:rPr>
            </w:pPr>
            <w:r>
              <w:rPr>
                <w:rFonts w:hint="default" w:ascii="Times New Roman" w:hAnsi="Times New Roman" w:cs="Times New Roman"/>
                <w:color w:val="auto"/>
                <w:lang w:bidi="ar"/>
              </w:rPr>
              <w:t>本项目发泡挤出、复合、粘合、造粒工序产生的非甲烷总烃均采用二级活性炭吸附技术，属于《排污许可证申请与核发技术规范 橡胶和塑料制品工业》（HJ1122-2020）附录A.2塑料制品工业排污单位废气污染防治可行技术，参考表中泡沫塑料制造废气产生的非甲烷总烃对应的可行性技术“吸附”，故项目有机废气采用活性炭吸附是可行的。</w:t>
            </w:r>
          </w:p>
          <w:p w14:paraId="05C427C9">
            <w:pPr>
              <w:pStyle w:val="34"/>
              <w:ind w:firstLine="480"/>
              <w:rPr>
                <w:rFonts w:hint="default" w:ascii="Times New Roman" w:hAnsi="Times New Roman" w:eastAsia="宋体" w:cs="Times New Roman"/>
                <w:color w:val="auto"/>
                <w:lang w:bidi="ar"/>
              </w:rPr>
            </w:pPr>
            <w:r>
              <w:rPr>
                <w:rFonts w:hint="default" w:ascii="Times New Roman" w:hAnsi="Times New Roman" w:eastAsia="宋体" w:cs="Times New Roman"/>
                <w:color w:val="auto"/>
                <w:lang w:bidi="ar"/>
              </w:rPr>
              <w:t>本项目所采用活性炭吸附装置原理及废气流向如下：</w:t>
            </w:r>
          </w:p>
          <w:p w14:paraId="4DA6FC72">
            <w:pPr>
              <w:ind w:firstLine="0" w:firstLineChars="0"/>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3175635" cy="2308860"/>
                  <wp:effectExtent l="0" t="0" r="0" b="0"/>
                  <wp:docPr id="9" name="图片 9" descr="0c15e8859a16b22823140e45053ae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c15e8859a16b22823140e45053ae84"/>
                          <pic:cNvPicPr>
                            <a:picLocks noChangeAspect="1"/>
                          </pic:cNvPicPr>
                        </pic:nvPicPr>
                        <pic:blipFill>
                          <a:blip r:embed="rId22"/>
                          <a:srcRect l="6192" t="6602" r="18474"/>
                          <a:stretch>
                            <a:fillRect/>
                          </a:stretch>
                        </pic:blipFill>
                        <pic:spPr>
                          <a:xfrm>
                            <a:off x="0" y="0"/>
                            <a:ext cx="3175635" cy="2308860"/>
                          </a:xfrm>
                          <a:prstGeom prst="rect">
                            <a:avLst/>
                          </a:prstGeom>
                        </pic:spPr>
                      </pic:pic>
                    </a:graphicData>
                  </a:graphic>
                </wp:inline>
              </w:drawing>
            </w:r>
          </w:p>
          <w:p w14:paraId="69AB015F">
            <w:pPr>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 xml:space="preserve">图4-1  </w:t>
            </w:r>
            <w:r>
              <w:rPr>
                <w:rFonts w:hint="default" w:ascii="Times New Roman" w:hAnsi="Times New Roman" w:cs="Times New Roman"/>
                <w:b/>
                <w:bCs/>
                <w:color w:val="auto"/>
                <w:lang w:val="en-US" w:eastAsia="zh-CN"/>
              </w:rPr>
              <w:t>单箱</w:t>
            </w:r>
            <w:r>
              <w:rPr>
                <w:rFonts w:hint="default" w:ascii="Times New Roman" w:hAnsi="Times New Roman" w:cs="Times New Roman"/>
                <w:b/>
                <w:bCs/>
                <w:color w:val="auto"/>
              </w:rPr>
              <w:t>活性炭吸附装置内部气流走向示意图</w:t>
            </w:r>
          </w:p>
          <w:p w14:paraId="55571143">
            <w:pPr>
              <w:pStyle w:val="34"/>
              <w:ind w:firstLine="480"/>
              <w:rPr>
                <w:rFonts w:hint="default" w:ascii="Times New Roman" w:hAnsi="Times New Roman" w:eastAsia="宋体" w:cs="Times New Roman"/>
                <w:color w:val="auto"/>
                <w:lang w:bidi="ar"/>
              </w:rPr>
            </w:pPr>
            <w:r>
              <w:rPr>
                <w:rFonts w:hint="default" w:ascii="Times New Roman" w:hAnsi="Times New Roman" w:eastAsia="宋体" w:cs="Times New Roman"/>
                <w:color w:val="auto"/>
                <w:lang w:bidi="ar"/>
              </w:rPr>
              <w:t>活性炭吸附法是利用活性炭的表面特性处理挥发性有机物。活性炭由于表面分子处于不平衡、不饱和状态，具有把与其接触的气体或液体溶质分子吸附到自己表面上，从而使自身残余力得到平衡的能力，这种在固体表面进行的物质浓缩现象称为吸附。工业上的吸附操作是将活性炭充装在固定床反应器内，使废气以一定的速度通过反应器，废气中所含的污染物就不断地向活性炭表面凝聚、富集，从气相中分离出来。</w:t>
            </w:r>
          </w:p>
          <w:p w14:paraId="248C28E5">
            <w:pPr>
              <w:pStyle w:val="34"/>
              <w:ind w:firstLine="480"/>
              <w:rPr>
                <w:rFonts w:hint="default" w:ascii="Times New Roman" w:hAnsi="Times New Roman" w:eastAsia="宋体" w:cs="Times New Roman"/>
                <w:color w:val="auto"/>
                <w:lang w:bidi="ar"/>
              </w:rPr>
            </w:pPr>
            <w:r>
              <w:rPr>
                <w:rFonts w:hint="default" w:ascii="Times New Roman" w:hAnsi="Times New Roman" w:eastAsia="宋体" w:cs="Times New Roman"/>
                <w:color w:val="auto"/>
                <w:lang w:bidi="ar"/>
              </w:rPr>
              <w:t>废气由风机提供动力，负压进入吸附箱后在导流板的作用下改变气流风速及流向，使废气进入活性炭吸附层并与其充分接触，利用活性炭吸附剂表面的吸附能力，废气中的污染物被吸附在活性炭表面上，使其与气体混合物分离，净化后的气体高空排放。</w:t>
            </w:r>
          </w:p>
          <w:p w14:paraId="7FEF1CF3">
            <w:pPr>
              <w:pStyle w:val="34"/>
              <w:ind w:firstLine="480"/>
              <w:rPr>
                <w:rFonts w:hint="default" w:ascii="Times New Roman" w:hAnsi="Times New Roman" w:cs="Times New Roman"/>
                <w:color w:val="auto"/>
              </w:rPr>
            </w:pPr>
            <w:r>
              <w:rPr>
                <w:rFonts w:hint="default" w:ascii="Times New Roman" w:hAnsi="Times New Roman" w:eastAsia="宋体" w:cs="Times New Roman"/>
                <w:color w:val="auto"/>
                <w:lang w:bidi="ar"/>
              </w:rPr>
              <w:t>综上，项目有机废气采用活性炭吸附是可行的。</w:t>
            </w:r>
          </w:p>
          <w:p w14:paraId="0EC048ED">
            <w:pPr>
              <w:ind w:firstLine="482"/>
              <w:rPr>
                <w:rFonts w:hint="default" w:ascii="Times New Roman" w:hAnsi="Times New Roman" w:cs="Times New Roman"/>
                <w:b/>
                <w:bCs/>
                <w:color w:val="auto"/>
              </w:rPr>
            </w:pPr>
            <w:r>
              <w:rPr>
                <w:rFonts w:hint="default" w:ascii="Times New Roman" w:hAnsi="Times New Roman" w:cs="Times New Roman"/>
                <w:b/>
                <w:bCs/>
                <w:color w:val="auto"/>
                <w:lang w:bidi="ar"/>
              </w:rPr>
              <w:t>（8）</w:t>
            </w:r>
            <w:r>
              <w:rPr>
                <w:rFonts w:hint="default" w:ascii="Times New Roman" w:hAnsi="Times New Roman" w:cs="Times New Roman"/>
                <w:b/>
                <w:bCs/>
                <w:color w:val="auto"/>
              </w:rPr>
              <w:t>排放口基本情况</w:t>
            </w:r>
          </w:p>
          <w:p w14:paraId="3A72827C">
            <w:pPr>
              <w:ind w:firstLine="480"/>
              <w:rPr>
                <w:rFonts w:hint="default" w:ascii="Times New Roman" w:hAnsi="Times New Roman" w:cs="Times New Roman"/>
                <w:color w:val="auto"/>
              </w:rPr>
            </w:pPr>
            <w:r>
              <w:rPr>
                <w:rFonts w:hint="default" w:ascii="Times New Roman" w:hAnsi="Times New Roman" w:cs="Times New Roman"/>
                <w:color w:val="auto"/>
              </w:rPr>
              <w:t>本项目废气排放口基本情况见下表：</w:t>
            </w:r>
          </w:p>
          <w:p w14:paraId="1539CDFE">
            <w:pPr>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表4-3  废气排放口基本情况及监测要求</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955"/>
              <w:gridCol w:w="844"/>
              <w:gridCol w:w="835"/>
              <w:gridCol w:w="1714"/>
              <w:gridCol w:w="838"/>
              <w:gridCol w:w="690"/>
              <w:gridCol w:w="899"/>
            </w:tblGrid>
            <w:tr w14:paraId="7A5E3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vAlign w:val="center"/>
                </w:tcPr>
                <w:p w14:paraId="1D60D85F">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排放口名称</w:t>
                  </w:r>
                </w:p>
              </w:tc>
              <w:tc>
                <w:tcPr>
                  <w:tcW w:w="602" w:type="pct"/>
                  <w:tcBorders>
                    <w:tl2br w:val="nil"/>
                    <w:tr2bl w:val="nil"/>
                  </w:tcBorders>
                  <w:vAlign w:val="center"/>
                </w:tcPr>
                <w:p w14:paraId="792E2F2A">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污染物种类</w:t>
                  </w:r>
                </w:p>
              </w:tc>
              <w:tc>
                <w:tcPr>
                  <w:tcW w:w="532" w:type="pct"/>
                  <w:tcBorders>
                    <w:tl2br w:val="nil"/>
                    <w:tr2bl w:val="nil"/>
                  </w:tcBorders>
                  <w:vAlign w:val="center"/>
                </w:tcPr>
                <w:p w14:paraId="09B7BFE8">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排气筒高度</w:t>
                  </w:r>
                </w:p>
              </w:tc>
              <w:tc>
                <w:tcPr>
                  <w:tcW w:w="526" w:type="pct"/>
                  <w:tcBorders>
                    <w:tl2br w:val="nil"/>
                    <w:tr2bl w:val="nil"/>
                  </w:tcBorders>
                  <w:vAlign w:val="center"/>
                </w:tcPr>
                <w:p w14:paraId="66389067">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排气筒内径</w:t>
                  </w:r>
                </w:p>
              </w:tc>
              <w:tc>
                <w:tcPr>
                  <w:tcW w:w="1080" w:type="pct"/>
                  <w:tcBorders>
                    <w:tl2br w:val="nil"/>
                    <w:tr2bl w:val="nil"/>
                  </w:tcBorders>
                  <w:vAlign w:val="center"/>
                </w:tcPr>
                <w:p w14:paraId="7D10E8AC">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排气筒中心</w:t>
                  </w:r>
                </w:p>
                <w:p w14:paraId="5C4A3AD6">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地理坐标</w:t>
                  </w:r>
                </w:p>
              </w:tc>
              <w:tc>
                <w:tcPr>
                  <w:tcW w:w="528" w:type="pct"/>
                  <w:tcBorders>
                    <w:tl2br w:val="nil"/>
                    <w:tr2bl w:val="nil"/>
                  </w:tcBorders>
                  <w:vAlign w:val="center"/>
                </w:tcPr>
                <w:p w14:paraId="59B0DBD2">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排放口编号</w:t>
                  </w:r>
                </w:p>
              </w:tc>
              <w:tc>
                <w:tcPr>
                  <w:tcW w:w="434" w:type="pct"/>
                  <w:tcBorders>
                    <w:tl2br w:val="nil"/>
                    <w:tr2bl w:val="nil"/>
                  </w:tcBorders>
                  <w:vAlign w:val="center"/>
                </w:tcPr>
                <w:p w14:paraId="1610C7E4">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烟气温度</w:t>
                  </w:r>
                </w:p>
              </w:tc>
              <w:tc>
                <w:tcPr>
                  <w:tcW w:w="566" w:type="pct"/>
                  <w:tcBorders>
                    <w:tl2br w:val="nil"/>
                    <w:tr2bl w:val="nil"/>
                  </w:tcBorders>
                  <w:vAlign w:val="center"/>
                </w:tcPr>
                <w:p w14:paraId="10652921">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排放口类型</w:t>
                  </w:r>
                </w:p>
              </w:tc>
            </w:tr>
            <w:tr w14:paraId="57EF81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shd w:val="clear" w:color="auto" w:fill="auto"/>
                  <w:vAlign w:val="center"/>
                </w:tcPr>
                <w:p w14:paraId="4DAA777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发泡挤出废气</w:t>
                  </w:r>
                </w:p>
              </w:tc>
              <w:tc>
                <w:tcPr>
                  <w:tcW w:w="602" w:type="pct"/>
                  <w:tcBorders>
                    <w:tl2br w:val="nil"/>
                    <w:tr2bl w:val="nil"/>
                  </w:tcBorders>
                  <w:vAlign w:val="center"/>
                </w:tcPr>
                <w:p w14:paraId="1AB66E35">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非甲烷总烃</w:t>
                  </w:r>
                </w:p>
              </w:tc>
              <w:tc>
                <w:tcPr>
                  <w:tcW w:w="532" w:type="pct"/>
                  <w:tcBorders>
                    <w:tl2br w:val="nil"/>
                    <w:tr2bl w:val="nil"/>
                  </w:tcBorders>
                  <w:vAlign w:val="center"/>
                </w:tcPr>
                <w:p w14:paraId="7EFF0120">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15m</w:t>
                  </w:r>
                </w:p>
              </w:tc>
              <w:tc>
                <w:tcPr>
                  <w:tcW w:w="526" w:type="pct"/>
                  <w:tcBorders>
                    <w:tl2br w:val="nil"/>
                    <w:tr2bl w:val="nil"/>
                  </w:tcBorders>
                  <w:vAlign w:val="center"/>
                </w:tcPr>
                <w:p w14:paraId="3B46E54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0.4m</w:t>
                  </w:r>
                </w:p>
              </w:tc>
              <w:tc>
                <w:tcPr>
                  <w:tcW w:w="1080" w:type="pct"/>
                  <w:tcBorders>
                    <w:tl2br w:val="nil"/>
                    <w:tr2bl w:val="nil"/>
                  </w:tcBorders>
                  <w:vAlign w:val="center"/>
                </w:tcPr>
                <w:p w14:paraId="035A6A9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E108.80635142</w:t>
                  </w:r>
                </w:p>
                <w:p w14:paraId="0B18AB00">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N34.18818504</w:t>
                  </w:r>
                </w:p>
              </w:tc>
              <w:tc>
                <w:tcPr>
                  <w:tcW w:w="528" w:type="pct"/>
                  <w:tcBorders>
                    <w:tl2br w:val="nil"/>
                    <w:tr2bl w:val="nil"/>
                  </w:tcBorders>
                  <w:vAlign w:val="center"/>
                </w:tcPr>
                <w:p w14:paraId="33AD154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DA001</w:t>
                  </w:r>
                </w:p>
              </w:tc>
              <w:tc>
                <w:tcPr>
                  <w:tcW w:w="434" w:type="pct"/>
                  <w:tcBorders>
                    <w:tl2br w:val="nil"/>
                    <w:tr2bl w:val="nil"/>
                  </w:tcBorders>
                  <w:vAlign w:val="center"/>
                </w:tcPr>
                <w:p w14:paraId="03DB9CD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25℃</w:t>
                  </w:r>
                </w:p>
              </w:tc>
              <w:tc>
                <w:tcPr>
                  <w:tcW w:w="566" w:type="pct"/>
                  <w:tcBorders>
                    <w:tl2br w:val="nil"/>
                    <w:tr2bl w:val="nil"/>
                  </w:tcBorders>
                  <w:vAlign w:val="center"/>
                </w:tcPr>
                <w:p w14:paraId="175A0FDA">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一般排放口</w:t>
                  </w:r>
                </w:p>
              </w:tc>
            </w:tr>
            <w:tr w14:paraId="7BA516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vAlign w:val="center"/>
                </w:tcPr>
                <w:p w14:paraId="4C49282B">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复合废气</w:t>
                  </w:r>
                </w:p>
              </w:tc>
              <w:tc>
                <w:tcPr>
                  <w:tcW w:w="602" w:type="pct"/>
                  <w:tcBorders>
                    <w:tl2br w:val="nil"/>
                    <w:tr2bl w:val="nil"/>
                  </w:tcBorders>
                  <w:vAlign w:val="center"/>
                </w:tcPr>
                <w:p w14:paraId="038A8388">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非甲烷总烃</w:t>
                  </w:r>
                </w:p>
              </w:tc>
              <w:tc>
                <w:tcPr>
                  <w:tcW w:w="532" w:type="pct"/>
                  <w:tcBorders>
                    <w:tl2br w:val="nil"/>
                    <w:tr2bl w:val="nil"/>
                  </w:tcBorders>
                  <w:vAlign w:val="center"/>
                </w:tcPr>
                <w:p w14:paraId="0D01112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15m</w:t>
                  </w:r>
                </w:p>
              </w:tc>
              <w:tc>
                <w:tcPr>
                  <w:tcW w:w="526" w:type="pct"/>
                  <w:tcBorders>
                    <w:tl2br w:val="nil"/>
                    <w:tr2bl w:val="nil"/>
                  </w:tcBorders>
                  <w:vAlign w:val="center"/>
                </w:tcPr>
                <w:p w14:paraId="000327C9">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0.5m</w:t>
                  </w:r>
                </w:p>
              </w:tc>
              <w:tc>
                <w:tcPr>
                  <w:tcW w:w="1080" w:type="pct"/>
                  <w:tcBorders>
                    <w:tl2br w:val="nil"/>
                    <w:tr2bl w:val="nil"/>
                  </w:tcBorders>
                  <w:vAlign w:val="center"/>
                </w:tcPr>
                <w:p w14:paraId="29E4D19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E108.80627632</w:t>
                  </w:r>
                </w:p>
                <w:p w14:paraId="48E7912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N34.18785223</w:t>
                  </w:r>
                </w:p>
              </w:tc>
              <w:tc>
                <w:tcPr>
                  <w:tcW w:w="528" w:type="pct"/>
                  <w:tcBorders>
                    <w:tl2br w:val="nil"/>
                    <w:tr2bl w:val="nil"/>
                  </w:tcBorders>
                  <w:vAlign w:val="center"/>
                </w:tcPr>
                <w:p w14:paraId="4A001FC6">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DA002</w:t>
                  </w:r>
                </w:p>
              </w:tc>
              <w:tc>
                <w:tcPr>
                  <w:tcW w:w="434" w:type="pct"/>
                  <w:tcBorders>
                    <w:tl2br w:val="nil"/>
                    <w:tr2bl w:val="nil"/>
                  </w:tcBorders>
                  <w:vAlign w:val="center"/>
                </w:tcPr>
                <w:p w14:paraId="60B1CF9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25℃</w:t>
                  </w:r>
                </w:p>
              </w:tc>
              <w:tc>
                <w:tcPr>
                  <w:tcW w:w="566" w:type="pct"/>
                  <w:tcBorders>
                    <w:tl2br w:val="nil"/>
                    <w:tr2bl w:val="nil"/>
                  </w:tcBorders>
                  <w:vAlign w:val="center"/>
                </w:tcPr>
                <w:p w14:paraId="216ECDCF">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一般排放口</w:t>
                  </w:r>
                </w:p>
              </w:tc>
            </w:tr>
            <w:tr w14:paraId="47C834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shd w:val="clear" w:color="auto" w:fill="auto"/>
                  <w:vAlign w:val="center"/>
                </w:tcPr>
                <w:p w14:paraId="682DC69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粘合废气</w:t>
                  </w:r>
                </w:p>
              </w:tc>
              <w:tc>
                <w:tcPr>
                  <w:tcW w:w="602" w:type="pct"/>
                  <w:tcBorders>
                    <w:tl2br w:val="nil"/>
                    <w:tr2bl w:val="nil"/>
                  </w:tcBorders>
                  <w:shd w:val="clear" w:color="auto" w:fill="auto"/>
                  <w:vAlign w:val="center"/>
                </w:tcPr>
                <w:p w14:paraId="683AC33A">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非甲烷总烃</w:t>
                  </w:r>
                </w:p>
              </w:tc>
              <w:tc>
                <w:tcPr>
                  <w:tcW w:w="532" w:type="pct"/>
                  <w:tcBorders>
                    <w:tl2br w:val="nil"/>
                    <w:tr2bl w:val="nil"/>
                  </w:tcBorders>
                  <w:vAlign w:val="center"/>
                </w:tcPr>
                <w:p w14:paraId="6974DA0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15m</w:t>
                  </w:r>
                </w:p>
              </w:tc>
              <w:tc>
                <w:tcPr>
                  <w:tcW w:w="526" w:type="pct"/>
                  <w:tcBorders>
                    <w:tl2br w:val="nil"/>
                    <w:tr2bl w:val="nil"/>
                  </w:tcBorders>
                  <w:vAlign w:val="center"/>
                </w:tcPr>
                <w:p w14:paraId="0F3A5A0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0.4m</w:t>
                  </w:r>
                </w:p>
              </w:tc>
              <w:tc>
                <w:tcPr>
                  <w:tcW w:w="1080" w:type="pct"/>
                  <w:tcBorders>
                    <w:tl2br w:val="nil"/>
                    <w:tr2bl w:val="nil"/>
                  </w:tcBorders>
                  <w:vAlign w:val="center"/>
                </w:tcPr>
                <w:p w14:paraId="16CD14B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E108.80641043</w:t>
                  </w:r>
                </w:p>
                <w:p w14:paraId="6BAFA806">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N34.18730642</w:t>
                  </w:r>
                </w:p>
              </w:tc>
              <w:tc>
                <w:tcPr>
                  <w:tcW w:w="528" w:type="pct"/>
                  <w:tcBorders>
                    <w:tl2br w:val="nil"/>
                    <w:tr2bl w:val="nil"/>
                  </w:tcBorders>
                  <w:vAlign w:val="center"/>
                </w:tcPr>
                <w:p w14:paraId="55AE4A2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DA003</w:t>
                  </w:r>
                </w:p>
              </w:tc>
              <w:tc>
                <w:tcPr>
                  <w:tcW w:w="434" w:type="pct"/>
                  <w:tcBorders>
                    <w:tl2br w:val="nil"/>
                    <w:tr2bl w:val="nil"/>
                  </w:tcBorders>
                  <w:vAlign w:val="center"/>
                </w:tcPr>
                <w:p w14:paraId="47FAD8CE">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25℃</w:t>
                  </w:r>
                </w:p>
              </w:tc>
              <w:tc>
                <w:tcPr>
                  <w:tcW w:w="566" w:type="pct"/>
                  <w:tcBorders>
                    <w:tl2br w:val="nil"/>
                    <w:tr2bl w:val="nil"/>
                  </w:tcBorders>
                  <w:vAlign w:val="center"/>
                </w:tcPr>
                <w:p w14:paraId="4F1CB2D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一般排放口</w:t>
                  </w:r>
                </w:p>
              </w:tc>
            </w:tr>
            <w:tr w14:paraId="6BF302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shd w:val="clear" w:color="auto" w:fill="auto"/>
                  <w:vAlign w:val="center"/>
                </w:tcPr>
                <w:p w14:paraId="718DF197">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造粒废气</w:t>
                  </w:r>
                </w:p>
              </w:tc>
              <w:tc>
                <w:tcPr>
                  <w:tcW w:w="602" w:type="pct"/>
                  <w:tcBorders>
                    <w:tl2br w:val="nil"/>
                    <w:tr2bl w:val="nil"/>
                  </w:tcBorders>
                  <w:shd w:val="clear" w:color="auto" w:fill="auto"/>
                  <w:vAlign w:val="center"/>
                </w:tcPr>
                <w:p w14:paraId="41B525A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非甲烷总烃</w:t>
                  </w:r>
                </w:p>
              </w:tc>
              <w:tc>
                <w:tcPr>
                  <w:tcW w:w="532" w:type="pct"/>
                  <w:tcBorders>
                    <w:tl2br w:val="nil"/>
                    <w:tr2bl w:val="nil"/>
                  </w:tcBorders>
                  <w:vAlign w:val="center"/>
                </w:tcPr>
                <w:p w14:paraId="1EEE7F5E">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15m</w:t>
                  </w:r>
                </w:p>
              </w:tc>
              <w:tc>
                <w:tcPr>
                  <w:tcW w:w="526" w:type="pct"/>
                  <w:tcBorders>
                    <w:tl2br w:val="nil"/>
                    <w:tr2bl w:val="nil"/>
                  </w:tcBorders>
                  <w:vAlign w:val="center"/>
                </w:tcPr>
                <w:p w14:paraId="3903C54E">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0.4m</w:t>
                  </w:r>
                </w:p>
              </w:tc>
              <w:tc>
                <w:tcPr>
                  <w:tcW w:w="1080" w:type="pct"/>
                  <w:tcBorders>
                    <w:tl2br w:val="nil"/>
                    <w:tr2bl w:val="nil"/>
                  </w:tcBorders>
                  <w:vAlign w:val="center"/>
                </w:tcPr>
                <w:p w14:paraId="1E6EB1A5">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E108.80573452</w:t>
                  </w:r>
                </w:p>
                <w:p w14:paraId="21AB61C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N34.18778123</w:t>
                  </w:r>
                </w:p>
              </w:tc>
              <w:tc>
                <w:tcPr>
                  <w:tcW w:w="528" w:type="pct"/>
                  <w:tcBorders>
                    <w:tl2br w:val="nil"/>
                    <w:tr2bl w:val="nil"/>
                  </w:tcBorders>
                  <w:vAlign w:val="center"/>
                </w:tcPr>
                <w:p w14:paraId="2252A1B9">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DA004</w:t>
                  </w:r>
                </w:p>
              </w:tc>
              <w:tc>
                <w:tcPr>
                  <w:tcW w:w="434" w:type="pct"/>
                  <w:tcBorders>
                    <w:tl2br w:val="nil"/>
                    <w:tr2bl w:val="nil"/>
                  </w:tcBorders>
                  <w:vAlign w:val="center"/>
                </w:tcPr>
                <w:p w14:paraId="4181C25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25℃</w:t>
                  </w:r>
                </w:p>
              </w:tc>
              <w:tc>
                <w:tcPr>
                  <w:tcW w:w="566" w:type="pct"/>
                  <w:tcBorders>
                    <w:tl2br w:val="nil"/>
                    <w:tr2bl w:val="nil"/>
                  </w:tcBorders>
                  <w:vAlign w:val="center"/>
                </w:tcPr>
                <w:p w14:paraId="6D187766">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一般排放口</w:t>
                  </w:r>
                </w:p>
              </w:tc>
            </w:tr>
            <w:tr w14:paraId="649046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8" w:type="pct"/>
                  <w:tcBorders>
                    <w:tl2br w:val="nil"/>
                    <w:tr2bl w:val="nil"/>
                  </w:tcBorders>
                  <w:shd w:val="clear" w:color="auto" w:fill="auto"/>
                  <w:vAlign w:val="center"/>
                </w:tcPr>
                <w:p w14:paraId="1F216E51">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食堂油烟</w:t>
                  </w:r>
                </w:p>
              </w:tc>
              <w:tc>
                <w:tcPr>
                  <w:tcW w:w="602" w:type="pct"/>
                  <w:tcBorders>
                    <w:tl2br w:val="nil"/>
                    <w:tr2bl w:val="nil"/>
                  </w:tcBorders>
                  <w:vAlign w:val="center"/>
                </w:tcPr>
                <w:p w14:paraId="4425A61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油烟</w:t>
                  </w:r>
                </w:p>
              </w:tc>
              <w:tc>
                <w:tcPr>
                  <w:tcW w:w="532" w:type="pct"/>
                  <w:tcBorders>
                    <w:tl2br w:val="nil"/>
                    <w:tr2bl w:val="nil"/>
                  </w:tcBorders>
                  <w:vAlign w:val="center"/>
                </w:tcPr>
                <w:p w14:paraId="5412EEC6">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3m</w:t>
                  </w:r>
                </w:p>
              </w:tc>
              <w:tc>
                <w:tcPr>
                  <w:tcW w:w="526" w:type="pct"/>
                  <w:tcBorders>
                    <w:tl2br w:val="nil"/>
                    <w:tr2bl w:val="nil"/>
                  </w:tcBorders>
                  <w:vAlign w:val="center"/>
                </w:tcPr>
                <w:p w14:paraId="6CCBD5B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0.3m</w:t>
                  </w:r>
                </w:p>
              </w:tc>
              <w:tc>
                <w:tcPr>
                  <w:tcW w:w="1080" w:type="pct"/>
                  <w:tcBorders>
                    <w:tl2br w:val="nil"/>
                    <w:tr2bl w:val="nil"/>
                  </w:tcBorders>
                  <w:vAlign w:val="center"/>
                </w:tcPr>
                <w:p w14:paraId="74C8268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E108.80618781</w:t>
                  </w:r>
                </w:p>
                <w:p w14:paraId="0C311AA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N34.18820944</w:t>
                  </w:r>
                </w:p>
              </w:tc>
              <w:tc>
                <w:tcPr>
                  <w:tcW w:w="528" w:type="pct"/>
                  <w:tcBorders>
                    <w:tl2br w:val="nil"/>
                    <w:tr2bl w:val="nil"/>
                  </w:tcBorders>
                  <w:vAlign w:val="center"/>
                </w:tcPr>
                <w:p w14:paraId="227E7447">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DA005</w:t>
                  </w:r>
                </w:p>
              </w:tc>
              <w:tc>
                <w:tcPr>
                  <w:tcW w:w="434" w:type="pct"/>
                  <w:tcBorders>
                    <w:tl2br w:val="nil"/>
                    <w:tr2bl w:val="nil"/>
                  </w:tcBorders>
                  <w:vAlign w:val="center"/>
                </w:tcPr>
                <w:p w14:paraId="3FB0C2F4">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25℃</w:t>
                  </w:r>
                </w:p>
              </w:tc>
              <w:tc>
                <w:tcPr>
                  <w:tcW w:w="566" w:type="pct"/>
                  <w:tcBorders>
                    <w:tl2br w:val="nil"/>
                    <w:tr2bl w:val="nil"/>
                  </w:tcBorders>
                  <w:vAlign w:val="center"/>
                </w:tcPr>
                <w:p w14:paraId="41A1566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一般排放口</w:t>
                  </w:r>
                </w:p>
              </w:tc>
            </w:tr>
          </w:tbl>
          <w:p w14:paraId="1DA204B3">
            <w:pPr>
              <w:adjustRightInd/>
              <w:snapToGrid/>
              <w:ind w:firstLine="482"/>
              <w:rPr>
                <w:rFonts w:hint="default" w:ascii="Times New Roman" w:hAnsi="Times New Roman" w:cs="Times New Roman"/>
                <w:b/>
                <w:bCs/>
                <w:color w:val="auto"/>
                <w:lang w:bidi="ar"/>
              </w:rPr>
            </w:pPr>
            <w:r>
              <w:rPr>
                <w:rFonts w:hint="default" w:ascii="Times New Roman" w:hAnsi="Times New Roman" w:cs="Times New Roman"/>
                <w:b/>
                <w:bCs/>
                <w:color w:val="auto"/>
                <w:lang w:bidi="ar"/>
              </w:rPr>
              <w:t>（9）非正常工况</w:t>
            </w:r>
          </w:p>
          <w:p w14:paraId="2BE1C285">
            <w:pPr>
              <w:ind w:firstLine="480"/>
              <w:rPr>
                <w:rFonts w:hint="default" w:ascii="Times New Roman" w:hAnsi="Times New Roman" w:cs="Times New Roman"/>
                <w:color w:val="auto"/>
              </w:rPr>
            </w:pPr>
            <w:r>
              <w:rPr>
                <w:rFonts w:hint="default" w:ascii="Times New Roman" w:hAnsi="Times New Roman" w:cs="Times New Roman"/>
                <w:color w:val="auto"/>
              </w:rPr>
              <w:t>本项目的非正常工况主要是污染物排放处理设施达不到应有的处理效率，包括活性炭到达吸附末期吸附能力变弱、活性炭吸附处理装置发生故障，造成排气筒中废气污染物未经过净化后直接排放，本次按造粒工序二级活性炭吸附装置失效考虑，非正常工况排放情况见下表。</w:t>
            </w:r>
          </w:p>
          <w:p w14:paraId="26B9CB19">
            <w:pPr>
              <w:spacing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表4-4  非正常工况污染物排放情况</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1071"/>
              <w:gridCol w:w="914"/>
              <w:gridCol w:w="1276"/>
              <w:gridCol w:w="1066"/>
              <w:gridCol w:w="857"/>
              <w:gridCol w:w="847"/>
              <w:gridCol w:w="885"/>
            </w:tblGrid>
            <w:tr w14:paraId="119B1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vAlign w:val="center"/>
                </w:tcPr>
                <w:p w14:paraId="55FFE136">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非正常排放源</w:t>
                  </w:r>
                </w:p>
              </w:tc>
              <w:tc>
                <w:tcPr>
                  <w:tcW w:w="675" w:type="pct"/>
                  <w:vAlign w:val="center"/>
                </w:tcPr>
                <w:p w14:paraId="7A5D0BF0">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非正常排放原因</w:t>
                  </w:r>
                </w:p>
              </w:tc>
              <w:tc>
                <w:tcPr>
                  <w:tcW w:w="576" w:type="pct"/>
                  <w:vAlign w:val="center"/>
                </w:tcPr>
                <w:p w14:paraId="572A6BCE">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804" w:type="pct"/>
                  <w:vAlign w:val="center"/>
                </w:tcPr>
                <w:p w14:paraId="541A2176">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非正常排放速率（kg/h）</w:t>
                  </w:r>
                </w:p>
              </w:tc>
              <w:tc>
                <w:tcPr>
                  <w:tcW w:w="672" w:type="pct"/>
                  <w:vAlign w:val="center"/>
                </w:tcPr>
                <w:p w14:paraId="69A794BB">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非正常排放量（kg）</w:t>
                  </w:r>
                </w:p>
              </w:tc>
              <w:tc>
                <w:tcPr>
                  <w:tcW w:w="540" w:type="pct"/>
                  <w:vAlign w:val="center"/>
                </w:tcPr>
                <w:p w14:paraId="4EFE5F1A">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单次持续时间</w:t>
                  </w:r>
                </w:p>
              </w:tc>
              <w:tc>
                <w:tcPr>
                  <w:tcW w:w="534" w:type="pct"/>
                  <w:vAlign w:val="center"/>
                </w:tcPr>
                <w:p w14:paraId="685E171C">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年发生频次</w:t>
                  </w:r>
                </w:p>
              </w:tc>
              <w:tc>
                <w:tcPr>
                  <w:tcW w:w="558" w:type="pct"/>
                  <w:vAlign w:val="center"/>
                </w:tcPr>
                <w:p w14:paraId="07CD56B8">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应对</w:t>
                  </w:r>
                </w:p>
                <w:p w14:paraId="15AEB1F4">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措施</w:t>
                  </w:r>
                </w:p>
              </w:tc>
            </w:tr>
            <w:tr w14:paraId="39B128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shd w:val="clear" w:color="auto" w:fill="auto"/>
                  <w:vAlign w:val="center"/>
                </w:tcPr>
                <w:p w14:paraId="239BD499">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造粒废气</w:t>
                  </w:r>
                </w:p>
              </w:tc>
              <w:tc>
                <w:tcPr>
                  <w:tcW w:w="675" w:type="pct"/>
                  <w:shd w:val="clear" w:color="auto" w:fill="auto"/>
                  <w:vAlign w:val="center"/>
                </w:tcPr>
                <w:p w14:paraId="7BF5DD14">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二级活性炭吸附装置故障</w:t>
                  </w:r>
                </w:p>
              </w:tc>
              <w:tc>
                <w:tcPr>
                  <w:tcW w:w="576" w:type="pct"/>
                  <w:shd w:val="clear" w:color="auto" w:fill="auto"/>
                  <w:vAlign w:val="center"/>
                </w:tcPr>
                <w:p w14:paraId="1F25D1D5">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非甲烷总烃</w:t>
                  </w:r>
                </w:p>
              </w:tc>
              <w:tc>
                <w:tcPr>
                  <w:tcW w:w="804" w:type="pct"/>
                  <w:shd w:val="clear" w:color="auto" w:fill="auto"/>
                  <w:vAlign w:val="center"/>
                </w:tcPr>
                <w:p w14:paraId="4440CAC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0.07</w:t>
                  </w:r>
                </w:p>
              </w:tc>
              <w:tc>
                <w:tcPr>
                  <w:tcW w:w="672" w:type="pct"/>
                  <w:shd w:val="clear" w:color="auto" w:fill="auto"/>
                  <w:vAlign w:val="center"/>
                </w:tcPr>
                <w:p w14:paraId="5C928C00">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0.07</w:t>
                  </w:r>
                </w:p>
              </w:tc>
              <w:tc>
                <w:tcPr>
                  <w:tcW w:w="540" w:type="pct"/>
                  <w:shd w:val="clear" w:color="auto" w:fill="auto"/>
                  <w:vAlign w:val="center"/>
                </w:tcPr>
                <w:p w14:paraId="64B8E183">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1h/次</w:t>
                  </w:r>
                </w:p>
              </w:tc>
              <w:tc>
                <w:tcPr>
                  <w:tcW w:w="534" w:type="pct"/>
                  <w:shd w:val="clear" w:color="auto" w:fill="auto"/>
                  <w:vAlign w:val="center"/>
                </w:tcPr>
                <w:p w14:paraId="77C70FD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1次/年</w:t>
                  </w:r>
                </w:p>
              </w:tc>
              <w:tc>
                <w:tcPr>
                  <w:tcW w:w="558" w:type="pct"/>
                  <w:shd w:val="clear" w:color="auto" w:fill="auto"/>
                  <w:vAlign w:val="center"/>
                </w:tcPr>
                <w:p w14:paraId="0500C8EA">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立即停产，维修设备</w:t>
                  </w:r>
                </w:p>
              </w:tc>
            </w:tr>
          </w:tbl>
          <w:p w14:paraId="2534F9D7">
            <w:pPr>
              <w:ind w:firstLine="482"/>
              <w:rPr>
                <w:rFonts w:hint="default" w:ascii="Times New Roman" w:hAnsi="Times New Roman" w:cs="Times New Roman"/>
                <w:b/>
                <w:bCs/>
                <w:color w:val="auto"/>
              </w:rPr>
            </w:pPr>
            <w:r>
              <w:rPr>
                <w:rFonts w:hint="default" w:ascii="Times New Roman" w:hAnsi="Times New Roman" w:cs="Times New Roman"/>
                <w:b/>
                <w:bCs/>
                <w:color w:val="auto"/>
              </w:rPr>
              <w:t>（10）达标分析</w:t>
            </w:r>
          </w:p>
          <w:p w14:paraId="0A0DAA97">
            <w:pPr>
              <w:ind w:firstLine="480"/>
              <w:rPr>
                <w:rFonts w:hint="default" w:ascii="Times New Roman" w:hAnsi="Times New Roman" w:cs="Times New Roman"/>
                <w:color w:val="auto"/>
              </w:rPr>
            </w:pPr>
            <w:r>
              <w:rPr>
                <w:rFonts w:hint="default" w:ascii="Times New Roman" w:hAnsi="Times New Roman" w:cs="Times New Roman"/>
                <w:color w:val="auto"/>
              </w:rPr>
              <w:t>本项目生产过程中产生的有机废气（以非甲烷总烃计）产生浓度为0.30-26.88mg/m</w:t>
            </w:r>
            <w:r>
              <w:rPr>
                <w:rFonts w:hint="default" w:ascii="Times New Roman" w:hAnsi="Times New Roman" w:cs="Times New Roman"/>
                <w:color w:val="auto"/>
                <w:vertAlign w:val="superscript"/>
              </w:rPr>
              <w:t>3</w:t>
            </w:r>
            <w:r>
              <w:rPr>
                <w:rFonts w:hint="default" w:ascii="Times New Roman" w:hAnsi="Times New Roman" w:cs="Times New Roman"/>
                <w:color w:val="auto"/>
              </w:rPr>
              <w:t>，分别经集气罩收集后各自引入二级活性炭装置处理，非甲烷总烃排放浓度为0.07-6.72mg/m</w:t>
            </w:r>
            <w:r>
              <w:rPr>
                <w:rFonts w:hint="default" w:ascii="Times New Roman" w:hAnsi="Times New Roman" w:cs="Times New Roman"/>
                <w:color w:val="auto"/>
                <w:vertAlign w:val="superscript"/>
              </w:rPr>
              <w:t>3</w:t>
            </w:r>
            <w:r>
              <w:rPr>
                <w:rFonts w:hint="default" w:ascii="Times New Roman" w:hAnsi="Times New Roman" w:cs="Times New Roman"/>
                <w:color w:val="auto"/>
              </w:rPr>
              <w:t>，均符合《合成树脂工业污染物排放标准》（GB31572-2015</w:t>
            </w:r>
            <w:r>
              <w:rPr>
                <w:rFonts w:hint="default" w:ascii="Times New Roman" w:hAnsi="Times New Roman" w:cs="Times New Roman"/>
                <w:color w:val="auto"/>
                <w:kern w:val="0"/>
              </w:rPr>
              <w:t>，含2024修改单</w:t>
            </w:r>
            <w:r>
              <w:rPr>
                <w:rFonts w:hint="default" w:ascii="Times New Roman" w:hAnsi="Times New Roman" w:cs="Times New Roman"/>
                <w:color w:val="auto"/>
              </w:rPr>
              <w:t>）中限值要求。</w:t>
            </w:r>
          </w:p>
          <w:p w14:paraId="75E34565">
            <w:pPr>
              <w:adjustRightInd/>
              <w:snapToGrid/>
              <w:ind w:firstLine="442"/>
              <w:rPr>
                <w:rFonts w:hint="default" w:ascii="Times New Roman" w:hAnsi="Times New Roman" w:cs="Times New Roman"/>
                <w:bCs/>
                <w:color w:val="auto"/>
              </w:rPr>
            </w:pPr>
            <w:r>
              <w:rPr>
                <w:rFonts w:hint="default" w:ascii="Times New Roman" w:hAnsi="Times New Roman" w:cs="Times New Roman"/>
                <w:b/>
                <w:color w:val="auto"/>
                <w:spacing w:val="-10"/>
              </w:rPr>
              <w:t>2、</w:t>
            </w:r>
            <w:r>
              <w:rPr>
                <w:rFonts w:hint="default" w:ascii="Times New Roman" w:hAnsi="Times New Roman" w:cs="Times New Roman"/>
                <w:b/>
                <w:color w:val="auto"/>
              </w:rPr>
              <w:t>废水</w:t>
            </w:r>
          </w:p>
          <w:p w14:paraId="38CA693A">
            <w:pPr>
              <w:widowControl/>
              <w:adjustRightInd/>
              <w:ind w:right="113" w:firstLine="480"/>
              <w:rPr>
                <w:rFonts w:hint="default" w:ascii="Times New Roman" w:hAnsi="Times New Roman" w:cs="Times New Roman"/>
                <w:color w:val="auto"/>
                <w:kern w:val="0"/>
              </w:rPr>
            </w:pPr>
            <w:r>
              <w:rPr>
                <w:rFonts w:hint="default" w:ascii="Times New Roman" w:hAnsi="Times New Roman" w:cs="Times New Roman"/>
                <w:color w:val="auto"/>
                <w:kern w:val="0"/>
              </w:rPr>
              <w:t>本项目</w:t>
            </w:r>
            <w:r>
              <w:rPr>
                <w:rFonts w:hint="default" w:ascii="Times New Roman" w:hAnsi="Times New Roman" w:cs="Times New Roman"/>
                <w:color w:val="auto"/>
                <w:kern w:val="0"/>
              </w:rPr>
              <w:t>食堂废水经油水分离器处理后和生活污水进入厂区化粪池，处理后定期清掏肥田，不外排</w:t>
            </w:r>
            <w:r>
              <w:rPr>
                <w:rFonts w:hint="default" w:ascii="Times New Roman" w:hAnsi="Times New Roman" w:cs="Times New Roman"/>
                <w:color w:val="auto"/>
                <w:kern w:val="0"/>
                <w:lang w:eastAsia="zh-CN"/>
              </w:rPr>
              <w:t>；</w:t>
            </w:r>
            <w:r>
              <w:rPr>
                <w:rFonts w:hint="default" w:ascii="Times New Roman" w:hAnsi="Times New Roman" w:cs="Times New Roman"/>
                <w:color w:val="auto"/>
                <w:kern w:val="0"/>
              </w:rPr>
              <w:t>设备冷却水通过循环冷却水系统循环使用，定期补充新鲜水，循环冷却水系统产生的排污水用于厂区洒水降尘</w:t>
            </w:r>
            <w:r>
              <w:rPr>
                <w:rFonts w:hint="default" w:ascii="Times New Roman" w:hAnsi="Times New Roman" w:cs="Times New Roman"/>
                <w:color w:val="auto"/>
                <w:kern w:val="0"/>
              </w:rPr>
              <w:t>。</w:t>
            </w:r>
          </w:p>
          <w:p w14:paraId="4EC25D7D">
            <w:pPr>
              <w:adjustRightInd/>
              <w:snapToGrid/>
              <w:ind w:firstLine="482"/>
              <w:rPr>
                <w:rFonts w:hint="default" w:ascii="Times New Roman" w:hAnsi="Times New Roman" w:cs="Times New Roman"/>
                <w:b/>
                <w:bCs/>
                <w:color w:val="auto"/>
              </w:rPr>
            </w:pPr>
            <w:r>
              <w:rPr>
                <w:rFonts w:hint="default" w:ascii="Times New Roman" w:hAnsi="Times New Roman" w:cs="Times New Roman"/>
                <w:b/>
                <w:bCs/>
                <w:color w:val="auto"/>
              </w:rPr>
              <w:t>（1）员工生活污水</w:t>
            </w:r>
          </w:p>
          <w:p w14:paraId="010EF077">
            <w:pPr>
              <w:adjustRightInd/>
              <w:snapToGrid/>
              <w:ind w:firstLine="480"/>
              <w:rPr>
                <w:rFonts w:hint="default" w:ascii="Times New Roman" w:hAnsi="Times New Roman" w:cs="Times New Roman"/>
                <w:b/>
                <w:bCs/>
                <w:color w:val="auto"/>
              </w:rPr>
            </w:pPr>
            <w:r>
              <w:rPr>
                <w:rFonts w:hint="default" w:ascii="Times New Roman" w:hAnsi="Times New Roman" w:cs="Times New Roman"/>
                <w:color w:val="auto"/>
              </w:rPr>
              <w:t>本项目生活污水中主要污染物为COD、BOD</w:t>
            </w:r>
            <w:r>
              <w:rPr>
                <w:rFonts w:hint="default" w:ascii="Times New Roman" w:hAnsi="Times New Roman" w:cs="Times New Roman"/>
                <w:color w:val="auto"/>
                <w:vertAlign w:val="subscript"/>
              </w:rPr>
              <w:t>5</w:t>
            </w:r>
            <w:r>
              <w:rPr>
                <w:rFonts w:hint="default" w:ascii="Times New Roman" w:hAnsi="Times New Roman" w:cs="Times New Roman"/>
                <w:color w:val="auto"/>
              </w:rPr>
              <w:t>、SS、氨氮、总磷、总氮、动植物油等，循环冷却水系统排污水的主要污染物为SS。</w:t>
            </w:r>
          </w:p>
          <w:p w14:paraId="4BDAA135">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①员工生活用水</w:t>
            </w:r>
          </w:p>
          <w:p w14:paraId="625FA2A2">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根</w:t>
            </w:r>
            <w:r>
              <w:rPr>
                <w:rFonts w:hint="default" w:ascii="Times New Roman" w:hAnsi="Times New Roman" w:cs="Times New Roman"/>
                <w:snapToGrid w:val="0"/>
                <w:color w:val="auto"/>
              </w:rPr>
              <w:t>据前文分析，员工生活办公用水</w:t>
            </w:r>
            <w:r>
              <w:rPr>
                <w:rFonts w:hint="default" w:ascii="Times New Roman" w:hAnsi="Times New Roman" w:cs="Times New Roman"/>
                <w:color w:val="auto"/>
              </w:rPr>
              <w:t>量为792</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rPr>
              <w:t>/a，2.83</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rPr>
              <w:t>/d，废水产生系数按0.8计，则产生废水量为633.6</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rPr>
              <w:t>/a，2.26</w:t>
            </w:r>
            <w:r>
              <w:rPr>
                <w:rFonts w:hint="default" w:ascii="Times New Roman" w:hAnsi="Times New Roman" w:cs="Times New Roman"/>
                <w:color w:val="auto"/>
                <w:kern w:val="0"/>
              </w:rPr>
              <w:t>m</w:t>
            </w:r>
            <w:r>
              <w:rPr>
                <w:rFonts w:hint="default" w:ascii="Times New Roman" w:hAnsi="Times New Roman" w:cs="Times New Roman"/>
                <w:color w:val="auto"/>
                <w:kern w:val="0"/>
                <w:vertAlign w:val="superscript"/>
              </w:rPr>
              <w:t>3</w:t>
            </w:r>
            <w:r>
              <w:rPr>
                <w:rFonts w:hint="default" w:ascii="Times New Roman" w:hAnsi="Times New Roman" w:cs="Times New Roman"/>
                <w:color w:val="auto"/>
              </w:rPr>
              <w:t>/d。</w:t>
            </w:r>
          </w:p>
          <w:p w14:paraId="05DAD06C">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②食堂用水</w:t>
            </w:r>
          </w:p>
          <w:p w14:paraId="457B8A3C">
            <w:pPr>
              <w:ind w:firstLine="480"/>
              <w:textAlignment w:val="baseline"/>
              <w:rPr>
                <w:rFonts w:hint="default" w:ascii="Times New Roman" w:hAnsi="Times New Roman" w:cs="Times New Roman"/>
                <w:color w:val="auto"/>
              </w:rPr>
            </w:pPr>
            <w:r>
              <w:rPr>
                <w:rFonts w:hint="default" w:ascii="Times New Roman" w:hAnsi="Times New Roman" w:cs="Times New Roman"/>
                <w:color w:val="auto"/>
              </w:rPr>
              <w:t>根</w:t>
            </w:r>
            <w:r>
              <w:rPr>
                <w:rFonts w:hint="default" w:ascii="Times New Roman" w:hAnsi="Times New Roman" w:cs="Times New Roman"/>
                <w:snapToGrid w:val="0"/>
                <w:color w:val="auto"/>
              </w:rPr>
              <w:t>据前文分析，</w:t>
            </w:r>
            <w:r>
              <w:rPr>
                <w:rFonts w:hint="default" w:ascii="Times New Roman" w:hAnsi="Times New Roman" w:cs="Times New Roman"/>
                <w:color w:val="auto"/>
              </w:rPr>
              <w:t>食堂用水量为2.16m</w:t>
            </w:r>
            <w:r>
              <w:rPr>
                <w:rFonts w:hint="default" w:ascii="Times New Roman" w:hAnsi="Times New Roman" w:cs="Times New Roman"/>
                <w:color w:val="auto"/>
                <w:vertAlign w:val="superscript"/>
              </w:rPr>
              <w:t>3</w:t>
            </w:r>
            <w:r>
              <w:rPr>
                <w:rFonts w:hint="default" w:ascii="Times New Roman" w:hAnsi="Times New Roman" w:cs="Times New Roman"/>
                <w:color w:val="auto"/>
              </w:rPr>
              <w:t>/d，604.8m</w:t>
            </w:r>
            <w:r>
              <w:rPr>
                <w:rFonts w:hint="default" w:ascii="Times New Roman" w:hAnsi="Times New Roman" w:cs="Times New Roman"/>
                <w:color w:val="auto"/>
                <w:vertAlign w:val="superscript"/>
              </w:rPr>
              <w:t>3</w:t>
            </w:r>
            <w:r>
              <w:rPr>
                <w:rFonts w:hint="default" w:ascii="Times New Roman" w:hAnsi="Times New Roman" w:cs="Times New Roman"/>
                <w:color w:val="auto"/>
              </w:rPr>
              <w:t>/a。餐饮废水排放系数为80%，则废水量为1.728m</w:t>
            </w:r>
            <w:r>
              <w:rPr>
                <w:rFonts w:hint="default" w:ascii="Times New Roman" w:hAnsi="Times New Roman" w:cs="Times New Roman"/>
                <w:color w:val="auto"/>
                <w:vertAlign w:val="superscript"/>
              </w:rPr>
              <w:t>3</w:t>
            </w:r>
            <w:r>
              <w:rPr>
                <w:rFonts w:hint="default" w:ascii="Times New Roman" w:hAnsi="Times New Roman" w:cs="Times New Roman"/>
                <w:color w:val="auto"/>
              </w:rPr>
              <w:t>/d，483.84m</w:t>
            </w:r>
            <w:r>
              <w:rPr>
                <w:rFonts w:hint="default" w:ascii="Times New Roman" w:hAnsi="Times New Roman" w:cs="Times New Roman"/>
                <w:color w:val="auto"/>
                <w:vertAlign w:val="superscript"/>
              </w:rPr>
              <w:t>3</w:t>
            </w:r>
            <w:r>
              <w:rPr>
                <w:rFonts w:hint="default" w:ascii="Times New Roman" w:hAnsi="Times New Roman" w:cs="Times New Roman"/>
                <w:color w:val="auto"/>
              </w:rPr>
              <w:t>/a。</w:t>
            </w:r>
          </w:p>
          <w:p w14:paraId="5635EDC1">
            <w:pPr>
              <w:ind w:firstLine="480"/>
              <w:rPr>
                <w:rFonts w:hint="default" w:ascii="Times New Roman" w:hAnsi="Times New Roman" w:cs="Times New Roman"/>
                <w:color w:val="auto"/>
              </w:rPr>
            </w:pPr>
            <w:r>
              <w:rPr>
                <w:rFonts w:hint="default" w:ascii="Times New Roman" w:hAnsi="Times New Roman" w:cs="Times New Roman"/>
                <w:color w:val="auto"/>
              </w:rPr>
              <w:t>③循环冷却水系统排污水</w:t>
            </w:r>
          </w:p>
          <w:p w14:paraId="653C84D7">
            <w:pPr>
              <w:ind w:firstLine="480"/>
              <w:rPr>
                <w:rFonts w:hint="default" w:ascii="Times New Roman" w:hAnsi="Times New Roman" w:cs="Times New Roman"/>
                <w:b/>
                <w:bCs/>
                <w:color w:val="auto"/>
              </w:rPr>
            </w:pPr>
            <w:r>
              <w:rPr>
                <w:rFonts w:hint="default" w:ascii="Times New Roman" w:hAnsi="Times New Roman" w:cs="Times New Roman"/>
                <w:color w:val="auto"/>
              </w:rPr>
              <w:t>根据前文分析，循环冷却水系统定期产生排污水0.01m</w:t>
            </w:r>
            <w:r>
              <w:rPr>
                <w:rFonts w:hint="default" w:ascii="Times New Roman" w:hAnsi="Times New Roman" w:cs="Times New Roman"/>
                <w:color w:val="auto"/>
                <w:vertAlign w:val="superscript"/>
              </w:rPr>
              <w:t>3</w:t>
            </w:r>
            <w:r>
              <w:rPr>
                <w:rFonts w:hint="default" w:ascii="Times New Roman" w:hAnsi="Times New Roman" w:cs="Times New Roman"/>
                <w:color w:val="auto"/>
              </w:rPr>
              <w:t>/d，1.80m</w:t>
            </w:r>
            <w:r>
              <w:rPr>
                <w:rFonts w:hint="default" w:ascii="Times New Roman" w:hAnsi="Times New Roman" w:cs="Times New Roman"/>
                <w:color w:val="auto"/>
                <w:vertAlign w:val="superscript"/>
              </w:rPr>
              <w:t>3</w:t>
            </w:r>
            <w:r>
              <w:rPr>
                <w:rFonts w:hint="default" w:ascii="Times New Roman" w:hAnsi="Times New Roman" w:cs="Times New Roman"/>
                <w:color w:val="auto"/>
              </w:rPr>
              <w:t>/a，用于厂区</w:t>
            </w:r>
            <w:r>
              <w:rPr>
                <w:rFonts w:hint="default" w:ascii="Times New Roman" w:hAnsi="Times New Roman" w:cs="Times New Roman"/>
                <w:color w:val="auto"/>
                <w:lang w:val="en-US" w:eastAsia="zh-CN"/>
              </w:rPr>
              <w:t>洒水降尘</w:t>
            </w:r>
            <w:r>
              <w:rPr>
                <w:rFonts w:hint="default" w:ascii="Times New Roman" w:hAnsi="Times New Roman" w:cs="Times New Roman"/>
                <w:color w:val="auto"/>
              </w:rPr>
              <w:t>，不外排。</w:t>
            </w:r>
          </w:p>
          <w:p w14:paraId="15728802">
            <w:pPr>
              <w:ind w:firstLine="480"/>
              <w:rPr>
                <w:rFonts w:hint="default" w:ascii="Times New Roman" w:hAnsi="Times New Roman" w:cs="Times New Roman"/>
                <w:color w:val="auto"/>
                <w:szCs w:val="21"/>
              </w:rPr>
            </w:pPr>
            <w:r>
              <w:rPr>
                <w:rFonts w:hint="default" w:ascii="Times New Roman" w:hAnsi="Times New Roman" w:cs="Times New Roman"/>
                <w:color w:val="auto"/>
              </w:rPr>
              <w:t>本项目食堂废水经油水分离器处理后和生活污水进入厂区化粪池，处理后定期清掏肥田，不外排</w:t>
            </w:r>
            <w:r>
              <w:rPr>
                <w:rFonts w:hint="default" w:ascii="Times New Roman" w:hAnsi="Times New Roman" w:cs="Times New Roman"/>
                <w:bCs/>
                <w:color w:val="auto"/>
              </w:rPr>
              <w:t>。</w:t>
            </w:r>
            <w:r>
              <w:rPr>
                <w:rFonts w:hint="default" w:ascii="Times New Roman" w:hAnsi="Times New Roman" w:cs="Times New Roman"/>
                <w:color w:val="auto"/>
              </w:rPr>
              <w:t>根据同类项目运行</w:t>
            </w:r>
            <w:r>
              <w:rPr>
                <w:rFonts w:hint="default" w:ascii="Times New Roman" w:hAnsi="Times New Roman" w:cs="Times New Roman"/>
                <w:color w:val="auto"/>
                <w:szCs w:val="21"/>
              </w:rPr>
              <w:t>经验，本项目污水经污水处理设施处理后污染物产排情况见下表。</w:t>
            </w:r>
          </w:p>
          <w:p w14:paraId="1D033FFB">
            <w:pPr>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表4-5  项目生活污水各污染物产生情况一览表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883"/>
              <w:gridCol w:w="792"/>
              <w:gridCol w:w="792"/>
              <w:gridCol w:w="784"/>
              <w:gridCol w:w="821"/>
              <w:gridCol w:w="761"/>
              <w:gridCol w:w="945"/>
              <w:gridCol w:w="1064"/>
            </w:tblGrid>
            <w:tr w14:paraId="7B75B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7" w:type="pct"/>
                  <w:tcBorders>
                    <w:tl2br w:val="single" w:color="auto" w:sz="4" w:space="0"/>
                  </w:tcBorders>
                  <w:vAlign w:val="center"/>
                </w:tcPr>
                <w:p w14:paraId="0DF7BCC3">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p w14:paraId="73E395E3">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556" w:type="pct"/>
                  <w:tcBorders>
                    <w:tl2br w:val="nil"/>
                    <w:tr2bl w:val="nil"/>
                  </w:tcBorders>
                  <w:vAlign w:val="center"/>
                </w:tcPr>
                <w:p w14:paraId="790BF60D">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废水量</w:t>
                  </w:r>
                </w:p>
              </w:tc>
              <w:tc>
                <w:tcPr>
                  <w:tcW w:w="500" w:type="pct"/>
                  <w:tcBorders>
                    <w:tl2br w:val="nil"/>
                    <w:tr2bl w:val="nil"/>
                  </w:tcBorders>
                  <w:vAlign w:val="center"/>
                </w:tcPr>
                <w:p w14:paraId="1385AC97">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COD</w:t>
                  </w:r>
                </w:p>
              </w:tc>
              <w:tc>
                <w:tcPr>
                  <w:tcW w:w="500" w:type="pct"/>
                  <w:tcBorders>
                    <w:tl2br w:val="nil"/>
                    <w:tr2bl w:val="nil"/>
                  </w:tcBorders>
                  <w:vAlign w:val="center"/>
                </w:tcPr>
                <w:p w14:paraId="1E77138A">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BOD</w:t>
                  </w:r>
                  <w:r>
                    <w:rPr>
                      <w:rFonts w:hint="default" w:ascii="Times New Roman" w:hAnsi="Times New Roman" w:cs="Times New Roman"/>
                      <w:b/>
                      <w:bCs/>
                      <w:color w:val="auto"/>
                      <w:sz w:val="21"/>
                      <w:szCs w:val="21"/>
                      <w:vertAlign w:val="subscript"/>
                    </w:rPr>
                    <w:t>5</w:t>
                  </w:r>
                </w:p>
              </w:tc>
              <w:tc>
                <w:tcPr>
                  <w:tcW w:w="495" w:type="pct"/>
                  <w:tcBorders>
                    <w:tl2br w:val="nil"/>
                    <w:tr2bl w:val="nil"/>
                  </w:tcBorders>
                  <w:vAlign w:val="center"/>
                </w:tcPr>
                <w:p w14:paraId="6BBD2878">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SS</w:t>
                  </w:r>
                </w:p>
              </w:tc>
              <w:tc>
                <w:tcPr>
                  <w:tcW w:w="509" w:type="pct"/>
                  <w:tcBorders>
                    <w:tl2br w:val="nil"/>
                    <w:tr2bl w:val="nil"/>
                  </w:tcBorders>
                  <w:vAlign w:val="center"/>
                </w:tcPr>
                <w:p w14:paraId="27CD017C">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NH</w:t>
                  </w:r>
                  <w:r>
                    <w:rPr>
                      <w:rFonts w:hint="default" w:ascii="Times New Roman" w:hAnsi="Times New Roman" w:cs="Times New Roman"/>
                      <w:b/>
                      <w:bCs/>
                      <w:color w:val="auto"/>
                      <w:sz w:val="21"/>
                      <w:szCs w:val="21"/>
                      <w:vertAlign w:val="subscript"/>
                    </w:rPr>
                    <w:t>3</w:t>
                  </w:r>
                  <w:r>
                    <w:rPr>
                      <w:rFonts w:hint="default" w:ascii="Times New Roman" w:hAnsi="Times New Roman" w:cs="Times New Roman"/>
                      <w:b/>
                      <w:bCs/>
                      <w:color w:val="auto"/>
                      <w:sz w:val="21"/>
                      <w:szCs w:val="21"/>
                    </w:rPr>
                    <w:t>-N</w:t>
                  </w:r>
                </w:p>
              </w:tc>
              <w:tc>
                <w:tcPr>
                  <w:tcW w:w="480" w:type="pct"/>
                  <w:tcBorders>
                    <w:tl2br w:val="nil"/>
                    <w:tr2bl w:val="nil"/>
                  </w:tcBorders>
                  <w:vAlign w:val="center"/>
                </w:tcPr>
                <w:p w14:paraId="753D136A">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总磷</w:t>
                  </w:r>
                </w:p>
              </w:tc>
              <w:tc>
                <w:tcPr>
                  <w:tcW w:w="596" w:type="pct"/>
                  <w:tcBorders>
                    <w:tl2br w:val="nil"/>
                    <w:tr2bl w:val="nil"/>
                  </w:tcBorders>
                  <w:vAlign w:val="center"/>
                </w:tcPr>
                <w:p w14:paraId="708E89B8">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总氮</w:t>
                  </w:r>
                </w:p>
              </w:tc>
              <w:tc>
                <w:tcPr>
                  <w:tcW w:w="671" w:type="pct"/>
                  <w:tcBorders>
                    <w:tl2br w:val="nil"/>
                    <w:tr2bl w:val="nil"/>
                  </w:tcBorders>
                  <w:vAlign w:val="center"/>
                </w:tcPr>
                <w:p w14:paraId="54321C02">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动植物油</w:t>
                  </w:r>
                </w:p>
              </w:tc>
            </w:tr>
            <w:tr w14:paraId="4A71CD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7" w:type="pct"/>
                  <w:tcBorders>
                    <w:tl2br w:val="nil"/>
                    <w:tr2bl w:val="nil"/>
                  </w:tcBorders>
                  <w:vAlign w:val="center"/>
                </w:tcPr>
                <w:p w14:paraId="5A817DB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产生浓度（mg/L）</w:t>
                  </w:r>
                </w:p>
              </w:tc>
              <w:tc>
                <w:tcPr>
                  <w:tcW w:w="556" w:type="pct"/>
                  <w:tcBorders>
                    <w:tl2br w:val="nil"/>
                    <w:tr2bl w:val="nil"/>
                  </w:tcBorders>
                  <w:vAlign w:val="center"/>
                </w:tcPr>
                <w:p w14:paraId="63B8BDA6">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500" w:type="pct"/>
                  <w:tcBorders>
                    <w:tl2br w:val="nil"/>
                    <w:tr2bl w:val="nil"/>
                  </w:tcBorders>
                  <w:vAlign w:val="center"/>
                </w:tcPr>
                <w:p w14:paraId="22B50D8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350</w:t>
                  </w:r>
                </w:p>
              </w:tc>
              <w:tc>
                <w:tcPr>
                  <w:tcW w:w="500" w:type="pct"/>
                  <w:tcBorders>
                    <w:tl2br w:val="nil"/>
                    <w:tr2bl w:val="nil"/>
                  </w:tcBorders>
                  <w:vAlign w:val="center"/>
                </w:tcPr>
                <w:p w14:paraId="4303BFD4">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220</w:t>
                  </w:r>
                </w:p>
              </w:tc>
              <w:tc>
                <w:tcPr>
                  <w:tcW w:w="495" w:type="pct"/>
                  <w:tcBorders>
                    <w:tl2br w:val="nil"/>
                    <w:tr2bl w:val="nil"/>
                  </w:tcBorders>
                  <w:vAlign w:val="center"/>
                </w:tcPr>
                <w:p w14:paraId="123319BF">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300</w:t>
                  </w:r>
                </w:p>
              </w:tc>
              <w:tc>
                <w:tcPr>
                  <w:tcW w:w="509" w:type="pct"/>
                  <w:tcBorders>
                    <w:tl2br w:val="nil"/>
                    <w:tr2bl w:val="nil"/>
                  </w:tcBorders>
                  <w:vAlign w:val="center"/>
                </w:tcPr>
                <w:p w14:paraId="059F196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36</w:t>
                  </w:r>
                </w:p>
              </w:tc>
              <w:tc>
                <w:tcPr>
                  <w:tcW w:w="480" w:type="pct"/>
                  <w:tcBorders>
                    <w:tl2br w:val="nil"/>
                    <w:tr2bl w:val="nil"/>
                  </w:tcBorders>
                  <w:vAlign w:val="center"/>
                </w:tcPr>
                <w:p w14:paraId="4B6C9D1F">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w:t>
                  </w:r>
                </w:p>
              </w:tc>
              <w:tc>
                <w:tcPr>
                  <w:tcW w:w="596" w:type="pct"/>
                  <w:tcBorders>
                    <w:tl2br w:val="nil"/>
                    <w:tr2bl w:val="nil"/>
                  </w:tcBorders>
                  <w:vAlign w:val="center"/>
                </w:tcPr>
                <w:p w14:paraId="3278DA7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671" w:type="pct"/>
                  <w:tcBorders>
                    <w:tl2br w:val="nil"/>
                    <w:tr2bl w:val="nil"/>
                  </w:tcBorders>
                  <w:vAlign w:val="center"/>
                </w:tcPr>
                <w:p w14:paraId="03AF871A">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0.58</w:t>
                  </w:r>
                </w:p>
              </w:tc>
            </w:tr>
            <w:tr w14:paraId="754C50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7" w:type="pct"/>
                  <w:tcBorders>
                    <w:tl2br w:val="nil"/>
                    <w:tr2bl w:val="nil"/>
                  </w:tcBorders>
                  <w:vAlign w:val="center"/>
                </w:tcPr>
                <w:p w14:paraId="21583DE0">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产生量（t/a）</w:t>
                  </w:r>
                </w:p>
              </w:tc>
              <w:tc>
                <w:tcPr>
                  <w:tcW w:w="556" w:type="pct"/>
                  <w:tcBorders>
                    <w:tl2br w:val="nil"/>
                    <w:tr2bl w:val="nil"/>
                  </w:tcBorders>
                  <w:vAlign w:val="center"/>
                </w:tcPr>
                <w:p w14:paraId="1A3DDD3E">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1117.44 </w:t>
                  </w:r>
                </w:p>
              </w:tc>
              <w:tc>
                <w:tcPr>
                  <w:tcW w:w="500" w:type="pct"/>
                  <w:tcBorders>
                    <w:tl2br w:val="nil"/>
                    <w:tr2bl w:val="nil"/>
                  </w:tcBorders>
                  <w:vAlign w:val="center"/>
                </w:tcPr>
                <w:p w14:paraId="020DD414">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0.391</w:t>
                  </w:r>
                </w:p>
              </w:tc>
              <w:tc>
                <w:tcPr>
                  <w:tcW w:w="500" w:type="pct"/>
                  <w:tcBorders>
                    <w:tl2br w:val="nil"/>
                    <w:tr2bl w:val="nil"/>
                  </w:tcBorders>
                  <w:vAlign w:val="center"/>
                </w:tcPr>
                <w:p w14:paraId="3D46C3B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0.246</w:t>
                  </w:r>
                </w:p>
              </w:tc>
              <w:tc>
                <w:tcPr>
                  <w:tcW w:w="495" w:type="pct"/>
                  <w:tcBorders>
                    <w:tl2br w:val="nil"/>
                    <w:tr2bl w:val="nil"/>
                  </w:tcBorders>
                  <w:vAlign w:val="center"/>
                </w:tcPr>
                <w:p w14:paraId="4BA40F77">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0.335</w:t>
                  </w:r>
                </w:p>
              </w:tc>
              <w:tc>
                <w:tcPr>
                  <w:tcW w:w="509" w:type="pct"/>
                  <w:tcBorders>
                    <w:tl2br w:val="nil"/>
                    <w:tr2bl w:val="nil"/>
                  </w:tcBorders>
                  <w:vAlign w:val="center"/>
                </w:tcPr>
                <w:p w14:paraId="6EF9C3D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0.040</w:t>
                  </w:r>
                </w:p>
              </w:tc>
              <w:tc>
                <w:tcPr>
                  <w:tcW w:w="480" w:type="pct"/>
                  <w:tcBorders>
                    <w:tl2br w:val="nil"/>
                    <w:tr2bl w:val="nil"/>
                  </w:tcBorders>
                  <w:vAlign w:val="center"/>
                </w:tcPr>
                <w:p w14:paraId="1B740C17">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0.056</w:t>
                  </w:r>
                </w:p>
              </w:tc>
              <w:tc>
                <w:tcPr>
                  <w:tcW w:w="596" w:type="pct"/>
                  <w:tcBorders>
                    <w:tl2br w:val="nil"/>
                    <w:tr2bl w:val="nil"/>
                  </w:tcBorders>
                  <w:vAlign w:val="center"/>
                </w:tcPr>
                <w:p w14:paraId="2D49631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0.0056</w:t>
                  </w:r>
                </w:p>
              </w:tc>
              <w:tc>
                <w:tcPr>
                  <w:tcW w:w="671" w:type="pct"/>
                  <w:tcBorders>
                    <w:tl2br w:val="nil"/>
                    <w:tr2bl w:val="nil"/>
                  </w:tcBorders>
                  <w:vAlign w:val="center"/>
                </w:tcPr>
                <w:p w14:paraId="5F0681F0">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0.00065</w:t>
                  </w:r>
                </w:p>
              </w:tc>
            </w:tr>
          </w:tbl>
          <w:p w14:paraId="428F0DB5">
            <w:pPr>
              <w:ind w:firstLine="480"/>
              <w:rPr>
                <w:rFonts w:hint="default" w:ascii="Times New Roman" w:hAnsi="Times New Roman" w:cs="Times New Roman"/>
                <w:color w:val="auto"/>
              </w:rPr>
            </w:pPr>
            <w:r>
              <w:rPr>
                <w:rFonts w:hint="default" w:ascii="Times New Roman" w:hAnsi="Times New Roman" w:cs="Times New Roman"/>
                <w:color w:val="auto"/>
              </w:rPr>
              <w:t>由上表可知，项目生活污水依托厂内已有化粪池（位于厂区西北侧，18m</w:t>
            </w:r>
            <w:r>
              <w:rPr>
                <w:rFonts w:hint="default" w:ascii="Times New Roman" w:hAnsi="Times New Roman" w:cs="Times New Roman"/>
                <w:color w:val="auto"/>
                <w:vertAlign w:val="superscript"/>
              </w:rPr>
              <w:t>3</w:t>
            </w:r>
            <w:r>
              <w:rPr>
                <w:rFonts w:hint="default" w:ascii="Times New Roman" w:hAnsi="Times New Roman" w:cs="Times New Roman"/>
                <w:color w:val="auto"/>
              </w:rPr>
              <w:t>）处理后定期清掏肥田，生活污水产生量很小。因此，项目生活污水经化粪池收集后定期清掏是合理、可行的。</w:t>
            </w:r>
          </w:p>
          <w:p w14:paraId="6EC6C7D2">
            <w:pPr>
              <w:ind w:firstLine="480"/>
              <w:rPr>
                <w:rFonts w:hint="default" w:ascii="Times New Roman" w:hAnsi="Times New Roman" w:cs="Times New Roman"/>
                <w:color w:val="auto"/>
              </w:rPr>
            </w:pPr>
            <w:r>
              <w:rPr>
                <w:rFonts w:hint="default" w:ascii="Times New Roman" w:hAnsi="Times New Roman" w:cs="Times New Roman"/>
                <w:color w:val="auto"/>
              </w:rPr>
              <w:t>②监测要求</w:t>
            </w:r>
          </w:p>
          <w:p w14:paraId="5430FA81">
            <w:pPr>
              <w:ind w:firstLine="480"/>
              <w:rPr>
                <w:rFonts w:hint="default" w:ascii="Times New Roman" w:hAnsi="Times New Roman" w:cs="Times New Roman"/>
                <w:color w:val="auto"/>
              </w:rPr>
            </w:pPr>
            <w:r>
              <w:rPr>
                <w:rFonts w:hint="default" w:ascii="Times New Roman" w:hAnsi="Times New Roman" w:cs="Times New Roman"/>
                <w:color w:val="auto"/>
              </w:rPr>
              <w:t>项目食堂废水经油水分离器处理后和生活污水进入厂区化粪池，处理后定期清掏肥田，不排放，根据《排污单位自行监测技术指南 橡胶和塑料制品》可不进行废水例行监测。</w:t>
            </w:r>
          </w:p>
          <w:p w14:paraId="7D2D88B3">
            <w:pPr>
              <w:tabs>
                <w:tab w:val="left" w:pos="5772"/>
              </w:tabs>
              <w:adjustRightInd/>
              <w:snapToGrid/>
              <w:ind w:firstLine="482"/>
              <w:rPr>
                <w:rFonts w:hint="default" w:ascii="Times New Roman" w:hAnsi="Times New Roman" w:cs="Times New Roman"/>
                <w:bCs/>
                <w:color w:val="auto"/>
              </w:rPr>
            </w:pPr>
            <w:r>
              <w:rPr>
                <w:rFonts w:hint="default" w:ascii="Times New Roman" w:hAnsi="Times New Roman" w:cs="Times New Roman"/>
                <w:b/>
                <w:color w:val="auto"/>
              </w:rPr>
              <w:t>3、噪声</w:t>
            </w:r>
          </w:p>
          <w:p w14:paraId="33D8C23C">
            <w:pPr>
              <w:adjustRightInd/>
              <w:snapToGrid/>
              <w:ind w:firstLine="480"/>
              <w:rPr>
                <w:rFonts w:hint="default" w:ascii="Times New Roman" w:hAnsi="Times New Roman" w:cs="Times New Roman"/>
                <w:bCs/>
                <w:color w:val="auto"/>
              </w:rPr>
            </w:pPr>
            <w:r>
              <w:rPr>
                <w:rFonts w:hint="default" w:ascii="Times New Roman" w:hAnsi="Times New Roman" w:cs="Times New Roman"/>
                <w:bCs/>
                <w:color w:val="auto"/>
              </w:rPr>
              <w:t>（1）声源源强</w:t>
            </w:r>
          </w:p>
          <w:p w14:paraId="098B7F17">
            <w:pPr>
              <w:adjustRightInd/>
              <w:snapToGrid/>
              <w:ind w:firstLine="480"/>
              <w:rPr>
                <w:rFonts w:hint="default" w:ascii="Times New Roman" w:hAnsi="Times New Roman" w:cs="Times New Roman"/>
                <w:color w:val="auto"/>
              </w:rPr>
            </w:pPr>
            <w:r>
              <w:rPr>
                <w:rFonts w:hint="default" w:ascii="Times New Roman" w:hAnsi="Times New Roman" w:cs="Times New Roman"/>
                <w:color w:val="auto"/>
              </w:rPr>
              <w:t>项目运营期噪声主要来自机械噪声，包括发泡机、造粒机、冷却塔、复合机及造粒机等，源强范围在70-85dB（A），各噪声源强见下表4-6所示。</w:t>
            </w:r>
          </w:p>
        </w:tc>
      </w:tr>
    </w:tbl>
    <w:p w14:paraId="3AAD62A5">
      <w:pPr>
        <w:ind w:firstLine="0" w:firstLineChars="0"/>
        <w:rPr>
          <w:rFonts w:hint="default" w:ascii="Times New Roman" w:hAnsi="Times New Roman" w:cs="Times New Roman"/>
          <w:color w:val="auto"/>
        </w:rPr>
        <w:sectPr>
          <w:pgSz w:w="11906" w:h="16838"/>
          <w:pgMar w:top="1701" w:right="1531" w:bottom="1701" w:left="1531"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
        <w:gridCol w:w="13214"/>
      </w:tblGrid>
      <w:tr w14:paraId="62A44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tcPr>
          <w:p w14:paraId="2B05EE17">
            <w:pPr>
              <w:ind w:firstLine="480"/>
              <w:rPr>
                <w:rFonts w:hint="default" w:ascii="Times New Roman" w:hAnsi="Times New Roman" w:cs="Times New Roman"/>
                <w:color w:val="auto"/>
              </w:rPr>
            </w:pPr>
          </w:p>
        </w:tc>
        <w:tc>
          <w:tcPr>
            <w:tcW w:w="13214" w:type="dxa"/>
          </w:tcPr>
          <w:p w14:paraId="770BF8F3">
            <w:pPr>
              <w:tabs>
                <w:tab w:val="left" w:pos="3870"/>
              </w:tabs>
              <w:adjustRightInd/>
              <w:snapToGrid/>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 xml:space="preserve">表4-6  </w:t>
            </w:r>
            <w:r>
              <w:rPr>
                <w:rFonts w:hint="default" w:ascii="Times New Roman" w:hAnsi="Times New Roman" w:cs="Times New Roman"/>
                <w:b/>
                <w:bCs/>
                <w:color w:val="auto"/>
              </w:rPr>
              <w:t>项目运营期噪声源调查清单</w:t>
            </w:r>
            <w:r>
              <w:rPr>
                <w:rFonts w:hint="default" w:ascii="Times New Roman" w:hAnsi="Times New Roman" w:cs="Times New Roman"/>
                <w:b/>
                <w:color w:val="auto"/>
              </w:rPr>
              <w:t>（室内声源）</w:t>
            </w:r>
          </w:p>
          <w:tbl>
            <w:tblPr>
              <w:tblStyle w:val="28"/>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43"/>
              <w:gridCol w:w="440"/>
              <w:gridCol w:w="989"/>
              <w:gridCol w:w="700"/>
              <w:gridCol w:w="744"/>
              <w:gridCol w:w="752"/>
              <w:gridCol w:w="731"/>
              <w:gridCol w:w="417"/>
              <w:gridCol w:w="581"/>
              <w:gridCol w:w="443"/>
              <w:gridCol w:w="594"/>
              <w:gridCol w:w="456"/>
              <w:gridCol w:w="505"/>
              <w:gridCol w:w="443"/>
              <w:gridCol w:w="542"/>
              <w:gridCol w:w="507"/>
              <w:gridCol w:w="730"/>
              <w:gridCol w:w="694"/>
              <w:gridCol w:w="408"/>
              <w:gridCol w:w="408"/>
              <w:gridCol w:w="408"/>
              <w:gridCol w:w="416"/>
              <w:gridCol w:w="647"/>
            </w:tblGrid>
            <w:tr w14:paraId="3F30431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tblHeader/>
              </w:trPr>
              <w:tc>
                <w:tcPr>
                  <w:tcW w:w="170" w:type="pct"/>
                  <w:vMerge w:val="restart"/>
                  <w:tcBorders>
                    <w:tl2br w:val="nil"/>
                    <w:tr2bl w:val="nil"/>
                  </w:tcBorders>
                  <w:shd w:val="clear" w:color="auto" w:fill="auto"/>
                  <w:noWrap/>
                  <w:vAlign w:val="center"/>
                </w:tcPr>
                <w:p w14:paraId="16C5B6E9">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序号</w:t>
                  </w:r>
                </w:p>
              </w:tc>
              <w:tc>
                <w:tcPr>
                  <w:tcW w:w="169" w:type="pct"/>
                  <w:vMerge w:val="restart"/>
                  <w:tcBorders>
                    <w:tl2br w:val="nil"/>
                    <w:tr2bl w:val="nil"/>
                  </w:tcBorders>
                  <w:shd w:val="clear" w:color="auto" w:fill="auto"/>
                  <w:noWrap/>
                  <w:vAlign w:val="center"/>
                </w:tcPr>
                <w:p w14:paraId="0EC93DB3">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建筑物名称</w:t>
                  </w:r>
                </w:p>
              </w:tc>
              <w:tc>
                <w:tcPr>
                  <w:tcW w:w="380" w:type="pct"/>
                  <w:vMerge w:val="restart"/>
                  <w:tcBorders>
                    <w:tl2br w:val="nil"/>
                    <w:tr2bl w:val="nil"/>
                  </w:tcBorders>
                  <w:shd w:val="clear" w:color="auto" w:fill="auto"/>
                  <w:noWrap/>
                  <w:vAlign w:val="center"/>
                </w:tcPr>
                <w:p w14:paraId="02D12812">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声源名称</w:t>
                  </w:r>
                </w:p>
              </w:tc>
              <w:tc>
                <w:tcPr>
                  <w:tcW w:w="269" w:type="pct"/>
                  <w:vMerge w:val="restart"/>
                  <w:tcBorders>
                    <w:tl2br w:val="nil"/>
                    <w:tr2bl w:val="nil"/>
                  </w:tcBorders>
                  <w:shd w:val="clear" w:color="auto" w:fill="auto"/>
                  <w:noWrap/>
                  <w:vAlign w:val="center"/>
                </w:tcPr>
                <w:p w14:paraId="6470EF12">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声功率级/dB（A）</w:t>
                  </w:r>
                </w:p>
              </w:tc>
              <w:tc>
                <w:tcPr>
                  <w:tcW w:w="286" w:type="pct"/>
                  <w:vMerge w:val="restart"/>
                  <w:tcBorders>
                    <w:tl2br w:val="nil"/>
                    <w:tr2bl w:val="nil"/>
                  </w:tcBorders>
                  <w:shd w:val="clear" w:color="auto" w:fill="auto"/>
                  <w:noWrap/>
                  <w:vAlign w:val="center"/>
                </w:tcPr>
                <w:p w14:paraId="74485DD5">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声源控制措施</w:t>
                  </w:r>
                </w:p>
              </w:tc>
              <w:tc>
                <w:tcPr>
                  <w:tcW w:w="730" w:type="pct"/>
                  <w:gridSpan w:val="3"/>
                  <w:tcBorders>
                    <w:tl2br w:val="nil"/>
                    <w:tr2bl w:val="nil"/>
                  </w:tcBorders>
                  <w:shd w:val="clear" w:color="auto" w:fill="auto"/>
                  <w:noWrap/>
                  <w:vAlign w:val="center"/>
                </w:tcPr>
                <w:p w14:paraId="53B11271">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空间相对位置/m</w:t>
                  </w:r>
                </w:p>
              </w:tc>
              <w:tc>
                <w:tcPr>
                  <w:tcW w:w="796" w:type="pct"/>
                  <w:gridSpan w:val="4"/>
                  <w:tcBorders>
                    <w:tl2br w:val="nil"/>
                    <w:tr2bl w:val="nil"/>
                  </w:tcBorders>
                  <w:shd w:val="clear" w:color="auto" w:fill="auto"/>
                  <w:noWrap/>
                  <w:vAlign w:val="center"/>
                </w:tcPr>
                <w:p w14:paraId="0D1CE14F">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距室内边界距离/m</w:t>
                  </w:r>
                </w:p>
              </w:tc>
              <w:tc>
                <w:tcPr>
                  <w:tcW w:w="767" w:type="pct"/>
                  <w:gridSpan w:val="4"/>
                  <w:tcBorders>
                    <w:tl2br w:val="nil"/>
                    <w:tr2bl w:val="nil"/>
                  </w:tcBorders>
                  <w:shd w:val="clear" w:color="auto" w:fill="auto"/>
                  <w:noWrap/>
                  <w:vAlign w:val="center"/>
                </w:tcPr>
                <w:p w14:paraId="30DB757A">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室内边界声级/dB（A）</w:t>
                  </w:r>
                </w:p>
              </w:tc>
              <w:tc>
                <w:tcPr>
                  <w:tcW w:w="281" w:type="pct"/>
                  <w:vMerge w:val="restart"/>
                  <w:tcBorders>
                    <w:tl2br w:val="nil"/>
                    <w:tr2bl w:val="nil"/>
                  </w:tcBorders>
                  <w:shd w:val="clear" w:color="auto" w:fill="auto"/>
                  <w:noWrap/>
                  <w:vAlign w:val="center"/>
                </w:tcPr>
                <w:p w14:paraId="1764D205">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运行时段</w:t>
                  </w:r>
                </w:p>
              </w:tc>
              <w:tc>
                <w:tcPr>
                  <w:tcW w:w="267" w:type="pct"/>
                  <w:vMerge w:val="restart"/>
                  <w:tcBorders>
                    <w:tl2br w:val="nil"/>
                    <w:tr2bl w:val="nil"/>
                  </w:tcBorders>
                  <w:shd w:val="clear" w:color="auto" w:fill="auto"/>
                  <w:noWrap/>
                  <w:vAlign w:val="center"/>
                </w:tcPr>
                <w:p w14:paraId="0A85013F">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建筑物插入损失/dB（A）</w:t>
                  </w:r>
                </w:p>
              </w:tc>
              <w:tc>
                <w:tcPr>
                  <w:tcW w:w="880" w:type="pct"/>
                  <w:gridSpan w:val="5"/>
                  <w:tcBorders>
                    <w:tl2br w:val="nil"/>
                    <w:tr2bl w:val="nil"/>
                  </w:tcBorders>
                  <w:shd w:val="clear" w:color="auto" w:fill="auto"/>
                  <w:noWrap/>
                  <w:vAlign w:val="center"/>
                </w:tcPr>
                <w:p w14:paraId="1EFE0008">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建筑物外噪声</w:t>
                  </w:r>
                </w:p>
              </w:tc>
            </w:tr>
            <w:tr w14:paraId="7AF079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blHeader/>
              </w:trPr>
              <w:tc>
                <w:tcPr>
                  <w:tcW w:w="170" w:type="pct"/>
                  <w:vMerge w:val="continue"/>
                  <w:tcBorders>
                    <w:tl2br w:val="nil"/>
                    <w:tr2bl w:val="nil"/>
                  </w:tcBorders>
                  <w:shd w:val="clear" w:color="auto" w:fill="auto"/>
                  <w:noWrap/>
                  <w:vAlign w:val="center"/>
                </w:tcPr>
                <w:p w14:paraId="4F4FFDC5">
                  <w:pPr>
                    <w:spacing w:line="240" w:lineRule="auto"/>
                    <w:ind w:firstLine="0" w:firstLineChars="0"/>
                    <w:jc w:val="center"/>
                    <w:rPr>
                      <w:rFonts w:hint="default" w:ascii="Times New Roman" w:hAnsi="Times New Roman" w:cs="Times New Roman"/>
                      <w:b/>
                      <w:bCs/>
                      <w:color w:val="auto"/>
                      <w:sz w:val="19"/>
                      <w:szCs w:val="19"/>
                    </w:rPr>
                  </w:pPr>
                </w:p>
              </w:tc>
              <w:tc>
                <w:tcPr>
                  <w:tcW w:w="169" w:type="pct"/>
                  <w:vMerge w:val="continue"/>
                  <w:tcBorders>
                    <w:tl2br w:val="nil"/>
                    <w:tr2bl w:val="nil"/>
                  </w:tcBorders>
                  <w:shd w:val="clear" w:color="auto" w:fill="auto"/>
                  <w:noWrap/>
                  <w:vAlign w:val="center"/>
                </w:tcPr>
                <w:p w14:paraId="5EAD6C11">
                  <w:pPr>
                    <w:spacing w:line="240" w:lineRule="auto"/>
                    <w:ind w:firstLine="0" w:firstLineChars="0"/>
                    <w:jc w:val="center"/>
                    <w:rPr>
                      <w:rFonts w:hint="default" w:ascii="Times New Roman" w:hAnsi="Times New Roman" w:cs="Times New Roman"/>
                      <w:b/>
                      <w:bCs/>
                      <w:color w:val="auto"/>
                      <w:sz w:val="19"/>
                      <w:szCs w:val="19"/>
                    </w:rPr>
                  </w:pPr>
                </w:p>
              </w:tc>
              <w:tc>
                <w:tcPr>
                  <w:tcW w:w="380" w:type="pct"/>
                  <w:vMerge w:val="continue"/>
                  <w:tcBorders>
                    <w:tl2br w:val="nil"/>
                    <w:tr2bl w:val="nil"/>
                  </w:tcBorders>
                  <w:shd w:val="clear" w:color="auto" w:fill="auto"/>
                  <w:noWrap/>
                  <w:vAlign w:val="center"/>
                </w:tcPr>
                <w:p w14:paraId="06B74E13">
                  <w:pPr>
                    <w:spacing w:line="240" w:lineRule="auto"/>
                    <w:ind w:firstLine="0" w:firstLineChars="0"/>
                    <w:jc w:val="center"/>
                    <w:rPr>
                      <w:rFonts w:hint="default" w:ascii="Times New Roman" w:hAnsi="Times New Roman" w:cs="Times New Roman"/>
                      <w:b/>
                      <w:bCs/>
                      <w:color w:val="auto"/>
                      <w:sz w:val="19"/>
                      <w:szCs w:val="19"/>
                    </w:rPr>
                  </w:pPr>
                </w:p>
              </w:tc>
              <w:tc>
                <w:tcPr>
                  <w:tcW w:w="269" w:type="pct"/>
                  <w:vMerge w:val="continue"/>
                  <w:tcBorders>
                    <w:tl2br w:val="nil"/>
                    <w:tr2bl w:val="nil"/>
                  </w:tcBorders>
                  <w:shd w:val="clear" w:color="auto" w:fill="auto"/>
                  <w:vAlign w:val="center"/>
                </w:tcPr>
                <w:p w14:paraId="4B47820A">
                  <w:pPr>
                    <w:spacing w:line="240" w:lineRule="auto"/>
                    <w:ind w:firstLine="0" w:firstLineChars="0"/>
                    <w:jc w:val="center"/>
                    <w:rPr>
                      <w:rFonts w:hint="default" w:ascii="Times New Roman" w:hAnsi="Times New Roman" w:cs="Times New Roman"/>
                      <w:b/>
                      <w:bCs/>
                      <w:color w:val="auto"/>
                      <w:sz w:val="19"/>
                      <w:szCs w:val="19"/>
                    </w:rPr>
                  </w:pPr>
                </w:p>
              </w:tc>
              <w:tc>
                <w:tcPr>
                  <w:tcW w:w="286" w:type="pct"/>
                  <w:vMerge w:val="continue"/>
                  <w:tcBorders>
                    <w:tl2br w:val="nil"/>
                    <w:tr2bl w:val="nil"/>
                  </w:tcBorders>
                  <w:shd w:val="clear" w:color="auto" w:fill="auto"/>
                  <w:noWrap/>
                  <w:vAlign w:val="center"/>
                </w:tcPr>
                <w:p w14:paraId="51248855">
                  <w:pPr>
                    <w:spacing w:line="240" w:lineRule="auto"/>
                    <w:ind w:firstLine="0" w:firstLineChars="0"/>
                    <w:jc w:val="center"/>
                    <w:rPr>
                      <w:rFonts w:hint="default" w:ascii="Times New Roman" w:hAnsi="Times New Roman" w:cs="Times New Roman"/>
                      <w:b/>
                      <w:bCs/>
                      <w:color w:val="auto"/>
                      <w:sz w:val="19"/>
                      <w:szCs w:val="19"/>
                    </w:rPr>
                  </w:pPr>
                </w:p>
              </w:tc>
              <w:tc>
                <w:tcPr>
                  <w:tcW w:w="289" w:type="pct"/>
                  <w:vMerge w:val="restart"/>
                  <w:tcBorders>
                    <w:tl2br w:val="nil"/>
                    <w:tr2bl w:val="nil"/>
                  </w:tcBorders>
                  <w:shd w:val="clear" w:color="auto" w:fill="auto"/>
                  <w:noWrap/>
                  <w:vAlign w:val="center"/>
                </w:tcPr>
                <w:p w14:paraId="121A4284">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X</w:t>
                  </w:r>
                </w:p>
              </w:tc>
              <w:tc>
                <w:tcPr>
                  <w:tcW w:w="281" w:type="pct"/>
                  <w:vMerge w:val="restart"/>
                  <w:tcBorders>
                    <w:tl2br w:val="nil"/>
                    <w:tr2bl w:val="nil"/>
                  </w:tcBorders>
                  <w:shd w:val="clear" w:color="auto" w:fill="auto"/>
                  <w:noWrap/>
                  <w:vAlign w:val="center"/>
                </w:tcPr>
                <w:p w14:paraId="503348BC">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Y</w:t>
                  </w:r>
                </w:p>
              </w:tc>
              <w:tc>
                <w:tcPr>
                  <w:tcW w:w="160" w:type="pct"/>
                  <w:vMerge w:val="restart"/>
                  <w:tcBorders>
                    <w:tl2br w:val="nil"/>
                    <w:tr2bl w:val="nil"/>
                  </w:tcBorders>
                  <w:shd w:val="clear" w:color="auto" w:fill="auto"/>
                  <w:noWrap/>
                  <w:vAlign w:val="center"/>
                </w:tcPr>
                <w:p w14:paraId="700F603B">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Z</w:t>
                  </w:r>
                </w:p>
              </w:tc>
              <w:tc>
                <w:tcPr>
                  <w:tcW w:w="223" w:type="pct"/>
                  <w:vMerge w:val="restart"/>
                  <w:tcBorders>
                    <w:tl2br w:val="nil"/>
                    <w:tr2bl w:val="nil"/>
                  </w:tcBorders>
                  <w:shd w:val="clear" w:color="auto" w:fill="auto"/>
                  <w:noWrap/>
                  <w:vAlign w:val="center"/>
                </w:tcPr>
                <w:p w14:paraId="58D06716">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东</w:t>
                  </w:r>
                </w:p>
              </w:tc>
              <w:tc>
                <w:tcPr>
                  <w:tcW w:w="170" w:type="pct"/>
                  <w:vMerge w:val="restart"/>
                  <w:tcBorders>
                    <w:tl2br w:val="nil"/>
                    <w:tr2bl w:val="nil"/>
                  </w:tcBorders>
                  <w:shd w:val="clear" w:color="auto" w:fill="auto"/>
                  <w:noWrap/>
                  <w:vAlign w:val="center"/>
                </w:tcPr>
                <w:p w14:paraId="61B9EF6B">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南</w:t>
                  </w:r>
                </w:p>
              </w:tc>
              <w:tc>
                <w:tcPr>
                  <w:tcW w:w="228" w:type="pct"/>
                  <w:vMerge w:val="restart"/>
                  <w:tcBorders>
                    <w:tl2br w:val="nil"/>
                    <w:tr2bl w:val="nil"/>
                  </w:tcBorders>
                  <w:shd w:val="clear" w:color="auto" w:fill="auto"/>
                  <w:noWrap/>
                  <w:vAlign w:val="center"/>
                </w:tcPr>
                <w:p w14:paraId="66B66A69">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西</w:t>
                  </w:r>
                </w:p>
              </w:tc>
              <w:tc>
                <w:tcPr>
                  <w:tcW w:w="174" w:type="pct"/>
                  <w:vMerge w:val="restart"/>
                  <w:tcBorders>
                    <w:tl2br w:val="nil"/>
                    <w:tr2bl w:val="nil"/>
                  </w:tcBorders>
                  <w:shd w:val="clear" w:color="auto" w:fill="auto"/>
                  <w:noWrap/>
                  <w:vAlign w:val="center"/>
                </w:tcPr>
                <w:p w14:paraId="5B58DBC4">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北</w:t>
                  </w:r>
                </w:p>
              </w:tc>
              <w:tc>
                <w:tcPr>
                  <w:tcW w:w="194" w:type="pct"/>
                  <w:vMerge w:val="restart"/>
                  <w:tcBorders>
                    <w:tl2br w:val="nil"/>
                    <w:tr2bl w:val="nil"/>
                  </w:tcBorders>
                  <w:shd w:val="clear" w:color="auto" w:fill="auto"/>
                  <w:noWrap/>
                  <w:vAlign w:val="center"/>
                </w:tcPr>
                <w:p w14:paraId="705948DB">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东</w:t>
                  </w:r>
                </w:p>
              </w:tc>
              <w:tc>
                <w:tcPr>
                  <w:tcW w:w="170" w:type="pct"/>
                  <w:vMerge w:val="restart"/>
                  <w:tcBorders>
                    <w:tl2br w:val="nil"/>
                    <w:tr2bl w:val="nil"/>
                  </w:tcBorders>
                  <w:shd w:val="clear" w:color="auto" w:fill="auto"/>
                  <w:noWrap/>
                  <w:vAlign w:val="center"/>
                </w:tcPr>
                <w:p w14:paraId="565567F3">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南</w:t>
                  </w:r>
                </w:p>
              </w:tc>
              <w:tc>
                <w:tcPr>
                  <w:tcW w:w="208" w:type="pct"/>
                  <w:vMerge w:val="restart"/>
                  <w:tcBorders>
                    <w:tl2br w:val="nil"/>
                    <w:tr2bl w:val="nil"/>
                  </w:tcBorders>
                  <w:shd w:val="clear" w:color="auto" w:fill="auto"/>
                  <w:noWrap/>
                  <w:vAlign w:val="center"/>
                </w:tcPr>
                <w:p w14:paraId="080CA183">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西</w:t>
                  </w:r>
                </w:p>
              </w:tc>
              <w:tc>
                <w:tcPr>
                  <w:tcW w:w="194" w:type="pct"/>
                  <w:vMerge w:val="restart"/>
                  <w:tcBorders>
                    <w:tl2br w:val="nil"/>
                    <w:tr2bl w:val="nil"/>
                  </w:tcBorders>
                  <w:shd w:val="clear" w:color="auto" w:fill="auto"/>
                  <w:noWrap/>
                  <w:vAlign w:val="center"/>
                </w:tcPr>
                <w:p w14:paraId="16642C2E">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北</w:t>
                  </w:r>
                </w:p>
              </w:tc>
              <w:tc>
                <w:tcPr>
                  <w:tcW w:w="281" w:type="pct"/>
                  <w:vMerge w:val="continue"/>
                  <w:tcBorders>
                    <w:tl2br w:val="nil"/>
                    <w:tr2bl w:val="nil"/>
                  </w:tcBorders>
                  <w:shd w:val="clear" w:color="auto" w:fill="auto"/>
                  <w:noWrap/>
                  <w:vAlign w:val="center"/>
                </w:tcPr>
                <w:p w14:paraId="2A020DED">
                  <w:pPr>
                    <w:spacing w:line="240" w:lineRule="auto"/>
                    <w:ind w:firstLine="0" w:firstLineChars="0"/>
                    <w:jc w:val="center"/>
                    <w:rPr>
                      <w:rFonts w:hint="default" w:ascii="Times New Roman" w:hAnsi="Times New Roman" w:cs="Times New Roman"/>
                      <w:b/>
                      <w:bCs/>
                      <w:color w:val="auto"/>
                      <w:sz w:val="19"/>
                      <w:szCs w:val="19"/>
                    </w:rPr>
                  </w:pPr>
                </w:p>
              </w:tc>
              <w:tc>
                <w:tcPr>
                  <w:tcW w:w="267" w:type="pct"/>
                  <w:vMerge w:val="continue"/>
                  <w:tcBorders>
                    <w:tl2br w:val="nil"/>
                    <w:tr2bl w:val="nil"/>
                  </w:tcBorders>
                  <w:shd w:val="clear" w:color="auto" w:fill="auto"/>
                  <w:noWrap/>
                  <w:vAlign w:val="center"/>
                </w:tcPr>
                <w:p w14:paraId="3AA8660D">
                  <w:pPr>
                    <w:spacing w:line="240" w:lineRule="auto"/>
                    <w:ind w:firstLine="0" w:firstLineChars="0"/>
                    <w:jc w:val="center"/>
                    <w:rPr>
                      <w:rFonts w:hint="default" w:ascii="Times New Roman" w:hAnsi="Times New Roman" w:cs="Times New Roman"/>
                      <w:b/>
                      <w:bCs/>
                      <w:color w:val="auto"/>
                      <w:sz w:val="19"/>
                      <w:szCs w:val="19"/>
                    </w:rPr>
                  </w:pPr>
                </w:p>
              </w:tc>
              <w:tc>
                <w:tcPr>
                  <w:tcW w:w="631" w:type="pct"/>
                  <w:gridSpan w:val="4"/>
                  <w:tcBorders>
                    <w:tl2br w:val="nil"/>
                    <w:tr2bl w:val="nil"/>
                  </w:tcBorders>
                  <w:shd w:val="clear" w:color="auto" w:fill="auto"/>
                  <w:noWrap/>
                  <w:vAlign w:val="center"/>
                </w:tcPr>
                <w:p w14:paraId="5CCCDFA9">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声压级/dB（A）</w:t>
                  </w:r>
                </w:p>
              </w:tc>
              <w:tc>
                <w:tcPr>
                  <w:tcW w:w="249" w:type="pct"/>
                  <w:vMerge w:val="restart"/>
                  <w:tcBorders>
                    <w:tl2br w:val="nil"/>
                    <w:tr2bl w:val="nil"/>
                  </w:tcBorders>
                  <w:shd w:val="clear" w:color="auto" w:fill="auto"/>
                  <w:noWrap/>
                  <w:vAlign w:val="center"/>
                </w:tcPr>
                <w:p w14:paraId="3077A8F0">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建筑物外距离</w:t>
                  </w:r>
                </w:p>
              </w:tc>
            </w:tr>
            <w:tr w14:paraId="552F4B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vMerge w:val="continue"/>
                  <w:tcBorders>
                    <w:tl2br w:val="nil"/>
                    <w:tr2bl w:val="nil"/>
                  </w:tcBorders>
                  <w:shd w:val="clear" w:color="auto" w:fill="auto"/>
                  <w:noWrap/>
                  <w:vAlign w:val="center"/>
                </w:tcPr>
                <w:p w14:paraId="5D1F4CA4">
                  <w:pPr>
                    <w:spacing w:line="240" w:lineRule="auto"/>
                    <w:ind w:firstLine="0" w:firstLineChars="0"/>
                    <w:jc w:val="center"/>
                    <w:rPr>
                      <w:rFonts w:hint="default" w:ascii="Times New Roman" w:hAnsi="Times New Roman" w:cs="Times New Roman"/>
                      <w:color w:val="auto"/>
                      <w:sz w:val="19"/>
                      <w:szCs w:val="19"/>
                    </w:rPr>
                  </w:pPr>
                </w:p>
              </w:tc>
              <w:tc>
                <w:tcPr>
                  <w:tcW w:w="169" w:type="pct"/>
                  <w:vMerge w:val="continue"/>
                  <w:tcBorders>
                    <w:tl2br w:val="nil"/>
                    <w:tr2bl w:val="nil"/>
                  </w:tcBorders>
                  <w:shd w:val="clear" w:color="auto" w:fill="auto"/>
                  <w:noWrap/>
                  <w:vAlign w:val="center"/>
                </w:tcPr>
                <w:p w14:paraId="4A95DFD6">
                  <w:pPr>
                    <w:spacing w:line="240" w:lineRule="auto"/>
                    <w:ind w:firstLine="0" w:firstLineChars="0"/>
                    <w:jc w:val="center"/>
                    <w:rPr>
                      <w:rFonts w:hint="default" w:ascii="Times New Roman" w:hAnsi="Times New Roman" w:cs="Times New Roman"/>
                      <w:color w:val="auto"/>
                      <w:sz w:val="19"/>
                      <w:szCs w:val="19"/>
                    </w:rPr>
                  </w:pPr>
                </w:p>
              </w:tc>
              <w:tc>
                <w:tcPr>
                  <w:tcW w:w="380" w:type="pct"/>
                  <w:vMerge w:val="continue"/>
                  <w:tcBorders>
                    <w:tl2br w:val="nil"/>
                    <w:tr2bl w:val="nil"/>
                  </w:tcBorders>
                  <w:shd w:val="clear" w:color="auto" w:fill="auto"/>
                  <w:noWrap/>
                  <w:vAlign w:val="center"/>
                </w:tcPr>
                <w:p w14:paraId="331CD3C6">
                  <w:pPr>
                    <w:spacing w:line="240" w:lineRule="auto"/>
                    <w:ind w:firstLine="0" w:firstLineChars="0"/>
                    <w:jc w:val="center"/>
                    <w:rPr>
                      <w:rFonts w:hint="default" w:ascii="Times New Roman" w:hAnsi="Times New Roman" w:cs="Times New Roman"/>
                      <w:color w:val="auto"/>
                      <w:sz w:val="19"/>
                      <w:szCs w:val="19"/>
                    </w:rPr>
                  </w:pPr>
                </w:p>
              </w:tc>
              <w:tc>
                <w:tcPr>
                  <w:tcW w:w="269" w:type="pct"/>
                  <w:vMerge w:val="continue"/>
                  <w:tcBorders>
                    <w:tl2br w:val="nil"/>
                    <w:tr2bl w:val="nil"/>
                  </w:tcBorders>
                  <w:shd w:val="clear" w:color="auto" w:fill="auto"/>
                  <w:vAlign w:val="center"/>
                </w:tcPr>
                <w:p w14:paraId="514B3C4B">
                  <w:pPr>
                    <w:spacing w:line="240" w:lineRule="auto"/>
                    <w:ind w:firstLine="0" w:firstLineChars="0"/>
                    <w:jc w:val="center"/>
                    <w:rPr>
                      <w:rFonts w:hint="default" w:ascii="Times New Roman" w:hAnsi="Times New Roman" w:cs="Times New Roman"/>
                      <w:color w:val="auto"/>
                      <w:sz w:val="19"/>
                      <w:szCs w:val="19"/>
                    </w:rPr>
                  </w:pPr>
                </w:p>
              </w:tc>
              <w:tc>
                <w:tcPr>
                  <w:tcW w:w="286" w:type="pct"/>
                  <w:vMerge w:val="continue"/>
                  <w:tcBorders>
                    <w:tl2br w:val="nil"/>
                    <w:tr2bl w:val="nil"/>
                  </w:tcBorders>
                  <w:shd w:val="clear" w:color="auto" w:fill="auto"/>
                  <w:noWrap/>
                  <w:vAlign w:val="center"/>
                </w:tcPr>
                <w:p w14:paraId="79A76C80">
                  <w:pPr>
                    <w:spacing w:line="240" w:lineRule="auto"/>
                    <w:ind w:firstLine="0" w:firstLineChars="0"/>
                    <w:jc w:val="center"/>
                    <w:rPr>
                      <w:rFonts w:hint="default" w:ascii="Times New Roman" w:hAnsi="Times New Roman" w:cs="Times New Roman"/>
                      <w:color w:val="auto"/>
                      <w:sz w:val="19"/>
                      <w:szCs w:val="19"/>
                    </w:rPr>
                  </w:pPr>
                </w:p>
              </w:tc>
              <w:tc>
                <w:tcPr>
                  <w:tcW w:w="289" w:type="pct"/>
                  <w:vMerge w:val="continue"/>
                  <w:tcBorders>
                    <w:tl2br w:val="nil"/>
                    <w:tr2bl w:val="nil"/>
                  </w:tcBorders>
                  <w:shd w:val="clear" w:color="auto" w:fill="auto"/>
                  <w:noWrap/>
                  <w:vAlign w:val="center"/>
                </w:tcPr>
                <w:p w14:paraId="3E079C6D">
                  <w:pPr>
                    <w:spacing w:line="240" w:lineRule="auto"/>
                    <w:ind w:firstLine="0" w:firstLineChars="0"/>
                    <w:jc w:val="center"/>
                    <w:rPr>
                      <w:rFonts w:hint="default" w:ascii="Times New Roman" w:hAnsi="Times New Roman" w:cs="Times New Roman"/>
                      <w:color w:val="auto"/>
                      <w:sz w:val="19"/>
                      <w:szCs w:val="19"/>
                    </w:rPr>
                  </w:pPr>
                </w:p>
              </w:tc>
              <w:tc>
                <w:tcPr>
                  <w:tcW w:w="281" w:type="pct"/>
                  <w:vMerge w:val="continue"/>
                  <w:tcBorders>
                    <w:tl2br w:val="nil"/>
                    <w:tr2bl w:val="nil"/>
                  </w:tcBorders>
                  <w:shd w:val="clear" w:color="auto" w:fill="auto"/>
                  <w:noWrap/>
                  <w:vAlign w:val="center"/>
                </w:tcPr>
                <w:p w14:paraId="4F03FD71">
                  <w:pPr>
                    <w:spacing w:line="240" w:lineRule="auto"/>
                    <w:ind w:firstLine="0" w:firstLineChars="0"/>
                    <w:jc w:val="center"/>
                    <w:rPr>
                      <w:rFonts w:hint="default" w:ascii="Times New Roman" w:hAnsi="Times New Roman" w:cs="Times New Roman"/>
                      <w:color w:val="auto"/>
                      <w:sz w:val="19"/>
                      <w:szCs w:val="19"/>
                    </w:rPr>
                  </w:pPr>
                </w:p>
              </w:tc>
              <w:tc>
                <w:tcPr>
                  <w:tcW w:w="160" w:type="pct"/>
                  <w:vMerge w:val="continue"/>
                  <w:tcBorders>
                    <w:tl2br w:val="nil"/>
                    <w:tr2bl w:val="nil"/>
                  </w:tcBorders>
                  <w:shd w:val="clear" w:color="auto" w:fill="auto"/>
                  <w:noWrap/>
                  <w:vAlign w:val="center"/>
                </w:tcPr>
                <w:p w14:paraId="086CDA9C">
                  <w:pPr>
                    <w:spacing w:line="240" w:lineRule="auto"/>
                    <w:ind w:firstLine="0" w:firstLineChars="0"/>
                    <w:jc w:val="center"/>
                    <w:rPr>
                      <w:rFonts w:hint="default" w:ascii="Times New Roman" w:hAnsi="Times New Roman" w:cs="Times New Roman"/>
                      <w:color w:val="auto"/>
                      <w:sz w:val="19"/>
                      <w:szCs w:val="19"/>
                    </w:rPr>
                  </w:pPr>
                </w:p>
              </w:tc>
              <w:tc>
                <w:tcPr>
                  <w:tcW w:w="223" w:type="pct"/>
                  <w:vMerge w:val="continue"/>
                  <w:tcBorders>
                    <w:tl2br w:val="nil"/>
                    <w:tr2bl w:val="nil"/>
                  </w:tcBorders>
                  <w:shd w:val="clear" w:color="auto" w:fill="auto"/>
                  <w:noWrap/>
                  <w:vAlign w:val="center"/>
                </w:tcPr>
                <w:p w14:paraId="03D146B8">
                  <w:pPr>
                    <w:spacing w:line="240" w:lineRule="auto"/>
                    <w:ind w:firstLine="0" w:firstLineChars="0"/>
                    <w:jc w:val="center"/>
                    <w:rPr>
                      <w:rFonts w:hint="default" w:ascii="Times New Roman" w:hAnsi="Times New Roman" w:cs="Times New Roman"/>
                      <w:color w:val="auto"/>
                      <w:sz w:val="19"/>
                      <w:szCs w:val="19"/>
                    </w:rPr>
                  </w:pPr>
                </w:p>
              </w:tc>
              <w:tc>
                <w:tcPr>
                  <w:tcW w:w="170" w:type="pct"/>
                  <w:vMerge w:val="continue"/>
                  <w:tcBorders>
                    <w:tl2br w:val="nil"/>
                    <w:tr2bl w:val="nil"/>
                  </w:tcBorders>
                  <w:shd w:val="clear" w:color="auto" w:fill="auto"/>
                  <w:noWrap/>
                  <w:vAlign w:val="center"/>
                </w:tcPr>
                <w:p w14:paraId="60C05645">
                  <w:pPr>
                    <w:spacing w:line="240" w:lineRule="auto"/>
                    <w:ind w:firstLine="0" w:firstLineChars="0"/>
                    <w:jc w:val="center"/>
                    <w:rPr>
                      <w:rFonts w:hint="default" w:ascii="Times New Roman" w:hAnsi="Times New Roman" w:cs="Times New Roman"/>
                      <w:color w:val="auto"/>
                      <w:sz w:val="19"/>
                      <w:szCs w:val="19"/>
                    </w:rPr>
                  </w:pPr>
                </w:p>
              </w:tc>
              <w:tc>
                <w:tcPr>
                  <w:tcW w:w="228" w:type="pct"/>
                  <w:vMerge w:val="continue"/>
                  <w:tcBorders>
                    <w:tl2br w:val="nil"/>
                    <w:tr2bl w:val="nil"/>
                  </w:tcBorders>
                  <w:shd w:val="clear" w:color="auto" w:fill="auto"/>
                  <w:noWrap/>
                  <w:vAlign w:val="center"/>
                </w:tcPr>
                <w:p w14:paraId="1B10B9A9">
                  <w:pPr>
                    <w:spacing w:line="240" w:lineRule="auto"/>
                    <w:ind w:firstLine="0" w:firstLineChars="0"/>
                    <w:jc w:val="center"/>
                    <w:rPr>
                      <w:rFonts w:hint="default" w:ascii="Times New Roman" w:hAnsi="Times New Roman" w:cs="Times New Roman"/>
                      <w:color w:val="auto"/>
                      <w:sz w:val="19"/>
                      <w:szCs w:val="19"/>
                    </w:rPr>
                  </w:pPr>
                </w:p>
              </w:tc>
              <w:tc>
                <w:tcPr>
                  <w:tcW w:w="174" w:type="pct"/>
                  <w:vMerge w:val="continue"/>
                  <w:tcBorders>
                    <w:tl2br w:val="nil"/>
                    <w:tr2bl w:val="nil"/>
                  </w:tcBorders>
                  <w:shd w:val="clear" w:color="auto" w:fill="auto"/>
                  <w:noWrap/>
                  <w:vAlign w:val="center"/>
                </w:tcPr>
                <w:p w14:paraId="11FB58E6">
                  <w:pPr>
                    <w:spacing w:line="240" w:lineRule="auto"/>
                    <w:ind w:firstLine="0" w:firstLineChars="0"/>
                    <w:jc w:val="center"/>
                    <w:rPr>
                      <w:rFonts w:hint="default" w:ascii="Times New Roman" w:hAnsi="Times New Roman" w:cs="Times New Roman"/>
                      <w:color w:val="auto"/>
                      <w:sz w:val="19"/>
                      <w:szCs w:val="19"/>
                    </w:rPr>
                  </w:pPr>
                </w:p>
              </w:tc>
              <w:tc>
                <w:tcPr>
                  <w:tcW w:w="194" w:type="pct"/>
                  <w:vMerge w:val="continue"/>
                  <w:tcBorders>
                    <w:tl2br w:val="nil"/>
                    <w:tr2bl w:val="nil"/>
                  </w:tcBorders>
                  <w:shd w:val="clear" w:color="auto" w:fill="auto"/>
                  <w:noWrap/>
                  <w:vAlign w:val="center"/>
                </w:tcPr>
                <w:p w14:paraId="164E0188">
                  <w:pPr>
                    <w:spacing w:line="240" w:lineRule="auto"/>
                    <w:ind w:firstLine="0" w:firstLineChars="0"/>
                    <w:jc w:val="center"/>
                    <w:rPr>
                      <w:rFonts w:hint="default" w:ascii="Times New Roman" w:hAnsi="Times New Roman" w:cs="Times New Roman"/>
                      <w:color w:val="auto"/>
                      <w:sz w:val="19"/>
                      <w:szCs w:val="19"/>
                    </w:rPr>
                  </w:pPr>
                </w:p>
              </w:tc>
              <w:tc>
                <w:tcPr>
                  <w:tcW w:w="170" w:type="pct"/>
                  <w:vMerge w:val="continue"/>
                  <w:tcBorders>
                    <w:tl2br w:val="nil"/>
                    <w:tr2bl w:val="nil"/>
                  </w:tcBorders>
                  <w:shd w:val="clear" w:color="auto" w:fill="auto"/>
                  <w:noWrap/>
                  <w:vAlign w:val="center"/>
                </w:tcPr>
                <w:p w14:paraId="5934B3F4">
                  <w:pPr>
                    <w:spacing w:line="240" w:lineRule="auto"/>
                    <w:ind w:firstLine="0" w:firstLineChars="0"/>
                    <w:jc w:val="center"/>
                    <w:rPr>
                      <w:rFonts w:hint="default" w:ascii="Times New Roman" w:hAnsi="Times New Roman" w:cs="Times New Roman"/>
                      <w:color w:val="auto"/>
                      <w:sz w:val="19"/>
                      <w:szCs w:val="19"/>
                    </w:rPr>
                  </w:pPr>
                </w:p>
              </w:tc>
              <w:tc>
                <w:tcPr>
                  <w:tcW w:w="208" w:type="pct"/>
                  <w:vMerge w:val="continue"/>
                  <w:tcBorders>
                    <w:tl2br w:val="nil"/>
                    <w:tr2bl w:val="nil"/>
                  </w:tcBorders>
                  <w:shd w:val="clear" w:color="auto" w:fill="auto"/>
                  <w:noWrap/>
                  <w:vAlign w:val="center"/>
                </w:tcPr>
                <w:p w14:paraId="40847A4E">
                  <w:pPr>
                    <w:spacing w:line="240" w:lineRule="auto"/>
                    <w:ind w:firstLine="0" w:firstLineChars="0"/>
                    <w:jc w:val="center"/>
                    <w:rPr>
                      <w:rFonts w:hint="default" w:ascii="Times New Roman" w:hAnsi="Times New Roman" w:cs="Times New Roman"/>
                      <w:color w:val="auto"/>
                      <w:sz w:val="19"/>
                      <w:szCs w:val="19"/>
                    </w:rPr>
                  </w:pPr>
                </w:p>
              </w:tc>
              <w:tc>
                <w:tcPr>
                  <w:tcW w:w="194" w:type="pct"/>
                  <w:vMerge w:val="continue"/>
                  <w:tcBorders>
                    <w:tl2br w:val="nil"/>
                    <w:tr2bl w:val="nil"/>
                  </w:tcBorders>
                  <w:shd w:val="clear" w:color="auto" w:fill="auto"/>
                  <w:noWrap/>
                  <w:vAlign w:val="center"/>
                </w:tcPr>
                <w:p w14:paraId="2E0CA7DC">
                  <w:pPr>
                    <w:spacing w:line="240" w:lineRule="auto"/>
                    <w:ind w:firstLine="0" w:firstLineChars="0"/>
                    <w:jc w:val="center"/>
                    <w:rPr>
                      <w:rFonts w:hint="default" w:ascii="Times New Roman" w:hAnsi="Times New Roman" w:cs="Times New Roman"/>
                      <w:color w:val="auto"/>
                      <w:sz w:val="19"/>
                      <w:szCs w:val="19"/>
                    </w:rPr>
                  </w:pPr>
                </w:p>
              </w:tc>
              <w:tc>
                <w:tcPr>
                  <w:tcW w:w="281" w:type="pct"/>
                  <w:vMerge w:val="continue"/>
                  <w:tcBorders>
                    <w:tl2br w:val="nil"/>
                    <w:tr2bl w:val="nil"/>
                  </w:tcBorders>
                  <w:shd w:val="clear" w:color="auto" w:fill="auto"/>
                  <w:noWrap/>
                  <w:vAlign w:val="center"/>
                </w:tcPr>
                <w:p w14:paraId="0D07FF0E">
                  <w:pPr>
                    <w:spacing w:line="240" w:lineRule="auto"/>
                    <w:ind w:firstLine="0" w:firstLineChars="0"/>
                    <w:jc w:val="center"/>
                    <w:rPr>
                      <w:rFonts w:hint="default" w:ascii="Times New Roman" w:hAnsi="Times New Roman" w:cs="Times New Roman"/>
                      <w:color w:val="auto"/>
                      <w:sz w:val="19"/>
                      <w:szCs w:val="19"/>
                    </w:rPr>
                  </w:pPr>
                </w:p>
              </w:tc>
              <w:tc>
                <w:tcPr>
                  <w:tcW w:w="267" w:type="pct"/>
                  <w:vMerge w:val="continue"/>
                  <w:tcBorders>
                    <w:tl2br w:val="nil"/>
                    <w:tr2bl w:val="nil"/>
                  </w:tcBorders>
                  <w:shd w:val="clear" w:color="auto" w:fill="auto"/>
                  <w:noWrap/>
                  <w:vAlign w:val="center"/>
                </w:tcPr>
                <w:p w14:paraId="37220681">
                  <w:pPr>
                    <w:spacing w:line="240" w:lineRule="auto"/>
                    <w:ind w:firstLine="0" w:firstLineChars="0"/>
                    <w:jc w:val="center"/>
                    <w:rPr>
                      <w:rFonts w:hint="default" w:ascii="Times New Roman" w:hAnsi="Times New Roman" w:cs="Times New Roman"/>
                      <w:color w:val="auto"/>
                      <w:sz w:val="19"/>
                      <w:szCs w:val="19"/>
                    </w:rPr>
                  </w:pPr>
                </w:p>
              </w:tc>
              <w:tc>
                <w:tcPr>
                  <w:tcW w:w="157" w:type="pct"/>
                  <w:tcBorders>
                    <w:tl2br w:val="nil"/>
                    <w:tr2bl w:val="nil"/>
                  </w:tcBorders>
                  <w:shd w:val="clear" w:color="auto" w:fill="auto"/>
                  <w:noWrap/>
                  <w:vAlign w:val="center"/>
                </w:tcPr>
                <w:p w14:paraId="3BF48653">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东</w:t>
                  </w:r>
                </w:p>
              </w:tc>
              <w:tc>
                <w:tcPr>
                  <w:tcW w:w="157" w:type="pct"/>
                  <w:tcBorders>
                    <w:tl2br w:val="nil"/>
                    <w:tr2bl w:val="nil"/>
                  </w:tcBorders>
                  <w:shd w:val="clear" w:color="auto" w:fill="auto"/>
                  <w:noWrap/>
                  <w:vAlign w:val="center"/>
                </w:tcPr>
                <w:p w14:paraId="5AB49459">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南</w:t>
                  </w:r>
                </w:p>
              </w:tc>
              <w:tc>
                <w:tcPr>
                  <w:tcW w:w="157" w:type="pct"/>
                  <w:tcBorders>
                    <w:tl2br w:val="nil"/>
                    <w:tr2bl w:val="nil"/>
                  </w:tcBorders>
                  <w:shd w:val="clear" w:color="auto" w:fill="auto"/>
                  <w:noWrap/>
                  <w:vAlign w:val="center"/>
                </w:tcPr>
                <w:p w14:paraId="73FF744E">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西</w:t>
                  </w:r>
                </w:p>
              </w:tc>
              <w:tc>
                <w:tcPr>
                  <w:tcW w:w="158" w:type="pct"/>
                  <w:tcBorders>
                    <w:tl2br w:val="nil"/>
                    <w:tr2bl w:val="nil"/>
                  </w:tcBorders>
                  <w:shd w:val="clear" w:color="auto" w:fill="auto"/>
                  <w:noWrap/>
                  <w:vAlign w:val="center"/>
                </w:tcPr>
                <w:p w14:paraId="2242F359">
                  <w:pPr>
                    <w:spacing w:line="240" w:lineRule="auto"/>
                    <w:ind w:firstLine="0" w:firstLineChars="0"/>
                    <w:jc w:val="center"/>
                    <w:rPr>
                      <w:rFonts w:hint="default" w:ascii="Times New Roman" w:hAnsi="Times New Roman" w:cs="Times New Roman"/>
                      <w:b/>
                      <w:bCs/>
                      <w:color w:val="auto"/>
                      <w:sz w:val="19"/>
                      <w:szCs w:val="19"/>
                    </w:rPr>
                  </w:pPr>
                  <w:r>
                    <w:rPr>
                      <w:rFonts w:hint="default" w:ascii="Times New Roman" w:hAnsi="Times New Roman" w:cs="Times New Roman"/>
                      <w:b/>
                      <w:bCs/>
                      <w:color w:val="auto"/>
                      <w:sz w:val="19"/>
                      <w:szCs w:val="19"/>
                    </w:rPr>
                    <w:t>北</w:t>
                  </w:r>
                </w:p>
              </w:tc>
              <w:tc>
                <w:tcPr>
                  <w:tcW w:w="249" w:type="pct"/>
                  <w:vMerge w:val="continue"/>
                  <w:tcBorders>
                    <w:tl2br w:val="nil"/>
                    <w:tr2bl w:val="nil"/>
                  </w:tcBorders>
                  <w:shd w:val="clear" w:color="auto" w:fill="auto"/>
                  <w:noWrap/>
                  <w:vAlign w:val="center"/>
                </w:tcPr>
                <w:p w14:paraId="532752B9">
                  <w:pPr>
                    <w:spacing w:line="240" w:lineRule="auto"/>
                    <w:ind w:firstLine="0" w:firstLineChars="0"/>
                    <w:jc w:val="center"/>
                    <w:rPr>
                      <w:rFonts w:hint="default" w:ascii="Times New Roman" w:hAnsi="Times New Roman" w:cs="Times New Roman"/>
                      <w:color w:val="auto"/>
                      <w:sz w:val="19"/>
                      <w:szCs w:val="19"/>
                    </w:rPr>
                  </w:pPr>
                </w:p>
              </w:tc>
            </w:tr>
            <w:tr w14:paraId="0C3A59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483F093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169" w:type="pct"/>
                  <w:vMerge w:val="restart"/>
                  <w:tcBorders>
                    <w:tl2br w:val="nil"/>
                    <w:tr2bl w:val="nil"/>
                  </w:tcBorders>
                  <w:shd w:val="clear" w:color="auto" w:fill="auto"/>
                  <w:noWrap/>
                  <w:vAlign w:val="center"/>
                </w:tcPr>
                <w:p w14:paraId="1125C38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发泡</w:t>
                  </w:r>
                </w:p>
                <w:p w14:paraId="1BA2080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车间</w:t>
                  </w:r>
                </w:p>
              </w:tc>
              <w:tc>
                <w:tcPr>
                  <w:tcW w:w="380" w:type="pct"/>
                  <w:tcBorders>
                    <w:tl2br w:val="nil"/>
                    <w:tr2bl w:val="nil"/>
                  </w:tcBorders>
                  <w:shd w:val="clear" w:color="auto" w:fill="auto"/>
                  <w:noWrap/>
                  <w:vAlign w:val="center"/>
                </w:tcPr>
                <w:p w14:paraId="449C7E8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发泡机</w:t>
                  </w:r>
                </w:p>
              </w:tc>
              <w:tc>
                <w:tcPr>
                  <w:tcW w:w="269" w:type="pct"/>
                  <w:tcBorders>
                    <w:tl2br w:val="nil"/>
                    <w:tr2bl w:val="nil"/>
                  </w:tcBorders>
                  <w:shd w:val="clear" w:color="auto" w:fill="auto"/>
                  <w:noWrap/>
                  <w:vAlign w:val="center"/>
                </w:tcPr>
                <w:p w14:paraId="0BC5D92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restart"/>
                  <w:tcBorders>
                    <w:tl2br w:val="nil"/>
                    <w:tr2bl w:val="nil"/>
                  </w:tcBorders>
                  <w:shd w:val="clear" w:color="auto" w:fill="auto"/>
                  <w:noWrap/>
                  <w:vAlign w:val="center"/>
                </w:tcPr>
                <w:p w14:paraId="1E55EB7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基础减振、周边墙体隔声、采用低噪声设备、管道接口采用隔音材料包裹</w:t>
                  </w:r>
                </w:p>
              </w:tc>
              <w:tc>
                <w:tcPr>
                  <w:tcW w:w="289" w:type="pct"/>
                  <w:tcBorders>
                    <w:tl2br w:val="nil"/>
                    <w:tr2bl w:val="nil"/>
                  </w:tcBorders>
                  <w:shd w:val="clear" w:color="auto" w:fill="auto"/>
                  <w:noWrap/>
                  <w:vAlign w:val="center"/>
                </w:tcPr>
                <w:p w14:paraId="224BE0BD">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86.6</w:t>
                  </w:r>
                </w:p>
              </w:tc>
              <w:tc>
                <w:tcPr>
                  <w:tcW w:w="281" w:type="pct"/>
                  <w:tcBorders>
                    <w:tl2br w:val="nil"/>
                    <w:tr2bl w:val="nil"/>
                  </w:tcBorders>
                  <w:shd w:val="clear" w:color="auto" w:fill="auto"/>
                  <w:noWrap/>
                  <w:vAlign w:val="center"/>
                </w:tcPr>
                <w:p w14:paraId="4BC64816">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131.6</w:t>
                  </w:r>
                </w:p>
              </w:tc>
              <w:tc>
                <w:tcPr>
                  <w:tcW w:w="160" w:type="pct"/>
                  <w:tcBorders>
                    <w:tl2br w:val="nil"/>
                    <w:tr2bl w:val="nil"/>
                  </w:tcBorders>
                  <w:shd w:val="clear" w:color="auto" w:fill="auto"/>
                  <w:noWrap/>
                  <w:vAlign w:val="center"/>
                </w:tcPr>
                <w:p w14:paraId="7FAA06D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1189FF5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130</w:t>
                  </w:r>
                </w:p>
              </w:tc>
              <w:tc>
                <w:tcPr>
                  <w:tcW w:w="170" w:type="pct"/>
                  <w:tcBorders>
                    <w:tl2br w:val="nil"/>
                    <w:tr2bl w:val="nil"/>
                  </w:tcBorders>
                  <w:shd w:val="clear" w:color="auto" w:fill="auto"/>
                  <w:noWrap/>
                  <w:vAlign w:val="center"/>
                </w:tcPr>
                <w:p w14:paraId="441AF5E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228" w:type="pct"/>
                  <w:tcBorders>
                    <w:tl2br w:val="nil"/>
                    <w:tr2bl w:val="nil"/>
                  </w:tcBorders>
                  <w:shd w:val="clear" w:color="auto" w:fill="auto"/>
                  <w:noWrap/>
                  <w:vAlign w:val="center"/>
                </w:tcPr>
                <w:p w14:paraId="1DC9193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74" w:type="pct"/>
                  <w:tcBorders>
                    <w:tl2br w:val="nil"/>
                    <w:tr2bl w:val="nil"/>
                  </w:tcBorders>
                  <w:shd w:val="clear" w:color="auto" w:fill="auto"/>
                  <w:noWrap/>
                  <w:vAlign w:val="center"/>
                </w:tcPr>
                <w:p w14:paraId="7B87554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w:t>
                  </w:r>
                </w:p>
              </w:tc>
              <w:tc>
                <w:tcPr>
                  <w:tcW w:w="194" w:type="pct"/>
                  <w:tcBorders>
                    <w:tl2br w:val="nil"/>
                    <w:tr2bl w:val="nil"/>
                  </w:tcBorders>
                  <w:shd w:val="clear" w:color="auto" w:fill="auto"/>
                  <w:noWrap/>
                  <w:vAlign w:val="center"/>
                </w:tcPr>
                <w:p w14:paraId="755670D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0139545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11A9E5B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6EEA7E0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5F8D39B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18268D9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4208BE3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2B8B758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6882541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38B0759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498E242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326264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41E5DAA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w:t>
                  </w:r>
                </w:p>
              </w:tc>
              <w:tc>
                <w:tcPr>
                  <w:tcW w:w="169" w:type="pct"/>
                  <w:vMerge w:val="continue"/>
                  <w:tcBorders>
                    <w:tl2br w:val="nil"/>
                    <w:tr2bl w:val="nil"/>
                  </w:tcBorders>
                  <w:shd w:val="clear" w:color="auto" w:fill="auto"/>
                  <w:noWrap/>
                  <w:vAlign w:val="center"/>
                </w:tcPr>
                <w:p w14:paraId="02E83D28">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1A38F00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发泡机</w:t>
                  </w:r>
                </w:p>
              </w:tc>
              <w:tc>
                <w:tcPr>
                  <w:tcW w:w="269" w:type="pct"/>
                  <w:tcBorders>
                    <w:tl2br w:val="nil"/>
                    <w:tr2bl w:val="nil"/>
                  </w:tcBorders>
                  <w:shd w:val="clear" w:color="auto" w:fill="auto"/>
                  <w:noWrap/>
                  <w:vAlign w:val="center"/>
                </w:tcPr>
                <w:p w14:paraId="4CD5B42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3CAE907E">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778A9461">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81.3</w:t>
                  </w:r>
                </w:p>
              </w:tc>
              <w:tc>
                <w:tcPr>
                  <w:tcW w:w="281" w:type="pct"/>
                  <w:tcBorders>
                    <w:tl2br w:val="nil"/>
                    <w:tr2bl w:val="nil"/>
                  </w:tcBorders>
                  <w:shd w:val="clear" w:color="auto" w:fill="auto"/>
                  <w:noWrap/>
                  <w:vAlign w:val="center"/>
                </w:tcPr>
                <w:p w14:paraId="6B8714DC">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129.6</w:t>
                  </w:r>
                </w:p>
              </w:tc>
              <w:tc>
                <w:tcPr>
                  <w:tcW w:w="160" w:type="pct"/>
                  <w:tcBorders>
                    <w:tl2br w:val="nil"/>
                    <w:tr2bl w:val="nil"/>
                  </w:tcBorders>
                  <w:shd w:val="clear" w:color="auto" w:fill="auto"/>
                  <w:noWrap/>
                  <w:vAlign w:val="center"/>
                </w:tcPr>
                <w:p w14:paraId="40E5D94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7436D9D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128</w:t>
                  </w:r>
                </w:p>
              </w:tc>
              <w:tc>
                <w:tcPr>
                  <w:tcW w:w="170" w:type="pct"/>
                  <w:tcBorders>
                    <w:tl2br w:val="nil"/>
                    <w:tr2bl w:val="nil"/>
                  </w:tcBorders>
                  <w:shd w:val="clear" w:color="auto" w:fill="auto"/>
                  <w:noWrap/>
                  <w:vAlign w:val="center"/>
                </w:tcPr>
                <w:p w14:paraId="728B2E9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w:t>
                  </w:r>
                </w:p>
              </w:tc>
              <w:tc>
                <w:tcPr>
                  <w:tcW w:w="228" w:type="pct"/>
                  <w:tcBorders>
                    <w:tl2br w:val="nil"/>
                    <w:tr2bl w:val="nil"/>
                  </w:tcBorders>
                  <w:shd w:val="clear" w:color="auto" w:fill="auto"/>
                  <w:noWrap/>
                  <w:vAlign w:val="center"/>
                </w:tcPr>
                <w:p w14:paraId="75B5294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74" w:type="pct"/>
                  <w:tcBorders>
                    <w:tl2br w:val="nil"/>
                    <w:tr2bl w:val="nil"/>
                  </w:tcBorders>
                  <w:shd w:val="clear" w:color="auto" w:fill="auto"/>
                  <w:noWrap/>
                  <w:vAlign w:val="center"/>
                </w:tcPr>
                <w:p w14:paraId="50C43EF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11</w:t>
                  </w:r>
                </w:p>
              </w:tc>
              <w:tc>
                <w:tcPr>
                  <w:tcW w:w="194" w:type="pct"/>
                  <w:tcBorders>
                    <w:tl2br w:val="nil"/>
                    <w:tr2bl w:val="nil"/>
                  </w:tcBorders>
                  <w:shd w:val="clear" w:color="auto" w:fill="auto"/>
                  <w:noWrap/>
                  <w:vAlign w:val="center"/>
                </w:tcPr>
                <w:p w14:paraId="35153DE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0045A5C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469D343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507730A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120FF79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48EF314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001E1A8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7CAD139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7804DF3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66FD093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727192F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4F0756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5F8F165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w:t>
                  </w:r>
                </w:p>
              </w:tc>
              <w:tc>
                <w:tcPr>
                  <w:tcW w:w="169" w:type="pct"/>
                  <w:vMerge w:val="continue"/>
                  <w:tcBorders>
                    <w:tl2br w:val="nil"/>
                    <w:tr2bl w:val="nil"/>
                  </w:tcBorders>
                  <w:shd w:val="clear" w:color="auto" w:fill="auto"/>
                  <w:noWrap/>
                  <w:vAlign w:val="center"/>
                </w:tcPr>
                <w:p w14:paraId="2EA51575">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271D6F3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发泡机</w:t>
                  </w:r>
                </w:p>
              </w:tc>
              <w:tc>
                <w:tcPr>
                  <w:tcW w:w="269" w:type="pct"/>
                  <w:tcBorders>
                    <w:tl2br w:val="nil"/>
                    <w:tr2bl w:val="nil"/>
                  </w:tcBorders>
                  <w:shd w:val="clear" w:color="auto" w:fill="auto"/>
                  <w:noWrap/>
                  <w:vAlign w:val="center"/>
                </w:tcPr>
                <w:p w14:paraId="70915A2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00756B86">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67BD37F3">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75.2</w:t>
                  </w:r>
                </w:p>
              </w:tc>
              <w:tc>
                <w:tcPr>
                  <w:tcW w:w="281" w:type="pct"/>
                  <w:tcBorders>
                    <w:tl2br w:val="nil"/>
                    <w:tr2bl w:val="nil"/>
                  </w:tcBorders>
                  <w:shd w:val="clear" w:color="auto" w:fill="auto"/>
                  <w:noWrap/>
                  <w:vAlign w:val="center"/>
                </w:tcPr>
                <w:p w14:paraId="6BC67199">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128.2</w:t>
                  </w:r>
                </w:p>
              </w:tc>
              <w:tc>
                <w:tcPr>
                  <w:tcW w:w="160" w:type="pct"/>
                  <w:tcBorders>
                    <w:tl2br w:val="nil"/>
                    <w:tr2bl w:val="nil"/>
                  </w:tcBorders>
                  <w:shd w:val="clear" w:color="auto" w:fill="auto"/>
                  <w:noWrap/>
                  <w:vAlign w:val="center"/>
                </w:tcPr>
                <w:p w14:paraId="4BCD6D4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26DC142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127</w:t>
                  </w:r>
                </w:p>
              </w:tc>
              <w:tc>
                <w:tcPr>
                  <w:tcW w:w="170" w:type="pct"/>
                  <w:tcBorders>
                    <w:tl2br w:val="nil"/>
                    <w:tr2bl w:val="nil"/>
                  </w:tcBorders>
                  <w:shd w:val="clear" w:color="auto" w:fill="auto"/>
                  <w:noWrap/>
                  <w:vAlign w:val="center"/>
                </w:tcPr>
                <w:p w14:paraId="2E87ED1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w:t>
                  </w:r>
                </w:p>
              </w:tc>
              <w:tc>
                <w:tcPr>
                  <w:tcW w:w="228" w:type="pct"/>
                  <w:tcBorders>
                    <w:tl2br w:val="nil"/>
                    <w:tr2bl w:val="nil"/>
                  </w:tcBorders>
                  <w:shd w:val="clear" w:color="auto" w:fill="auto"/>
                  <w:noWrap/>
                  <w:vAlign w:val="center"/>
                </w:tcPr>
                <w:p w14:paraId="6CC172C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w:t>
                  </w:r>
                </w:p>
              </w:tc>
              <w:tc>
                <w:tcPr>
                  <w:tcW w:w="174" w:type="pct"/>
                  <w:tcBorders>
                    <w:tl2br w:val="nil"/>
                    <w:tr2bl w:val="nil"/>
                  </w:tcBorders>
                  <w:shd w:val="clear" w:color="auto" w:fill="auto"/>
                  <w:noWrap/>
                  <w:vAlign w:val="center"/>
                </w:tcPr>
                <w:p w14:paraId="259F5C8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194" w:type="pct"/>
                  <w:tcBorders>
                    <w:tl2br w:val="nil"/>
                    <w:tr2bl w:val="nil"/>
                  </w:tcBorders>
                  <w:shd w:val="clear" w:color="auto" w:fill="auto"/>
                  <w:noWrap/>
                  <w:vAlign w:val="center"/>
                </w:tcPr>
                <w:p w14:paraId="49D7A4D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59C8AB0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2A342CC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4BC1EA3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0B736B3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2B2B664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120BC3C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1486CE1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277BA65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4BD6098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014A956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1CEACC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491CE9D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w:t>
                  </w:r>
                </w:p>
              </w:tc>
              <w:tc>
                <w:tcPr>
                  <w:tcW w:w="169" w:type="pct"/>
                  <w:vMerge w:val="restart"/>
                  <w:tcBorders>
                    <w:tl2br w:val="nil"/>
                    <w:tr2bl w:val="nil"/>
                  </w:tcBorders>
                  <w:shd w:val="clear" w:color="auto" w:fill="auto"/>
                  <w:noWrap/>
                  <w:vAlign w:val="center"/>
                </w:tcPr>
                <w:p w14:paraId="0BAEB02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裁床</w:t>
                  </w:r>
                </w:p>
                <w:p w14:paraId="4D7F6D9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车间</w:t>
                  </w:r>
                </w:p>
              </w:tc>
              <w:tc>
                <w:tcPr>
                  <w:tcW w:w="380" w:type="pct"/>
                  <w:tcBorders>
                    <w:tl2br w:val="nil"/>
                    <w:tr2bl w:val="nil"/>
                  </w:tcBorders>
                  <w:shd w:val="clear" w:color="auto" w:fill="auto"/>
                  <w:noWrap/>
                  <w:vAlign w:val="center"/>
                </w:tcPr>
                <w:p w14:paraId="185C43B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分切机1</w:t>
                  </w:r>
                </w:p>
              </w:tc>
              <w:tc>
                <w:tcPr>
                  <w:tcW w:w="269" w:type="pct"/>
                  <w:tcBorders>
                    <w:tl2br w:val="nil"/>
                    <w:tr2bl w:val="nil"/>
                  </w:tcBorders>
                  <w:shd w:val="clear" w:color="auto" w:fill="auto"/>
                  <w:noWrap/>
                  <w:vAlign w:val="center"/>
                </w:tcPr>
                <w:p w14:paraId="4E4EA77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4476C8B3">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43C26897">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92.2</w:t>
                  </w:r>
                </w:p>
              </w:tc>
              <w:tc>
                <w:tcPr>
                  <w:tcW w:w="281" w:type="pct"/>
                  <w:tcBorders>
                    <w:tl2br w:val="nil"/>
                    <w:tr2bl w:val="nil"/>
                  </w:tcBorders>
                  <w:shd w:val="clear" w:color="auto" w:fill="auto"/>
                  <w:noWrap/>
                  <w:vAlign w:val="center"/>
                </w:tcPr>
                <w:p w14:paraId="7F05B2C4">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55.4</w:t>
                  </w:r>
                </w:p>
              </w:tc>
              <w:tc>
                <w:tcPr>
                  <w:tcW w:w="160" w:type="pct"/>
                  <w:tcBorders>
                    <w:tl2br w:val="nil"/>
                    <w:tr2bl w:val="nil"/>
                  </w:tcBorders>
                  <w:shd w:val="clear" w:color="auto" w:fill="auto"/>
                  <w:noWrap/>
                  <w:vAlign w:val="center"/>
                </w:tcPr>
                <w:p w14:paraId="393A4EB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25F6758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54</w:t>
                  </w:r>
                </w:p>
              </w:tc>
              <w:tc>
                <w:tcPr>
                  <w:tcW w:w="170" w:type="pct"/>
                  <w:tcBorders>
                    <w:tl2br w:val="nil"/>
                    <w:tr2bl w:val="nil"/>
                  </w:tcBorders>
                  <w:shd w:val="clear" w:color="auto" w:fill="auto"/>
                  <w:noWrap/>
                  <w:vAlign w:val="center"/>
                </w:tcPr>
                <w:p w14:paraId="7A9E98E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19</w:t>
                  </w:r>
                </w:p>
              </w:tc>
              <w:tc>
                <w:tcPr>
                  <w:tcW w:w="228" w:type="pct"/>
                  <w:tcBorders>
                    <w:tl2br w:val="nil"/>
                    <w:tr2bl w:val="nil"/>
                  </w:tcBorders>
                  <w:shd w:val="clear" w:color="auto" w:fill="auto"/>
                  <w:noWrap/>
                  <w:vAlign w:val="center"/>
                </w:tcPr>
                <w:p w14:paraId="7872073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86</w:t>
                  </w:r>
                </w:p>
              </w:tc>
              <w:tc>
                <w:tcPr>
                  <w:tcW w:w="174" w:type="pct"/>
                  <w:tcBorders>
                    <w:tl2br w:val="nil"/>
                    <w:tr2bl w:val="nil"/>
                  </w:tcBorders>
                  <w:shd w:val="clear" w:color="auto" w:fill="auto"/>
                  <w:noWrap/>
                  <w:vAlign w:val="center"/>
                </w:tcPr>
                <w:p w14:paraId="245FFF5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94" w:type="pct"/>
                  <w:tcBorders>
                    <w:tl2br w:val="nil"/>
                    <w:tr2bl w:val="nil"/>
                  </w:tcBorders>
                  <w:shd w:val="clear" w:color="auto" w:fill="auto"/>
                  <w:noWrap/>
                  <w:vAlign w:val="center"/>
                </w:tcPr>
                <w:p w14:paraId="2D3231A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70" w:type="pct"/>
                  <w:tcBorders>
                    <w:tl2br w:val="nil"/>
                    <w:tr2bl w:val="nil"/>
                  </w:tcBorders>
                  <w:shd w:val="clear" w:color="auto" w:fill="auto"/>
                  <w:noWrap/>
                  <w:vAlign w:val="center"/>
                </w:tcPr>
                <w:p w14:paraId="4CDDF70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08" w:type="pct"/>
                  <w:tcBorders>
                    <w:tl2br w:val="nil"/>
                    <w:tr2bl w:val="nil"/>
                  </w:tcBorders>
                  <w:shd w:val="clear" w:color="auto" w:fill="auto"/>
                  <w:noWrap/>
                  <w:vAlign w:val="center"/>
                </w:tcPr>
                <w:p w14:paraId="70200E1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94" w:type="pct"/>
                  <w:tcBorders>
                    <w:tl2br w:val="nil"/>
                    <w:tr2bl w:val="nil"/>
                  </w:tcBorders>
                  <w:shd w:val="clear" w:color="auto" w:fill="auto"/>
                  <w:noWrap/>
                  <w:vAlign w:val="center"/>
                </w:tcPr>
                <w:p w14:paraId="1D28F23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81" w:type="pct"/>
                  <w:tcBorders>
                    <w:tl2br w:val="nil"/>
                    <w:tr2bl w:val="nil"/>
                  </w:tcBorders>
                  <w:shd w:val="clear" w:color="auto" w:fill="auto"/>
                  <w:noWrap/>
                  <w:vAlign w:val="center"/>
                </w:tcPr>
                <w:p w14:paraId="2825980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391CF6F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F756A2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252FD30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54AB9E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8" w:type="pct"/>
                  <w:tcBorders>
                    <w:tl2br w:val="nil"/>
                    <w:tr2bl w:val="nil"/>
                  </w:tcBorders>
                  <w:shd w:val="clear" w:color="auto" w:fill="auto"/>
                  <w:noWrap/>
                  <w:vAlign w:val="center"/>
                </w:tcPr>
                <w:p w14:paraId="19390EF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249" w:type="pct"/>
                  <w:tcBorders>
                    <w:tl2br w:val="nil"/>
                    <w:tr2bl w:val="nil"/>
                  </w:tcBorders>
                  <w:shd w:val="clear" w:color="auto" w:fill="auto"/>
                  <w:noWrap/>
                  <w:vAlign w:val="center"/>
                </w:tcPr>
                <w:p w14:paraId="643F429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20D6E4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5DC70D3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69" w:type="pct"/>
                  <w:vMerge w:val="continue"/>
                  <w:tcBorders>
                    <w:tl2br w:val="nil"/>
                    <w:tr2bl w:val="nil"/>
                  </w:tcBorders>
                  <w:shd w:val="clear" w:color="auto" w:fill="auto"/>
                  <w:noWrap/>
                  <w:vAlign w:val="center"/>
                </w:tcPr>
                <w:p w14:paraId="71B13242">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4BD8B5B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分切机2</w:t>
                  </w:r>
                </w:p>
              </w:tc>
              <w:tc>
                <w:tcPr>
                  <w:tcW w:w="269" w:type="pct"/>
                  <w:tcBorders>
                    <w:tl2br w:val="nil"/>
                    <w:tr2bl w:val="nil"/>
                  </w:tcBorders>
                  <w:shd w:val="clear" w:color="auto" w:fill="auto"/>
                  <w:noWrap/>
                  <w:vAlign w:val="center"/>
                </w:tcPr>
                <w:p w14:paraId="5C36E0A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0F24AD51">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6B4DDEB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90.2</w:t>
                  </w:r>
                </w:p>
              </w:tc>
              <w:tc>
                <w:tcPr>
                  <w:tcW w:w="281" w:type="pct"/>
                  <w:tcBorders>
                    <w:tl2br w:val="nil"/>
                    <w:tr2bl w:val="nil"/>
                  </w:tcBorders>
                  <w:shd w:val="clear" w:color="auto" w:fill="auto"/>
                  <w:noWrap/>
                  <w:vAlign w:val="center"/>
                </w:tcPr>
                <w:p w14:paraId="3A0CE4A5">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50.7</w:t>
                  </w:r>
                </w:p>
              </w:tc>
              <w:tc>
                <w:tcPr>
                  <w:tcW w:w="160" w:type="pct"/>
                  <w:tcBorders>
                    <w:tl2br w:val="nil"/>
                    <w:tr2bl w:val="nil"/>
                  </w:tcBorders>
                  <w:shd w:val="clear" w:color="auto" w:fill="auto"/>
                  <w:noWrap/>
                  <w:vAlign w:val="center"/>
                </w:tcPr>
                <w:p w14:paraId="2253FF9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04F021E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49</w:t>
                  </w:r>
                </w:p>
              </w:tc>
              <w:tc>
                <w:tcPr>
                  <w:tcW w:w="170" w:type="pct"/>
                  <w:tcBorders>
                    <w:tl2br w:val="nil"/>
                    <w:tr2bl w:val="nil"/>
                  </w:tcBorders>
                  <w:shd w:val="clear" w:color="auto" w:fill="auto"/>
                  <w:noWrap/>
                  <w:vAlign w:val="center"/>
                </w:tcPr>
                <w:p w14:paraId="606C595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228" w:type="pct"/>
                  <w:tcBorders>
                    <w:tl2br w:val="nil"/>
                    <w:tr2bl w:val="nil"/>
                  </w:tcBorders>
                  <w:shd w:val="clear" w:color="auto" w:fill="auto"/>
                  <w:noWrap/>
                  <w:vAlign w:val="center"/>
                </w:tcPr>
                <w:p w14:paraId="5A9DA89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90</w:t>
                  </w:r>
                </w:p>
              </w:tc>
              <w:tc>
                <w:tcPr>
                  <w:tcW w:w="174" w:type="pct"/>
                  <w:tcBorders>
                    <w:tl2br w:val="nil"/>
                    <w:tr2bl w:val="nil"/>
                  </w:tcBorders>
                  <w:shd w:val="clear" w:color="auto" w:fill="auto"/>
                  <w:noWrap/>
                  <w:vAlign w:val="center"/>
                </w:tcPr>
                <w:p w14:paraId="3E05DC9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w:t>
                  </w:r>
                </w:p>
              </w:tc>
              <w:tc>
                <w:tcPr>
                  <w:tcW w:w="194" w:type="pct"/>
                  <w:tcBorders>
                    <w:tl2br w:val="nil"/>
                    <w:tr2bl w:val="nil"/>
                  </w:tcBorders>
                  <w:shd w:val="clear" w:color="auto" w:fill="auto"/>
                  <w:noWrap/>
                  <w:vAlign w:val="center"/>
                </w:tcPr>
                <w:p w14:paraId="1F98424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70" w:type="pct"/>
                  <w:tcBorders>
                    <w:tl2br w:val="nil"/>
                    <w:tr2bl w:val="nil"/>
                  </w:tcBorders>
                  <w:shd w:val="clear" w:color="auto" w:fill="auto"/>
                  <w:noWrap/>
                  <w:vAlign w:val="center"/>
                </w:tcPr>
                <w:p w14:paraId="097BCC9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08" w:type="pct"/>
                  <w:tcBorders>
                    <w:tl2br w:val="nil"/>
                    <w:tr2bl w:val="nil"/>
                  </w:tcBorders>
                  <w:shd w:val="clear" w:color="auto" w:fill="auto"/>
                  <w:noWrap/>
                  <w:vAlign w:val="center"/>
                </w:tcPr>
                <w:p w14:paraId="67B9526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94" w:type="pct"/>
                  <w:tcBorders>
                    <w:tl2br w:val="nil"/>
                    <w:tr2bl w:val="nil"/>
                  </w:tcBorders>
                  <w:shd w:val="clear" w:color="auto" w:fill="auto"/>
                  <w:noWrap/>
                  <w:vAlign w:val="center"/>
                </w:tcPr>
                <w:p w14:paraId="0249F66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81" w:type="pct"/>
                  <w:tcBorders>
                    <w:tl2br w:val="nil"/>
                    <w:tr2bl w:val="nil"/>
                  </w:tcBorders>
                  <w:shd w:val="clear" w:color="auto" w:fill="auto"/>
                  <w:noWrap/>
                  <w:vAlign w:val="center"/>
                </w:tcPr>
                <w:p w14:paraId="4031F6F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2E992D2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1CEBB7A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229E2C0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70A2167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8" w:type="pct"/>
                  <w:tcBorders>
                    <w:tl2br w:val="nil"/>
                    <w:tr2bl w:val="nil"/>
                  </w:tcBorders>
                  <w:shd w:val="clear" w:color="auto" w:fill="auto"/>
                  <w:noWrap/>
                  <w:vAlign w:val="center"/>
                </w:tcPr>
                <w:p w14:paraId="1ADCB48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249" w:type="pct"/>
                  <w:tcBorders>
                    <w:tl2br w:val="nil"/>
                    <w:tr2bl w:val="nil"/>
                  </w:tcBorders>
                  <w:shd w:val="clear" w:color="auto" w:fill="auto"/>
                  <w:noWrap/>
                  <w:vAlign w:val="center"/>
                </w:tcPr>
                <w:p w14:paraId="25083DF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5BAA80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6CE7CCF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w:t>
                  </w:r>
                </w:p>
              </w:tc>
              <w:tc>
                <w:tcPr>
                  <w:tcW w:w="169" w:type="pct"/>
                  <w:vMerge w:val="continue"/>
                  <w:tcBorders>
                    <w:tl2br w:val="nil"/>
                    <w:tr2bl w:val="nil"/>
                  </w:tcBorders>
                  <w:shd w:val="clear" w:color="auto" w:fill="auto"/>
                  <w:noWrap/>
                  <w:vAlign w:val="center"/>
                </w:tcPr>
                <w:p w14:paraId="2E20E06D">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61EEC36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分切机3</w:t>
                  </w:r>
                </w:p>
              </w:tc>
              <w:tc>
                <w:tcPr>
                  <w:tcW w:w="269" w:type="pct"/>
                  <w:tcBorders>
                    <w:tl2br w:val="nil"/>
                    <w:tr2bl w:val="nil"/>
                  </w:tcBorders>
                  <w:shd w:val="clear" w:color="auto" w:fill="auto"/>
                  <w:noWrap/>
                  <w:vAlign w:val="center"/>
                </w:tcPr>
                <w:p w14:paraId="3C9F11C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15993B25">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6A66044F">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84.5</w:t>
                  </w:r>
                </w:p>
              </w:tc>
              <w:tc>
                <w:tcPr>
                  <w:tcW w:w="281" w:type="pct"/>
                  <w:tcBorders>
                    <w:tl2br w:val="nil"/>
                    <w:tr2bl w:val="nil"/>
                  </w:tcBorders>
                  <w:shd w:val="clear" w:color="auto" w:fill="auto"/>
                  <w:noWrap/>
                  <w:vAlign w:val="center"/>
                </w:tcPr>
                <w:p w14:paraId="7BCE9C7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50.5</w:t>
                  </w:r>
                </w:p>
              </w:tc>
              <w:tc>
                <w:tcPr>
                  <w:tcW w:w="160" w:type="pct"/>
                  <w:tcBorders>
                    <w:tl2br w:val="nil"/>
                    <w:tr2bl w:val="nil"/>
                  </w:tcBorders>
                  <w:shd w:val="clear" w:color="auto" w:fill="auto"/>
                  <w:noWrap/>
                  <w:vAlign w:val="center"/>
                </w:tcPr>
                <w:p w14:paraId="39CF680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3EC13F0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49</w:t>
                  </w:r>
                </w:p>
              </w:tc>
              <w:tc>
                <w:tcPr>
                  <w:tcW w:w="170" w:type="pct"/>
                  <w:tcBorders>
                    <w:tl2br w:val="nil"/>
                    <w:tr2bl w:val="nil"/>
                  </w:tcBorders>
                  <w:shd w:val="clear" w:color="auto" w:fill="auto"/>
                  <w:noWrap/>
                  <w:vAlign w:val="center"/>
                </w:tcPr>
                <w:p w14:paraId="0E4475E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11</w:t>
                  </w:r>
                </w:p>
              </w:tc>
              <w:tc>
                <w:tcPr>
                  <w:tcW w:w="228" w:type="pct"/>
                  <w:tcBorders>
                    <w:tl2br w:val="nil"/>
                    <w:tr2bl w:val="nil"/>
                  </w:tcBorders>
                  <w:shd w:val="clear" w:color="auto" w:fill="auto"/>
                  <w:noWrap/>
                  <w:vAlign w:val="center"/>
                </w:tcPr>
                <w:p w14:paraId="2DA4720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88</w:t>
                  </w:r>
                </w:p>
              </w:tc>
              <w:tc>
                <w:tcPr>
                  <w:tcW w:w="174" w:type="pct"/>
                  <w:tcBorders>
                    <w:tl2br w:val="nil"/>
                    <w:tr2bl w:val="nil"/>
                  </w:tcBorders>
                  <w:shd w:val="clear" w:color="auto" w:fill="auto"/>
                  <w:noWrap/>
                  <w:vAlign w:val="center"/>
                </w:tcPr>
                <w:p w14:paraId="6D2221E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94" w:type="pct"/>
                  <w:tcBorders>
                    <w:tl2br w:val="nil"/>
                    <w:tr2bl w:val="nil"/>
                  </w:tcBorders>
                  <w:shd w:val="clear" w:color="auto" w:fill="auto"/>
                  <w:noWrap/>
                  <w:vAlign w:val="center"/>
                </w:tcPr>
                <w:p w14:paraId="0267912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70" w:type="pct"/>
                  <w:tcBorders>
                    <w:tl2br w:val="nil"/>
                    <w:tr2bl w:val="nil"/>
                  </w:tcBorders>
                  <w:shd w:val="clear" w:color="auto" w:fill="auto"/>
                  <w:noWrap/>
                  <w:vAlign w:val="center"/>
                </w:tcPr>
                <w:p w14:paraId="317BB88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08" w:type="pct"/>
                  <w:tcBorders>
                    <w:tl2br w:val="nil"/>
                    <w:tr2bl w:val="nil"/>
                  </w:tcBorders>
                  <w:shd w:val="clear" w:color="auto" w:fill="auto"/>
                  <w:noWrap/>
                  <w:vAlign w:val="center"/>
                </w:tcPr>
                <w:p w14:paraId="37B04BC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94" w:type="pct"/>
                  <w:tcBorders>
                    <w:tl2br w:val="nil"/>
                    <w:tr2bl w:val="nil"/>
                  </w:tcBorders>
                  <w:shd w:val="clear" w:color="auto" w:fill="auto"/>
                  <w:noWrap/>
                  <w:vAlign w:val="center"/>
                </w:tcPr>
                <w:p w14:paraId="48A4220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81" w:type="pct"/>
                  <w:tcBorders>
                    <w:tl2br w:val="nil"/>
                    <w:tr2bl w:val="nil"/>
                  </w:tcBorders>
                  <w:shd w:val="clear" w:color="auto" w:fill="auto"/>
                  <w:noWrap/>
                  <w:vAlign w:val="center"/>
                </w:tcPr>
                <w:p w14:paraId="0A5E072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1F3C5FD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48D408A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2B87BE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1DF16E9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8" w:type="pct"/>
                  <w:tcBorders>
                    <w:tl2br w:val="nil"/>
                    <w:tr2bl w:val="nil"/>
                  </w:tcBorders>
                  <w:shd w:val="clear" w:color="auto" w:fill="auto"/>
                  <w:noWrap/>
                  <w:vAlign w:val="center"/>
                </w:tcPr>
                <w:p w14:paraId="5A12146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249" w:type="pct"/>
                  <w:tcBorders>
                    <w:tl2br w:val="nil"/>
                    <w:tr2bl w:val="nil"/>
                  </w:tcBorders>
                  <w:shd w:val="clear" w:color="auto" w:fill="auto"/>
                  <w:noWrap/>
                  <w:vAlign w:val="center"/>
                </w:tcPr>
                <w:p w14:paraId="072F4F4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445FDD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49E917A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w:t>
                  </w:r>
                </w:p>
              </w:tc>
              <w:tc>
                <w:tcPr>
                  <w:tcW w:w="169" w:type="pct"/>
                  <w:vMerge w:val="continue"/>
                  <w:tcBorders>
                    <w:tl2br w:val="nil"/>
                    <w:tr2bl w:val="nil"/>
                  </w:tcBorders>
                  <w:shd w:val="clear" w:color="auto" w:fill="auto"/>
                  <w:noWrap/>
                  <w:vAlign w:val="center"/>
                </w:tcPr>
                <w:p w14:paraId="1CA188B7">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3795B51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分切机4</w:t>
                  </w:r>
                </w:p>
              </w:tc>
              <w:tc>
                <w:tcPr>
                  <w:tcW w:w="269" w:type="pct"/>
                  <w:tcBorders>
                    <w:tl2br w:val="nil"/>
                    <w:tr2bl w:val="nil"/>
                  </w:tcBorders>
                  <w:shd w:val="clear" w:color="auto" w:fill="auto"/>
                  <w:noWrap/>
                  <w:vAlign w:val="center"/>
                </w:tcPr>
                <w:p w14:paraId="6A1EFD5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25D63C59">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335DF946">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78.0</w:t>
                  </w:r>
                </w:p>
              </w:tc>
              <w:tc>
                <w:tcPr>
                  <w:tcW w:w="281" w:type="pct"/>
                  <w:tcBorders>
                    <w:tl2br w:val="nil"/>
                    <w:tr2bl w:val="nil"/>
                  </w:tcBorders>
                  <w:shd w:val="clear" w:color="auto" w:fill="auto"/>
                  <w:noWrap/>
                  <w:vAlign w:val="center"/>
                </w:tcPr>
                <w:p w14:paraId="42A783CF">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50.5</w:t>
                  </w:r>
                </w:p>
              </w:tc>
              <w:tc>
                <w:tcPr>
                  <w:tcW w:w="160" w:type="pct"/>
                  <w:tcBorders>
                    <w:tl2br w:val="nil"/>
                    <w:tr2bl w:val="nil"/>
                  </w:tcBorders>
                  <w:shd w:val="clear" w:color="auto" w:fill="auto"/>
                  <w:noWrap/>
                  <w:vAlign w:val="center"/>
                </w:tcPr>
                <w:p w14:paraId="2B3A627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378C6AC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49</w:t>
                  </w:r>
                </w:p>
              </w:tc>
              <w:tc>
                <w:tcPr>
                  <w:tcW w:w="170" w:type="pct"/>
                  <w:tcBorders>
                    <w:tl2br w:val="nil"/>
                    <w:tr2bl w:val="nil"/>
                  </w:tcBorders>
                  <w:shd w:val="clear" w:color="auto" w:fill="auto"/>
                  <w:noWrap/>
                  <w:vAlign w:val="center"/>
                </w:tcPr>
                <w:p w14:paraId="654F022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228" w:type="pct"/>
                  <w:tcBorders>
                    <w:tl2br w:val="nil"/>
                    <w:tr2bl w:val="nil"/>
                  </w:tcBorders>
                  <w:shd w:val="clear" w:color="auto" w:fill="auto"/>
                  <w:noWrap/>
                  <w:vAlign w:val="center"/>
                </w:tcPr>
                <w:p w14:paraId="03C4D7D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86</w:t>
                  </w:r>
                </w:p>
              </w:tc>
              <w:tc>
                <w:tcPr>
                  <w:tcW w:w="174" w:type="pct"/>
                  <w:tcBorders>
                    <w:tl2br w:val="nil"/>
                    <w:tr2bl w:val="nil"/>
                  </w:tcBorders>
                  <w:shd w:val="clear" w:color="auto" w:fill="auto"/>
                  <w:noWrap/>
                  <w:vAlign w:val="center"/>
                </w:tcPr>
                <w:p w14:paraId="4CDE430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19</w:t>
                  </w:r>
                </w:p>
              </w:tc>
              <w:tc>
                <w:tcPr>
                  <w:tcW w:w="194" w:type="pct"/>
                  <w:tcBorders>
                    <w:tl2br w:val="nil"/>
                    <w:tr2bl w:val="nil"/>
                  </w:tcBorders>
                  <w:shd w:val="clear" w:color="auto" w:fill="auto"/>
                  <w:noWrap/>
                  <w:vAlign w:val="center"/>
                </w:tcPr>
                <w:p w14:paraId="07C3F29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70" w:type="pct"/>
                  <w:tcBorders>
                    <w:tl2br w:val="nil"/>
                    <w:tr2bl w:val="nil"/>
                  </w:tcBorders>
                  <w:shd w:val="clear" w:color="auto" w:fill="auto"/>
                  <w:noWrap/>
                  <w:vAlign w:val="center"/>
                </w:tcPr>
                <w:p w14:paraId="27A8CAB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08" w:type="pct"/>
                  <w:tcBorders>
                    <w:tl2br w:val="nil"/>
                    <w:tr2bl w:val="nil"/>
                  </w:tcBorders>
                  <w:shd w:val="clear" w:color="auto" w:fill="auto"/>
                  <w:noWrap/>
                  <w:vAlign w:val="center"/>
                </w:tcPr>
                <w:p w14:paraId="7175A95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94" w:type="pct"/>
                  <w:tcBorders>
                    <w:tl2br w:val="nil"/>
                    <w:tr2bl w:val="nil"/>
                  </w:tcBorders>
                  <w:shd w:val="clear" w:color="auto" w:fill="auto"/>
                  <w:noWrap/>
                  <w:vAlign w:val="center"/>
                </w:tcPr>
                <w:p w14:paraId="196CC8F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81" w:type="pct"/>
                  <w:tcBorders>
                    <w:tl2br w:val="nil"/>
                    <w:tr2bl w:val="nil"/>
                  </w:tcBorders>
                  <w:shd w:val="clear" w:color="auto" w:fill="auto"/>
                  <w:noWrap/>
                  <w:vAlign w:val="center"/>
                </w:tcPr>
                <w:p w14:paraId="06CAD98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4530777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1053439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3E2151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1C57E86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8" w:type="pct"/>
                  <w:tcBorders>
                    <w:tl2br w:val="nil"/>
                    <w:tr2bl w:val="nil"/>
                  </w:tcBorders>
                  <w:shd w:val="clear" w:color="auto" w:fill="auto"/>
                  <w:noWrap/>
                  <w:vAlign w:val="center"/>
                </w:tcPr>
                <w:p w14:paraId="690FE13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249" w:type="pct"/>
                  <w:tcBorders>
                    <w:tl2br w:val="nil"/>
                    <w:tr2bl w:val="nil"/>
                  </w:tcBorders>
                  <w:shd w:val="clear" w:color="auto" w:fill="auto"/>
                  <w:noWrap/>
                  <w:vAlign w:val="center"/>
                </w:tcPr>
                <w:p w14:paraId="2A52B9B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50D458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1271AD4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w:t>
                  </w:r>
                </w:p>
              </w:tc>
              <w:tc>
                <w:tcPr>
                  <w:tcW w:w="169" w:type="pct"/>
                  <w:vMerge w:val="restart"/>
                  <w:tcBorders>
                    <w:tl2br w:val="nil"/>
                    <w:tr2bl w:val="nil"/>
                  </w:tcBorders>
                  <w:shd w:val="clear" w:color="auto" w:fill="auto"/>
                  <w:noWrap/>
                  <w:vAlign w:val="center"/>
                </w:tcPr>
                <w:p w14:paraId="632DB07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深加工车间</w:t>
                  </w:r>
                </w:p>
              </w:tc>
              <w:tc>
                <w:tcPr>
                  <w:tcW w:w="380" w:type="pct"/>
                  <w:tcBorders>
                    <w:tl2br w:val="nil"/>
                    <w:tr2bl w:val="nil"/>
                  </w:tcBorders>
                  <w:shd w:val="clear" w:color="auto" w:fill="auto"/>
                  <w:noWrap/>
                  <w:vAlign w:val="center"/>
                </w:tcPr>
                <w:p w14:paraId="6F8029A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封口机</w:t>
                  </w:r>
                </w:p>
              </w:tc>
              <w:tc>
                <w:tcPr>
                  <w:tcW w:w="269" w:type="pct"/>
                  <w:tcBorders>
                    <w:tl2br w:val="nil"/>
                    <w:tr2bl w:val="nil"/>
                  </w:tcBorders>
                  <w:shd w:val="clear" w:color="auto" w:fill="auto"/>
                  <w:noWrap/>
                  <w:vAlign w:val="center"/>
                </w:tcPr>
                <w:p w14:paraId="57BBADF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2BD60322">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7D56427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95.1</w:t>
                  </w:r>
                </w:p>
              </w:tc>
              <w:tc>
                <w:tcPr>
                  <w:tcW w:w="281" w:type="pct"/>
                  <w:tcBorders>
                    <w:tl2br w:val="nil"/>
                    <w:tr2bl w:val="nil"/>
                  </w:tcBorders>
                  <w:shd w:val="clear" w:color="auto" w:fill="auto"/>
                  <w:noWrap/>
                  <w:vAlign w:val="center"/>
                </w:tcPr>
                <w:p w14:paraId="52CDC72F">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26.2</w:t>
                  </w:r>
                </w:p>
              </w:tc>
              <w:tc>
                <w:tcPr>
                  <w:tcW w:w="160" w:type="pct"/>
                  <w:tcBorders>
                    <w:tl2br w:val="nil"/>
                    <w:tr2bl w:val="nil"/>
                  </w:tcBorders>
                  <w:shd w:val="clear" w:color="auto" w:fill="auto"/>
                  <w:noWrap/>
                  <w:vAlign w:val="center"/>
                </w:tcPr>
                <w:p w14:paraId="2D013BE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0256B6E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24</w:t>
                  </w:r>
                </w:p>
              </w:tc>
              <w:tc>
                <w:tcPr>
                  <w:tcW w:w="170" w:type="pct"/>
                  <w:tcBorders>
                    <w:tl2br w:val="nil"/>
                    <w:tr2bl w:val="nil"/>
                  </w:tcBorders>
                  <w:shd w:val="clear" w:color="auto" w:fill="auto"/>
                  <w:noWrap/>
                  <w:vAlign w:val="center"/>
                </w:tcPr>
                <w:p w14:paraId="75CB32D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20</w:t>
                  </w:r>
                </w:p>
              </w:tc>
              <w:tc>
                <w:tcPr>
                  <w:tcW w:w="228" w:type="pct"/>
                  <w:tcBorders>
                    <w:tl2br w:val="nil"/>
                    <w:tr2bl w:val="nil"/>
                  </w:tcBorders>
                  <w:shd w:val="clear" w:color="auto" w:fill="auto"/>
                  <w:noWrap/>
                  <w:vAlign w:val="center"/>
                </w:tcPr>
                <w:p w14:paraId="0B8EC76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114</w:t>
                  </w:r>
                </w:p>
              </w:tc>
              <w:tc>
                <w:tcPr>
                  <w:tcW w:w="174" w:type="pct"/>
                  <w:tcBorders>
                    <w:tl2br w:val="nil"/>
                    <w:tr2bl w:val="nil"/>
                  </w:tcBorders>
                  <w:shd w:val="clear" w:color="auto" w:fill="auto"/>
                  <w:noWrap/>
                  <w:vAlign w:val="center"/>
                </w:tcPr>
                <w:p w14:paraId="533DE2D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w:t>
                  </w:r>
                </w:p>
              </w:tc>
              <w:tc>
                <w:tcPr>
                  <w:tcW w:w="194" w:type="pct"/>
                  <w:tcBorders>
                    <w:tl2br w:val="nil"/>
                    <w:tr2bl w:val="nil"/>
                  </w:tcBorders>
                  <w:shd w:val="clear" w:color="auto" w:fill="auto"/>
                  <w:noWrap/>
                  <w:vAlign w:val="center"/>
                </w:tcPr>
                <w:p w14:paraId="06D3B25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70" w:type="pct"/>
                  <w:tcBorders>
                    <w:tl2br w:val="nil"/>
                    <w:tr2bl w:val="nil"/>
                  </w:tcBorders>
                  <w:shd w:val="clear" w:color="auto" w:fill="auto"/>
                  <w:noWrap/>
                  <w:vAlign w:val="center"/>
                </w:tcPr>
                <w:p w14:paraId="398004E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08" w:type="pct"/>
                  <w:tcBorders>
                    <w:tl2br w:val="nil"/>
                    <w:tr2bl w:val="nil"/>
                  </w:tcBorders>
                  <w:shd w:val="clear" w:color="auto" w:fill="auto"/>
                  <w:noWrap/>
                  <w:vAlign w:val="center"/>
                </w:tcPr>
                <w:p w14:paraId="6B3E33B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94" w:type="pct"/>
                  <w:tcBorders>
                    <w:tl2br w:val="nil"/>
                    <w:tr2bl w:val="nil"/>
                  </w:tcBorders>
                  <w:shd w:val="clear" w:color="auto" w:fill="auto"/>
                  <w:noWrap/>
                  <w:vAlign w:val="center"/>
                </w:tcPr>
                <w:p w14:paraId="2A2275F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81" w:type="pct"/>
                  <w:tcBorders>
                    <w:tl2br w:val="nil"/>
                    <w:tr2bl w:val="nil"/>
                  </w:tcBorders>
                  <w:shd w:val="clear" w:color="auto" w:fill="auto"/>
                  <w:noWrap/>
                  <w:vAlign w:val="center"/>
                </w:tcPr>
                <w:p w14:paraId="0A95EB4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19789F7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2361050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51A2001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762F537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8" w:type="pct"/>
                  <w:tcBorders>
                    <w:tl2br w:val="nil"/>
                    <w:tr2bl w:val="nil"/>
                  </w:tcBorders>
                  <w:shd w:val="clear" w:color="auto" w:fill="auto"/>
                  <w:noWrap/>
                  <w:vAlign w:val="center"/>
                </w:tcPr>
                <w:p w14:paraId="277399C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249" w:type="pct"/>
                  <w:tcBorders>
                    <w:tl2br w:val="nil"/>
                    <w:tr2bl w:val="nil"/>
                  </w:tcBorders>
                  <w:shd w:val="clear" w:color="auto" w:fill="auto"/>
                  <w:noWrap/>
                  <w:vAlign w:val="center"/>
                </w:tcPr>
                <w:p w14:paraId="51F959F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025D99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33A8166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9</w:t>
                  </w:r>
                </w:p>
              </w:tc>
              <w:tc>
                <w:tcPr>
                  <w:tcW w:w="169" w:type="pct"/>
                  <w:vMerge w:val="continue"/>
                  <w:tcBorders>
                    <w:tl2br w:val="nil"/>
                    <w:tr2bl w:val="nil"/>
                  </w:tcBorders>
                  <w:shd w:val="clear" w:color="auto" w:fill="auto"/>
                  <w:noWrap/>
                  <w:vAlign w:val="center"/>
                </w:tcPr>
                <w:p w14:paraId="74360271">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3C3991F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胶机1</w:t>
                  </w:r>
                </w:p>
              </w:tc>
              <w:tc>
                <w:tcPr>
                  <w:tcW w:w="269" w:type="pct"/>
                  <w:tcBorders>
                    <w:tl2br w:val="nil"/>
                    <w:tr2bl w:val="nil"/>
                  </w:tcBorders>
                  <w:shd w:val="clear" w:color="auto" w:fill="auto"/>
                  <w:noWrap/>
                  <w:vAlign w:val="center"/>
                </w:tcPr>
                <w:p w14:paraId="592166F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6AD61720">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71EF1C49">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94.0</w:t>
                  </w:r>
                </w:p>
              </w:tc>
              <w:tc>
                <w:tcPr>
                  <w:tcW w:w="281" w:type="pct"/>
                  <w:tcBorders>
                    <w:tl2br w:val="nil"/>
                    <w:tr2bl w:val="nil"/>
                  </w:tcBorders>
                  <w:shd w:val="clear" w:color="auto" w:fill="auto"/>
                  <w:noWrap/>
                  <w:vAlign w:val="center"/>
                </w:tcPr>
                <w:p w14:paraId="083B75CC">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21.2</w:t>
                  </w:r>
                </w:p>
              </w:tc>
              <w:tc>
                <w:tcPr>
                  <w:tcW w:w="160" w:type="pct"/>
                  <w:tcBorders>
                    <w:tl2br w:val="nil"/>
                    <w:tr2bl w:val="nil"/>
                  </w:tcBorders>
                  <w:shd w:val="clear" w:color="auto" w:fill="auto"/>
                  <w:noWrap/>
                  <w:vAlign w:val="center"/>
                </w:tcPr>
                <w:p w14:paraId="5E62974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6BFD0F4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19</w:t>
                  </w:r>
                </w:p>
              </w:tc>
              <w:tc>
                <w:tcPr>
                  <w:tcW w:w="170" w:type="pct"/>
                  <w:tcBorders>
                    <w:tl2br w:val="nil"/>
                    <w:tr2bl w:val="nil"/>
                  </w:tcBorders>
                  <w:shd w:val="clear" w:color="auto" w:fill="auto"/>
                  <w:noWrap/>
                  <w:vAlign w:val="center"/>
                </w:tcPr>
                <w:p w14:paraId="5A78210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19</w:t>
                  </w:r>
                </w:p>
              </w:tc>
              <w:tc>
                <w:tcPr>
                  <w:tcW w:w="228" w:type="pct"/>
                  <w:tcBorders>
                    <w:tl2br w:val="nil"/>
                    <w:tr2bl w:val="nil"/>
                  </w:tcBorders>
                  <w:shd w:val="clear" w:color="auto" w:fill="auto"/>
                  <w:noWrap/>
                  <w:vAlign w:val="center"/>
                </w:tcPr>
                <w:p w14:paraId="47123ED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119</w:t>
                  </w:r>
                </w:p>
              </w:tc>
              <w:tc>
                <w:tcPr>
                  <w:tcW w:w="174" w:type="pct"/>
                  <w:tcBorders>
                    <w:tl2br w:val="nil"/>
                    <w:tr2bl w:val="nil"/>
                  </w:tcBorders>
                  <w:shd w:val="clear" w:color="auto" w:fill="auto"/>
                  <w:noWrap/>
                  <w:vAlign w:val="center"/>
                </w:tcPr>
                <w:p w14:paraId="3ABF352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94" w:type="pct"/>
                  <w:tcBorders>
                    <w:tl2br w:val="nil"/>
                    <w:tr2bl w:val="nil"/>
                  </w:tcBorders>
                  <w:shd w:val="clear" w:color="auto" w:fill="auto"/>
                  <w:noWrap/>
                  <w:vAlign w:val="center"/>
                </w:tcPr>
                <w:p w14:paraId="31DAFAD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70" w:type="pct"/>
                  <w:tcBorders>
                    <w:tl2br w:val="nil"/>
                    <w:tr2bl w:val="nil"/>
                  </w:tcBorders>
                  <w:shd w:val="clear" w:color="auto" w:fill="auto"/>
                  <w:noWrap/>
                  <w:vAlign w:val="center"/>
                </w:tcPr>
                <w:p w14:paraId="0223886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08" w:type="pct"/>
                  <w:tcBorders>
                    <w:tl2br w:val="nil"/>
                    <w:tr2bl w:val="nil"/>
                  </w:tcBorders>
                  <w:shd w:val="clear" w:color="auto" w:fill="auto"/>
                  <w:noWrap/>
                  <w:vAlign w:val="center"/>
                </w:tcPr>
                <w:p w14:paraId="30A10E9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94" w:type="pct"/>
                  <w:tcBorders>
                    <w:tl2br w:val="nil"/>
                    <w:tr2bl w:val="nil"/>
                  </w:tcBorders>
                  <w:shd w:val="clear" w:color="auto" w:fill="auto"/>
                  <w:noWrap/>
                  <w:vAlign w:val="center"/>
                </w:tcPr>
                <w:p w14:paraId="65F5612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81" w:type="pct"/>
                  <w:tcBorders>
                    <w:tl2br w:val="nil"/>
                    <w:tr2bl w:val="nil"/>
                  </w:tcBorders>
                  <w:shd w:val="clear" w:color="auto" w:fill="auto"/>
                  <w:noWrap/>
                  <w:vAlign w:val="center"/>
                </w:tcPr>
                <w:p w14:paraId="6E8A4DB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2DBBDDD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91D43A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16C234A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5153C16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8" w:type="pct"/>
                  <w:tcBorders>
                    <w:tl2br w:val="nil"/>
                    <w:tr2bl w:val="nil"/>
                  </w:tcBorders>
                  <w:shd w:val="clear" w:color="auto" w:fill="auto"/>
                  <w:noWrap/>
                  <w:vAlign w:val="center"/>
                </w:tcPr>
                <w:p w14:paraId="448064D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249" w:type="pct"/>
                  <w:tcBorders>
                    <w:tl2br w:val="nil"/>
                    <w:tr2bl w:val="nil"/>
                  </w:tcBorders>
                  <w:shd w:val="clear" w:color="auto" w:fill="auto"/>
                  <w:noWrap/>
                  <w:vAlign w:val="center"/>
                </w:tcPr>
                <w:p w14:paraId="5B44325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5F3B49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3357396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w:t>
                  </w:r>
                </w:p>
              </w:tc>
              <w:tc>
                <w:tcPr>
                  <w:tcW w:w="169" w:type="pct"/>
                  <w:vMerge w:val="continue"/>
                  <w:tcBorders>
                    <w:tl2br w:val="nil"/>
                    <w:tr2bl w:val="nil"/>
                  </w:tcBorders>
                  <w:shd w:val="clear" w:color="auto" w:fill="auto"/>
                  <w:noWrap/>
                  <w:vAlign w:val="center"/>
                </w:tcPr>
                <w:p w14:paraId="552730A7">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4216017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胶机2</w:t>
                  </w:r>
                </w:p>
              </w:tc>
              <w:tc>
                <w:tcPr>
                  <w:tcW w:w="269" w:type="pct"/>
                  <w:tcBorders>
                    <w:tl2br w:val="nil"/>
                    <w:tr2bl w:val="nil"/>
                  </w:tcBorders>
                  <w:shd w:val="clear" w:color="auto" w:fill="auto"/>
                  <w:noWrap/>
                  <w:vAlign w:val="center"/>
                </w:tcPr>
                <w:p w14:paraId="6112B82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12C11A97">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292ED948">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94.4</w:t>
                  </w:r>
                </w:p>
              </w:tc>
              <w:tc>
                <w:tcPr>
                  <w:tcW w:w="281" w:type="pct"/>
                  <w:tcBorders>
                    <w:tl2br w:val="nil"/>
                    <w:tr2bl w:val="nil"/>
                  </w:tcBorders>
                  <w:shd w:val="clear" w:color="auto" w:fill="auto"/>
                  <w:noWrap/>
                  <w:vAlign w:val="center"/>
                </w:tcPr>
                <w:p w14:paraId="11F7647D">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14.4</w:t>
                  </w:r>
                </w:p>
              </w:tc>
              <w:tc>
                <w:tcPr>
                  <w:tcW w:w="160" w:type="pct"/>
                  <w:tcBorders>
                    <w:tl2br w:val="nil"/>
                    <w:tr2bl w:val="nil"/>
                  </w:tcBorders>
                  <w:shd w:val="clear" w:color="auto" w:fill="auto"/>
                  <w:noWrap/>
                  <w:vAlign w:val="center"/>
                </w:tcPr>
                <w:p w14:paraId="51A86F4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2AB150A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w:t>
                  </w:r>
                </w:p>
              </w:tc>
              <w:tc>
                <w:tcPr>
                  <w:tcW w:w="170" w:type="pct"/>
                  <w:tcBorders>
                    <w:tl2br w:val="nil"/>
                    <w:tr2bl w:val="nil"/>
                  </w:tcBorders>
                  <w:shd w:val="clear" w:color="auto" w:fill="auto"/>
                  <w:noWrap/>
                  <w:vAlign w:val="center"/>
                </w:tcPr>
                <w:p w14:paraId="46DED40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19</w:t>
                  </w:r>
                </w:p>
              </w:tc>
              <w:tc>
                <w:tcPr>
                  <w:tcW w:w="228" w:type="pct"/>
                  <w:tcBorders>
                    <w:tl2br w:val="nil"/>
                    <w:tr2bl w:val="nil"/>
                  </w:tcBorders>
                  <w:shd w:val="clear" w:color="auto" w:fill="auto"/>
                  <w:noWrap/>
                  <w:vAlign w:val="center"/>
                </w:tcPr>
                <w:p w14:paraId="1BEDC09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125</w:t>
                  </w:r>
                </w:p>
              </w:tc>
              <w:tc>
                <w:tcPr>
                  <w:tcW w:w="174" w:type="pct"/>
                  <w:tcBorders>
                    <w:tl2br w:val="nil"/>
                    <w:tr2bl w:val="nil"/>
                  </w:tcBorders>
                  <w:shd w:val="clear" w:color="auto" w:fill="auto"/>
                  <w:noWrap/>
                  <w:vAlign w:val="center"/>
                </w:tcPr>
                <w:p w14:paraId="3E883D7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94" w:type="pct"/>
                  <w:tcBorders>
                    <w:tl2br w:val="nil"/>
                    <w:tr2bl w:val="nil"/>
                  </w:tcBorders>
                  <w:shd w:val="clear" w:color="auto" w:fill="auto"/>
                  <w:noWrap/>
                  <w:vAlign w:val="center"/>
                </w:tcPr>
                <w:p w14:paraId="7A6E6B2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70" w:type="pct"/>
                  <w:tcBorders>
                    <w:tl2br w:val="nil"/>
                    <w:tr2bl w:val="nil"/>
                  </w:tcBorders>
                  <w:shd w:val="clear" w:color="auto" w:fill="auto"/>
                  <w:noWrap/>
                  <w:vAlign w:val="center"/>
                </w:tcPr>
                <w:p w14:paraId="794D427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08" w:type="pct"/>
                  <w:tcBorders>
                    <w:tl2br w:val="nil"/>
                    <w:tr2bl w:val="nil"/>
                  </w:tcBorders>
                  <w:shd w:val="clear" w:color="auto" w:fill="auto"/>
                  <w:noWrap/>
                  <w:vAlign w:val="center"/>
                </w:tcPr>
                <w:p w14:paraId="378B2ED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194" w:type="pct"/>
                  <w:tcBorders>
                    <w:tl2br w:val="nil"/>
                    <w:tr2bl w:val="nil"/>
                  </w:tcBorders>
                  <w:shd w:val="clear" w:color="auto" w:fill="auto"/>
                  <w:noWrap/>
                  <w:vAlign w:val="center"/>
                </w:tcPr>
                <w:p w14:paraId="0C97F18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81" w:type="pct"/>
                  <w:tcBorders>
                    <w:tl2br w:val="nil"/>
                    <w:tr2bl w:val="nil"/>
                  </w:tcBorders>
                  <w:shd w:val="clear" w:color="auto" w:fill="auto"/>
                  <w:noWrap/>
                  <w:vAlign w:val="center"/>
                </w:tcPr>
                <w:p w14:paraId="31BE1D9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3B39136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433CA1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072B06B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219E7A3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8" w:type="pct"/>
                  <w:tcBorders>
                    <w:tl2br w:val="nil"/>
                    <w:tr2bl w:val="nil"/>
                  </w:tcBorders>
                  <w:shd w:val="clear" w:color="auto" w:fill="auto"/>
                  <w:noWrap/>
                  <w:vAlign w:val="center"/>
                </w:tcPr>
                <w:p w14:paraId="1FD681C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249" w:type="pct"/>
                  <w:tcBorders>
                    <w:tl2br w:val="nil"/>
                    <w:tr2bl w:val="nil"/>
                  </w:tcBorders>
                  <w:shd w:val="clear" w:color="auto" w:fill="auto"/>
                  <w:noWrap/>
                  <w:vAlign w:val="center"/>
                </w:tcPr>
                <w:p w14:paraId="6CB74FB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52D780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2813373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11</w:t>
                  </w:r>
                </w:p>
              </w:tc>
              <w:tc>
                <w:tcPr>
                  <w:tcW w:w="169" w:type="pct"/>
                  <w:vMerge w:val="continue"/>
                  <w:tcBorders>
                    <w:tl2br w:val="nil"/>
                    <w:tr2bl w:val="nil"/>
                  </w:tcBorders>
                  <w:shd w:val="clear" w:color="auto" w:fill="auto"/>
                  <w:noWrap/>
                  <w:vAlign w:val="center"/>
                </w:tcPr>
                <w:p w14:paraId="3E393429">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49FAE35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轧棉机1</w:t>
                  </w:r>
                </w:p>
              </w:tc>
              <w:tc>
                <w:tcPr>
                  <w:tcW w:w="269" w:type="pct"/>
                  <w:tcBorders>
                    <w:tl2br w:val="nil"/>
                    <w:tr2bl w:val="nil"/>
                  </w:tcBorders>
                  <w:shd w:val="clear" w:color="auto" w:fill="auto"/>
                  <w:noWrap/>
                  <w:vAlign w:val="center"/>
                </w:tcPr>
                <w:p w14:paraId="51A3359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3789B665">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42E20932">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91.2</w:t>
                  </w:r>
                </w:p>
              </w:tc>
              <w:tc>
                <w:tcPr>
                  <w:tcW w:w="281" w:type="pct"/>
                  <w:tcBorders>
                    <w:tl2br w:val="nil"/>
                    <w:tr2bl w:val="nil"/>
                  </w:tcBorders>
                  <w:shd w:val="clear" w:color="auto" w:fill="auto"/>
                  <w:noWrap/>
                  <w:vAlign w:val="center"/>
                </w:tcPr>
                <w:p w14:paraId="617C00F7">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18.4</w:t>
                  </w:r>
                </w:p>
              </w:tc>
              <w:tc>
                <w:tcPr>
                  <w:tcW w:w="160" w:type="pct"/>
                  <w:tcBorders>
                    <w:tl2br w:val="nil"/>
                    <w:tr2bl w:val="nil"/>
                  </w:tcBorders>
                  <w:shd w:val="clear" w:color="auto" w:fill="auto"/>
                  <w:noWrap/>
                  <w:vAlign w:val="center"/>
                </w:tcPr>
                <w:p w14:paraId="4121BA4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0504A47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170" w:type="pct"/>
                  <w:tcBorders>
                    <w:tl2br w:val="nil"/>
                    <w:tr2bl w:val="nil"/>
                  </w:tcBorders>
                  <w:shd w:val="clear" w:color="auto" w:fill="auto"/>
                  <w:noWrap/>
                  <w:vAlign w:val="center"/>
                </w:tcPr>
                <w:p w14:paraId="1F8B2A3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16</w:t>
                  </w:r>
                </w:p>
              </w:tc>
              <w:tc>
                <w:tcPr>
                  <w:tcW w:w="228" w:type="pct"/>
                  <w:tcBorders>
                    <w:tl2br w:val="nil"/>
                    <w:tr2bl w:val="nil"/>
                  </w:tcBorders>
                  <w:shd w:val="clear" w:color="auto" w:fill="auto"/>
                  <w:noWrap/>
                  <w:vAlign w:val="center"/>
                </w:tcPr>
                <w:p w14:paraId="6438029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120</w:t>
                  </w:r>
                </w:p>
              </w:tc>
              <w:tc>
                <w:tcPr>
                  <w:tcW w:w="174" w:type="pct"/>
                  <w:tcBorders>
                    <w:tl2br w:val="nil"/>
                    <w:tr2bl w:val="nil"/>
                  </w:tcBorders>
                  <w:shd w:val="clear" w:color="auto" w:fill="auto"/>
                  <w:noWrap/>
                  <w:vAlign w:val="center"/>
                </w:tcPr>
                <w:p w14:paraId="7FA86BE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w:t>
                  </w:r>
                </w:p>
              </w:tc>
              <w:tc>
                <w:tcPr>
                  <w:tcW w:w="194" w:type="pct"/>
                  <w:tcBorders>
                    <w:tl2br w:val="nil"/>
                    <w:tr2bl w:val="nil"/>
                  </w:tcBorders>
                  <w:shd w:val="clear" w:color="auto" w:fill="auto"/>
                  <w:noWrap/>
                  <w:vAlign w:val="center"/>
                </w:tcPr>
                <w:p w14:paraId="216DD5F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5FFDB06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6E64608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260B988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78A4755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247CD89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544BC7A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46652F7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49ACE0E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6B7E82E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17468EA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47D8DA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1AD3BB1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w:t>
                  </w:r>
                </w:p>
              </w:tc>
              <w:tc>
                <w:tcPr>
                  <w:tcW w:w="169" w:type="pct"/>
                  <w:vMerge w:val="continue"/>
                  <w:tcBorders>
                    <w:tl2br w:val="nil"/>
                    <w:tr2bl w:val="nil"/>
                  </w:tcBorders>
                  <w:shd w:val="clear" w:color="auto" w:fill="auto"/>
                  <w:noWrap/>
                  <w:vAlign w:val="center"/>
                </w:tcPr>
                <w:p w14:paraId="6D2616DA">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7055751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轧棉机2</w:t>
                  </w:r>
                </w:p>
              </w:tc>
              <w:tc>
                <w:tcPr>
                  <w:tcW w:w="269" w:type="pct"/>
                  <w:tcBorders>
                    <w:tl2br w:val="nil"/>
                    <w:tr2bl w:val="nil"/>
                  </w:tcBorders>
                  <w:shd w:val="clear" w:color="auto" w:fill="auto"/>
                  <w:noWrap/>
                  <w:vAlign w:val="center"/>
                </w:tcPr>
                <w:p w14:paraId="4B9BB21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6A5C3C81">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0FDF63D3">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92.1</w:t>
                  </w:r>
                </w:p>
              </w:tc>
              <w:tc>
                <w:tcPr>
                  <w:tcW w:w="281" w:type="pct"/>
                  <w:tcBorders>
                    <w:tl2br w:val="nil"/>
                    <w:tr2bl w:val="nil"/>
                  </w:tcBorders>
                  <w:shd w:val="clear" w:color="auto" w:fill="auto"/>
                  <w:noWrap/>
                  <w:vAlign w:val="center"/>
                </w:tcPr>
                <w:p w14:paraId="37DE7406">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11.6</w:t>
                  </w:r>
                </w:p>
              </w:tc>
              <w:tc>
                <w:tcPr>
                  <w:tcW w:w="160" w:type="pct"/>
                  <w:tcBorders>
                    <w:tl2br w:val="nil"/>
                    <w:tr2bl w:val="nil"/>
                  </w:tcBorders>
                  <w:shd w:val="clear" w:color="auto" w:fill="auto"/>
                  <w:noWrap/>
                  <w:vAlign w:val="center"/>
                </w:tcPr>
                <w:p w14:paraId="16C475F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1137148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w:t>
                  </w:r>
                </w:p>
              </w:tc>
              <w:tc>
                <w:tcPr>
                  <w:tcW w:w="170" w:type="pct"/>
                  <w:tcBorders>
                    <w:tl2br w:val="nil"/>
                    <w:tr2bl w:val="nil"/>
                  </w:tcBorders>
                  <w:shd w:val="clear" w:color="auto" w:fill="auto"/>
                  <w:noWrap/>
                  <w:vAlign w:val="center"/>
                </w:tcPr>
                <w:p w14:paraId="3BEF5B8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228" w:type="pct"/>
                  <w:tcBorders>
                    <w:tl2br w:val="nil"/>
                    <w:tr2bl w:val="nil"/>
                  </w:tcBorders>
                  <w:shd w:val="clear" w:color="auto" w:fill="auto"/>
                  <w:noWrap/>
                  <w:vAlign w:val="center"/>
                </w:tcPr>
                <w:p w14:paraId="24E9DD6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127</w:t>
                  </w:r>
                </w:p>
              </w:tc>
              <w:tc>
                <w:tcPr>
                  <w:tcW w:w="174" w:type="pct"/>
                  <w:tcBorders>
                    <w:tl2br w:val="nil"/>
                    <w:tr2bl w:val="nil"/>
                  </w:tcBorders>
                  <w:shd w:val="clear" w:color="auto" w:fill="auto"/>
                  <w:noWrap/>
                  <w:vAlign w:val="center"/>
                </w:tcPr>
                <w:p w14:paraId="271E3DB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w:t>
                  </w:r>
                </w:p>
              </w:tc>
              <w:tc>
                <w:tcPr>
                  <w:tcW w:w="194" w:type="pct"/>
                  <w:tcBorders>
                    <w:tl2br w:val="nil"/>
                    <w:tr2bl w:val="nil"/>
                  </w:tcBorders>
                  <w:shd w:val="clear" w:color="auto" w:fill="auto"/>
                  <w:noWrap/>
                  <w:vAlign w:val="center"/>
                </w:tcPr>
                <w:p w14:paraId="688C230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1C171C7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4D1C6C6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71AE0F5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0898B31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02064AF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6AB0731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6F86D39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1D48CF2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3945CD1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026620B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3169D1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7313D10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69" w:type="pct"/>
                  <w:vMerge w:val="continue"/>
                  <w:tcBorders>
                    <w:tl2br w:val="nil"/>
                    <w:tr2bl w:val="nil"/>
                  </w:tcBorders>
                  <w:shd w:val="clear" w:color="auto" w:fill="auto"/>
                  <w:noWrap/>
                  <w:vAlign w:val="center"/>
                </w:tcPr>
                <w:p w14:paraId="69E1A39B">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6D82C49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冲压机1</w:t>
                  </w:r>
                </w:p>
              </w:tc>
              <w:tc>
                <w:tcPr>
                  <w:tcW w:w="269" w:type="pct"/>
                  <w:tcBorders>
                    <w:tl2br w:val="nil"/>
                    <w:tr2bl w:val="nil"/>
                  </w:tcBorders>
                  <w:shd w:val="clear" w:color="auto" w:fill="auto"/>
                  <w:noWrap/>
                  <w:vAlign w:val="center"/>
                </w:tcPr>
                <w:p w14:paraId="2724224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3D4C6AE0">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7616EE42">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93.0</w:t>
                  </w:r>
                </w:p>
              </w:tc>
              <w:tc>
                <w:tcPr>
                  <w:tcW w:w="281" w:type="pct"/>
                  <w:tcBorders>
                    <w:tl2br w:val="nil"/>
                    <w:tr2bl w:val="nil"/>
                  </w:tcBorders>
                  <w:shd w:val="clear" w:color="auto" w:fill="auto"/>
                  <w:noWrap/>
                  <w:vAlign w:val="center"/>
                </w:tcPr>
                <w:p w14:paraId="71E57A5C">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42.1</w:t>
                  </w:r>
                </w:p>
              </w:tc>
              <w:tc>
                <w:tcPr>
                  <w:tcW w:w="160" w:type="pct"/>
                  <w:tcBorders>
                    <w:tl2br w:val="nil"/>
                    <w:tr2bl w:val="nil"/>
                  </w:tcBorders>
                  <w:shd w:val="clear" w:color="auto" w:fill="auto"/>
                  <w:noWrap/>
                  <w:vAlign w:val="center"/>
                </w:tcPr>
                <w:p w14:paraId="3975CDF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3034F99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40</w:t>
                  </w:r>
                </w:p>
              </w:tc>
              <w:tc>
                <w:tcPr>
                  <w:tcW w:w="170" w:type="pct"/>
                  <w:tcBorders>
                    <w:tl2br w:val="nil"/>
                    <w:tr2bl w:val="nil"/>
                  </w:tcBorders>
                  <w:shd w:val="clear" w:color="auto" w:fill="auto"/>
                  <w:noWrap/>
                  <w:vAlign w:val="center"/>
                </w:tcPr>
                <w:p w14:paraId="6A28404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19</w:t>
                  </w:r>
                </w:p>
              </w:tc>
              <w:tc>
                <w:tcPr>
                  <w:tcW w:w="228" w:type="pct"/>
                  <w:tcBorders>
                    <w:tl2br w:val="nil"/>
                    <w:tr2bl w:val="nil"/>
                  </w:tcBorders>
                  <w:shd w:val="clear" w:color="auto" w:fill="auto"/>
                  <w:noWrap/>
                  <w:vAlign w:val="center"/>
                </w:tcPr>
                <w:p w14:paraId="4DF7F7E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99</w:t>
                  </w:r>
                </w:p>
              </w:tc>
              <w:tc>
                <w:tcPr>
                  <w:tcW w:w="174" w:type="pct"/>
                  <w:tcBorders>
                    <w:tl2br w:val="nil"/>
                    <w:tr2bl w:val="nil"/>
                  </w:tcBorders>
                  <w:shd w:val="clear" w:color="auto" w:fill="auto"/>
                  <w:noWrap/>
                  <w:vAlign w:val="center"/>
                </w:tcPr>
                <w:p w14:paraId="4445559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94" w:type="pct"/>
                  <w:tcBorders>
                    <w:tl2br w:val="nil"/>
                    <w:tr2bl w:val="nil"/>
                  </w:tcBorders>
                  <w:shd w:val="clear" w:color="auto" w:fill="auto"/>
                  <w:noWrap/>
                  <w:vAlign w:val="center"/>
                </w:tcPr>
                <w:p w14:paraId="701BBD8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67B352F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19F0B31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1D77FEB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599F123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279824D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BDF960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2B1029F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0168F17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6B436CA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7776246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2A5C2E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48681D7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14</w:t>
                  </w:r>
                </w:p>
              </w:tc>
              <w:tc>
                <w:tcPr>
                  <w:tcW w:w="169" w:type="pct"/>
                  <w:vMerge w:val="continue"/>
                  <w:tcBorders>
                    <w:tl2br w:val="nil"/>
                    <w:tr2bl w:val="nil"/>
                  </w:tcBorders>
                  <w:shd w:val="clear" w:color="auto" w:fill="auto"/>
                  <w:noWrap/>
                  <w:vAlign w:val="center"/>
                </w:tcPr>
                <w:p w14:paraId="53C5FAC8">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7150E44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冲压机2</w:t>
                  </w:r>
                </w:p>
              </w:tc>
              <w:tc>
                <w:tcPr>
                  <w:tcW w:w="269" w:type="pct"/>
                  <w:tcBorders>
                    <w:tl2br w:val="nil"/>
                    <w:tr2bl w:val="nil"/>
                  </w:tcBorders>
                  <w:shd w:val="clear" w:color="auto" w:fill="auto"/>
                  <w:noWrap/>
                  <w:vAlign w:val="center"/>
                </w:tcPr>
                <w:p w14:paraId="4E6C0E4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39ED1B0C">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1F31D295">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88.5</w:t>
                  </w:r>
                </w:p>
              </w:tc>
              <w:tc>
                <w:tcPr>
                  <w:tcW w:w="281" w:type="pct"/>
                  <w:tcBorders>
                    <w:tl2br w:val="nil"/>
                    <w:tr2bl w:val="nil"/>
                  </w:tcBorders>
                  <w:shd w:val="clear" w:color="auto" w:fill="auto"/>
                  <w:noWrap/>
                  <w:vAlign w:val="center"/>
                </w:tcPr>
                <w:p w14:paraId="3662826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42.1</w:t>
                  </w:r>
                </w:p>
              </w:tc>
              <w:tc>
                <w:tcPr>
                  <w:tcW w:w="160" w:type="pct"/>
                  <w:tcBorders>
                    <w:tl2br w:val="nil"/>
                    <w:tr2bl w:val="nil"/>
                  </w:tcBorders>
                  <w:shd w:val="clear" w:color="auto" w:fill="auto"/>
                  <w:noWrap/>
                  <w:vAlign w:val="center"/>
                </w:tcPr>
                <w:p w14:paraId="4A7CF24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3EB0B06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40</w:t>
                  </w:r>
                </w:p>
              </w:tc>
              <w:tc>
                <w:tcPr>
                  <w:tcW w:w="170" w:type="pct"/>
                  <w:tcBorders>
                    <w:tl2br w:val="nil"/>
                    <w:tr2bl w:val="nil"/>
                  </w:tcBorders>
                  <w:shd w:val="clear" w:color="auto" w:fill="auto"/>
                  <w:noWrap/>
                  <w:vAlign w:val="center"/>
                </w:tcPr>
                <w:p w14:paraId="2774A40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15</w:t>
                  </w:r>
                </w:p>
              </w:tc>
              <w:tc>
                <w:tcPr>
                  <w:tcW w:w="228" w:type="pct"/>
                  <w:tcBorders>
                    <w:tl2br w:val="nil"/>
                    <w:tr2bl w:val="nil"/>
                  </w:tcBorders>
                  <w:shd w:val="clear" w:color="auto" w:fill="auto"/>
                  <w:noWrap/>
                  <w:vAlign w:val="center"/>
                </w:tcPr>
                <w:p w14:paraId="1C90AA8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97</w:t>
                  </w:r>
                </w:p>
              </w:tc>
              <w:tc>
                <w:tcPr>
                  <w:tcW w:w="174" w:type="pct"/>
                  <w:tcBorders>
                    <w:tl2br w:val="nil"/>
                    <w:tr2bl w:val="nil"/>
                  </w:tcBorders>
                  <w:shd w:val="clear" w:color="auto" w:fill="auto"/>
                  <w:noWrap/>
                  <w:vAlign w:val="center"/>
                </w:tcPr>
                <w:p w14:paraId="2832FB9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w:t>
                  </w:r>
                </w:p>
              </w:tc>
              <w:tc>
                <w:tcPr>
                  <w:tcW w:w="194" w:type="pct"/>
                  <w:tcBorders>
                    <w:tl2br w:val="nil"/>
                    <w:tr2bl w:val="nil"/>
                  </w:tcBorders>
                  <w:shd w:val="clear" w:color="auto" w:fill="auto"/>
                  <w:noWrap/>
                  <w:vAlign w:val="center"/>
                </w:tcPr>
                <w:p w14:paraId="46D75E9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727C572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6AB5FDE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5535248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532CE33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2CECEC4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71E52CC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79370DA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5F6DA7F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747D213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2A71A0D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4D44CC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2E33C1B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15</w:t>
                  </w:r>
                </w:p>
              </w:tc>
              <w:tc>
                <w:tcPr>
                  <w:tcW w:w="169" w:type="pct"/>
                  <w:vMerge w:val="continue"/>
                  <w:tcBorders>
                    <w:tl2br w:val="nil"/>
                    <w:tr2bl w:val="nil"/>
                  </w:tcBorders>
                  <w:shd w:val="clear" w:color="auto" w:fill="auto"/>
                  <w:noWrap/>
                  <w:vAlign w:val="center"/>
                </w:tcPr>
                <w:p w14:paraId="51D220E8">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0266B49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冲压机3</w:t>
                  </w:r>
                </w:p>
              </w:tc>
              <w:tc>
                <w:tcPr>
                  <w:tcW w:w="269" w:type="pct"/>
                  <w:tcBorders>
                    <w:tl2br w:val="nil"/>
                    <w:tr2bl w:val="nil"/>
                  </w:tcBorders>
                  <w:shd w:val="clear" w:color="auto" w:fill="auto"/>
                  <w:noWrap/>
                  <w:vAlign w:val="center"/>
                </w:tcPr>
                <w:p w14:paraId="61065BD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782B80C0">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6BE6F49A">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83.6</w:t>
                  </w:r>
                </w:p>
              </w:tc>
              <w:tc>
                <w:tcPr>
                  <w:tcW w:w="281" w:type="pct"/>
                  <w:tcBorders>
                    <w:tl2br w:val="nil"/>
                    <w:tr2bl w:val="nil"/>
                  </w:tcBorders>
                  <w:shd w:val="clear" w:color="auto" w:fill="auto"/>
                  <w:noWrap/>
                  <w:vAlign w:val="center"/>
                </w:tcPr>
                <w:p w14:paraId="754058B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41.8</w:t>
                  </w:r>
                </w:p>
              </w:tc>
              <w:tc>
                <w:tcPr>
                  <w:tcW w:w="160" w:type="pct"/>
                  <w:tcBorders>
                    <w:tl2br w:val="nil"/>
                    <w:tr2bl w:val="nil"/>
                  </w:tcBorders>
                  <w:shd w:val="clear" w:color="auto" w:fill="auto"/>
                  <w:noWrap/>
                  <w:vAlign w:val="center"/>
                </w:tcPr>
                <w:p w14:paraId="2D5FB9E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1FD065F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40</w:t>
                  </w:r>
                </w:p>
              </w:tc>
              <w:tc>
                <w:tcPr>
                  <w:tcW w:w="170" w:type="pct"/>
                  <w:tcBorders>
                    <w:tl2br w:val="nil"/>
                    <w:tr2bl w:val="nil"/>
                  </w:tcBorders>
                  <w:shd w:val="clear" w:color="auto" w:fill="auto"/>
                  <w:noWrap/>
                  <w:vAlign w:val="center"/>
                </w:tcPr>
                <w:p w14:paraId="0A26891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w:t>
                  </w:r>
                </w:p>
              </w:tc>
              <w:tc>
                <w:tcPr>
                  <w:tcW w:w="228" w:type="pct"/>
                  <w:tcBorders>
                    <w:tl2br w:val="nil"/>
                    <w:tr2bl w:val="nil"/>
                  </w:tcBorders>
                  <w:shd w:val="clear" w:color="auto" w:fill="auto"/>
                  <w:noWrap/>
                  <w:vAlign w:val="center"/>
                </w:tcPr>
                <w:p w14:paraId="0464379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96</w:t>
                  </w:r>
                </w:p>
              </w:tc>
              <w:tc>
                <w:tcPr>
                  <w:tcW w:w="174" w:type="pct"/>
                  <w:tcBorders>
                    <w:tl2br w:val="nil"/>
                    <w:tr2bl w:val="nil"/>
                  </w:tcBorders>
                  <w:shd w:val="clear" w:color="auto" w:fill="auto"/>
                  <w:noWrap/>
                  <w:vAlign w:val="center"/>
                </w:tcPr>
                <w:p w14:paraId="784BD35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14</w:t>
                  </w:r>
                </w:p>
              </w:tc>
              <w:tc>
                <w:tcPr>
                  <w:tcW w:w="194" w:type="pct"/>
                  <w:tcBorders>
                    <w:tl2br w:val="nil"/>
                    <w:tr2bl w:val="nil"/>
                  </w:tcBorders>
                  <w:shd w:val="clear" w:color="auto" w:fill="auto"/>
                  <w:noWrap/>
                  <w:vAlign w:val="center"/>
                </w:tcPr>
                <w:p w14:paraId="4ECF015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1BD6199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34E1D2C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54C2EC5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6430AFB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258F517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4E3C884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057A020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0CF6A38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3A37BDF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6A2B6B5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055573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594A1DA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16</w:t>
                  </w:r>
                </w:p>
              </w:tc>
              <w:tc>
                <w:tcPr>
                  <w:tcW w:w="169" w:type="pct"/>
                  <w:vMerge w:val="continue"/>
                  <w:tcBorders>
                    <w:tl2br w:val="nil"/>
                    <w:tr2bl w:val="nil"/>
                  </w:tcBorders>
                  <w:shd w:val="clear" w:color="auto" w:fill="auto"/>
                  <w:noWrap/>
                  <w:vAlign w:val="center"/>
                </w:tcPr>
                <w:p w14:paraId="7C41C5CA">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6BA6612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冲压机4</w:t>
                  </w:r>
                </w:p>
              </w:tc>
              <w:tc>
                <w:tcPr>
                  <w:tcW w:w="269" w:type="pct"/>
                  <w:tcBorders>
                    <w:tl2br w:val="nil"/>
                    <w:tr2bl w:val="nil"/>
                  </w:tcBorders>
                  <w:shd w:val="clear" w:color="auto" w:fill="auto"/>
                  <w:noWrap/>
                  <w:vAlign w:val="center"/>
                </w:tcPr>
                <w:p w14:paraId="5D1699B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60F057EF">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44AFBC2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78.7</w:t>
                  </w:r>
                </w:p>
              </w:tc>
              <w:tc>
                <w:tcPr>
                  <w:tcW w:w="281" w:type="pct"/>
                  <w:tcBorders>
                    <w:tl2br w:val="nil"/>
                    <w:tr2bl w:val="nil"/>
                  </w:tcBorders>
                  <w:shd w:val="clear" w:color="auto" w:fill="auto"/>
                  <w:noWrap/>
                  <w:vAlign w:val="center"/>
                </w:tcPr>
                <w:p w14:paraId="06AF0D2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41.4</w:t>
                  </w:r>
                </w:p>
              </w:tc>
              <w:tc>
                <w:tcPr>
                  <w:tcW w:w="160" w:type="pct"/>
                  <w:tcBorders>
                    <w:tl2br w:val="nil"/>
                    <w:tr2bl w:val="nil"/>
                  </w:tcBorders>
                  <w:shd w:val="clear" w:color="auto" w:fill="auto"/>
                  <w:noWrap/>
                  <w:vAlign w:val="center"/>
                </w:tcPr>
                <w:p w14:paraId="3AD35B7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0C4B948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40</w:t>
                  </w:r>
                </w:p>
              </w:tc>
              <w:tc>
                <w:tcPr>
                  <w:tcW w:w="170" w:type="pct"/>
                  <w:tcBorders>
                    <w:tl2br w:val="nil"/>
                    <w:tr2bl w:val="nil"/>
                  </w:tcBorders>
                  <w:shd w:val="clear" w:color="auto" w:fill="auto"/>
                  <w:noWrap/>
                  <w:vAlign w:val="center"/>
                </w:tcPr>
                <w:p w14:paraId="6BFA1A6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228" w:type="pct"/>
                  <w:tcBorders>
                    <w:tl2br w:val="nil"/>
                    <w:tr2bl w:val="nil"/>
                  </w:tcBorders>
                  <w:shd w:val="clear" w:color="auto" w:fill="auto"/>
                  <w:noWrap/>
                  <w:vAlign w:val="center"/>
                </w:tcPr>
                <w:p w14:paraId="5072A9C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94</w:t>
                  </w:r>
                </w:p>
              </w:tc>
              <w:tc>
                <w:tcPr>
                  <w:tcW w:w="174" w:type="pct"/>
                  <w:tcBorders>
                    <w:tl2br w:val="nil"/>
                    <w:tr2bl w:val="nil"/>
                  </w:tcBorders>
                  <w:shd w:val="clear" w:color="auto" w:fill="auto"/>
                  <w:noWrap/>
                  <w:vAlign w:val="center"/>
                </w:tcPr>
                <w:p w14:paraId="1C59589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19</w:t>
                  </w:r>
                </w:p>
              </w:tc>
              <w:tc>
                <w:tcPr>
                  <w:tcW w:w="194" w:type="pct"/>
                  <w:tcBorders>
                    <w:tl2br w:val="nil"/>
                    <w:tr2bl w:val="nil"/>
                  </w:tcBorders>
                  <w:shd w:val="clear" w:color="auto" w:fill="auto"/>
                  <w:noWrap/>
                  <w:vAlign w:val="center"/>
                </w:tcPr>
                <w:p w14:paraId="7F387AA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427B848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5045F4D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00F13A3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043178E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0FC64F0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0F10994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08C6817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00BA8A5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0683E52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520C204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3B4A09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77D1860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169" w:type="pct"/>
                  <w:vMerge w:val="continue"/>
                  <w:tcBorders>
                    <w:tl2br w:val="nil"/>
                    <w:tr2bl w:val="nil"/>
                  </w:tcBorders>
                  <w:shd w:val="clear" w:color="auto" w:fill="auto"/>
                  <w:noWrap/>
                  <w:vAlign w:val="center"/>
                </w:tcPr>
                <w:p w14:paraId="387636A2">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20B5AA0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贴合机1</w:t>
                  </w:r>
                </w:p>
              </w:tc>
              <w:tc>
                <w:tcPr>
                  <w:tcW w:w="269" w:type="pct"/>
                  <w:tcBorders>
                    <w:tl2br w:val="nil"/>
                    <w:tr2bl w:val="nil"/>
                  </w:tcBorders>
                  <w:shd w:val="clear" w:color="auto" w:fill="auto"/>
                  <w:noWrap/>
                  <w:vAlign w:val="center"/>
                </w:tcPr>
                <w:p w14:paraId="156CA9A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75</w:t>
                  </w:r>
                </w:p>
              </w:tc>
              <w:tc>
                <w:tcPr>
                  <w:tcW w:w="286" w:type="pct"/>
                  <w:vMerge w:val="continue"/>
                  <w:tcBorders>
                    <w:tl2br w:val="nil"/>
                    <w:tr2bl w:val="nil"/>
                  </w:tcBorders>
                  <w:shd w:val="clear" w:color="auto" w:fill="auto"/>
                  <w:noWrap/>
                  <w:vAlign w:val="center"/>
                </w:tcPr>
                <w:p w14:paraId="37A8928D">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4C18EBC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93.8</w:t>
                  </w:r>
                </w:p>
              </w:tc>
              <w:tc>
                <w:tcPr>
                  <w:tcW w:w="281" w:type="pct"/>
                  <w:tcBorders>
                    <w:tl2br w:val="nil"/>
                    <w:tr2bl w:val="nil"/>
                  </w:tcBorders>
                  <w:shd w:val="clear" w:color="auto" w:fill="auto"/>
                  <w:noWrap/>
                  <w:vAlign w:val="center"/>
                </w:tcPr>
                <w:p w14:paraId="40FB42B1">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35.8</w:t>
                  </w:r>
                </w:p>
              </w:tc>
              <w:tc>
                <w:tcPr>
                  <w:tcW w:w="160" w:type="pct"/>
                  <w:tcBorders>
                    <w:tl2br w:val="nil"/>
                    <w:tr2bl w:val="nil"/>
                  </w:tcBorders>
                  <w:shd w:val="clear" w:color="auto" w:fill="auto"/>
                  <w:noWrap/>
                  <w:vAlign w:val="center"/>
                </w:tcPr>
                <w:p w14:paraId="63C9984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4E15DB2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34</w:t>
                  </w:r>
                </w:p>
              </w:tc>
              <w:tc>
                <w:tcPr>
                  <w:tcW w:w="170" w:type="pct"/>
                  <w:tcBorders>
                    <w:tl2br w:val="nil"/>
                    <w:tr2bl w:val="nil"/>
                  </w:tcBorders>
                  <w:shd w:val="clear" w:color="auto" w:fill="auto"/>
                  <w:noWrap/>
                  <w:vAlign w:val="center"/>
                </w:tcPr>
                <w:p w14:paraId="722496C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20</w:t>
                  </w:r>
                </w:p>
              </w:tc>
              <w:tc>
                <w:tcPr>
                  <w:tcW w:w="228" w:type="pct"/>
                  <w:tcBorders>
                    <w:tl2br w:val="nil"/>
                    <w:tr2bl w:val="nil"/>
                  </w:tcBorders>
                  <w:shd w:val="clear" w:color="auto" w:fill="auto"/>
                  <w:noWrap/>
                  <w:vAlign w:val="center"/>
                </w:tcPr>
                <w:p w14:paraId="534EDBA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105</w:t>
                  </w:r>
                </w:p>
              </w:tc>
              <w:tc>
                <w:tcPr>
                  <w:tcW w:w="174" w:type="pct"/>
                  <w:tcBorders>
                    <w:tl2br w:val="nil"/>
                    <w:tr2bl w:val="nil"/>
                  </w:tcBorders>
                  <w:shd w:val="clear" w:color="auto" w:fill="auto"/>
                  <w:noWrap/>
                  <w:vAlign w:val="center"/>
                </w:tcPr>
                <w:p w14:paraId="0A769BB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94" w:type="pct"/>
                  <w:tcBorders>
                    <w:tl2br w:val="nil"/>
                    <w:tr2bl w:val="nil"/>
                  </w:tcBorders>
                  <w:shd w:val="clear" w:color="auto" w:fill="auto"/>
                  <w:noWrap/>
                  <w:vAlign w:val="center"/>
                </w:tcPr>
                <w:p w14:paraId="2987962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70" w:type="pct"/>
                  <w:tcBorders>
                    <w:tl2br w:val="nil"/>
                    <w:tr2bl w:val="nil"/>
                  </w:tcBorders>
                  <w:shd w:val="clear" w:color="auto" w:fill="auto"/>
                  <w:noWrap/>
                  <w:vAlign w:val="center"/>
                </w:tcPr>
                <w:p w14:paraId="6226E13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08" w:type="pct"/>
                  <w:tcBorders>
                    <w:tl2br w:val="nil"/>
                    <w:tr2bl w:val="nil"/>
                  </w:tcBorders>
                  <w:shd w:val="clear" w:color="auto" w:fill="auto"/>
                  <w:noWrap/>
                  <w:vAlign w:val="center"/>
                </w:tcPr>
                <w:p w14:paraId="34B651E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94" w:type="pct"/>
                  <w:tcBorders>
                    <w:tl2br w:val="nil"/>
                    <w:tr2bl w:val="nil"/>
                  </w:tcBorders>
                  <w:shd w:val="clear" w:color="auto" w:fill="auto"/>
                  <w:noWrap/>
                  <w:vAlign w:val="center"/>
                </w:tcPr>
                <w:p w14:paraId="6C2A900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81" w:type="pct"/>
                  <w:tcBorders>
                    <w:tl2br w:val="nil"/>
                    <w:tr2bl w:val="nil"/>
                  </w:tcBorders>
                  <w:shd w:val="clear" w:color="auto" w:fill="auto"/>
                  <w:noWrap/>
                  <w:vAlign w:val="center"/>
                </w:tcPr>
                <w:p w14:paraId="407AAC1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00A9AA0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2174E3C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46D9BC8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739A7FE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8" w:type="pct"/>
                  <w:tcBorders>
                    <w:tl2br w:val="nil"/>
                    <w:tr2bl w:val="nil"/>
                  </w:tcBorders>
                  <w:shd w:val="clear" w:color="auto" w:fill="auto"/>
                  <w:noWrap/>
                  <w:vAlign w:val="center"/>
                </w:tcPr>
                <w:p w14:paraId="71F448F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249" w:type="pct"/>
                  <w:tcBorders>
                    <w:tl2br w:val="nil"/>
                    <w:tr2bl w:val="nil"/>
                  </w:tcBorders>
                  <w:shd w:val="clear" w:color="auto" w:fill="auto"/>
                  <w:noWrap/>
                  <w:vAlign w:val="center"/>
                </w:tcPr>
                <w:p w14:paraId="51AB6E5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5A0BCA4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11F68F7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18</w:t>
                  </w:r>
                </w:p>
              </w:tc>
              <w:tc>
                <w:tcPr>
                  <w:tcW w:w="169" w:type="pct"/>
                  <w:vMerge w:val="continue"/>
                  <w:tcBorders>
                    <w:tl2br w:val="nil"/>
                    <w:tr2bl w:val="nil"/>
                  </w:tcBorders>
                  <w:shd w:val="clear" w:color="auto" w:fill="auto"/>
                  <w:noWrap/>
                  <w:vAlign w:val="center"/>
                </w:tcPr>
                <w:p w14:paraId="4B0B3D7F">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1F952E9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冲压机5</w:t>
                  </w:r>
                </w:p>
              </w:tc>
              <w:tc>
                <w:tcPr>
                  <w:tcW w:w="269" w:type="pct"/>
                  <w:tcBorders>
                    <w:tl2br w:val="nil"/>
                    <w:tr2bl w:val="nil"/>
                  </w:tcBorders>
                  <w:shd w:val="clear" w:color="auto" w:fill="auto"/>
                  <w:noWrap/>
                  <w:vAlign w:val="center"/>
                </w:tcPr>
                <w:p w14:paraId="68ECC3B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4399846C">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7CAD1EBA">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88.9</w:t>
                  </w:r>
                </w:p>
              </w:tc>
              <w:tc>
                <w:tcPr>
                  <w:tcW w:w="281" w:type="pct"/>
                  <w:tcBorders>
                    <w:tl2br w:val="nil"/>
                    <w:tr2bl w:val="nil"/>
                  </w:tcBorders>
                  <w:shd w:val="clear" w:color="auto" w:fill="auto"/>
                  <w:noWrap/>
                  <w:vAlign w:val="center"/>
                </w:tcPr>
                <w:p w14:paraId="64F653B9">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35.3</w:t>
                  </w:r>
                </w:p>
              </w:tc>
              <w:tc>
                <w:tcPr>
                  <w:tcW w:w="160" w:type="pct"/>
                  <w:tcBorders>
                    <w:tl2br w:val="nil"/>
                    <w:tr2bl w:val="nil"/>
                  </w:tcBorders>
                  <w:shd w:val="clear" w:color="auto" w:fill="auto"/>
                  <w:noWrap/>
                  <w:vAlign w:val="center"/>
                </w:tcPr>
                <w:p w14:paraId="170DB0D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0CCB98F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34</w:t>
                  </w:r>
                </w:p>
              </w:tc>
              <w:tc>
                <w:tcPr>
                  <w:tcW w:w="170" w:type="pct"/>
                  <w:tcBorders>
                    <w:tl2br w:val="nil"/>
                    <w:tr2bl w:val="nil"/>
                  </w:tcBorders>
                  <w:shd w:val="clear" w:color="auto" w:fill="auto"/>
                  <w:noWrap/>
                  <w:vAlign w:val="center"/>
                </w:tcPr>
                <w:p w14:paraId="3D92505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15</w:t>
                  </w:r>
                </w:p>
              </w:tc>
              <w:tc>
                <w:tcPr>
                  <w:tcW w:w="228" w:type="pct"/>
                  <w:tcBorders>
                    <w:tl2br w:val="nil"/>
                    <w:tr2bl w:val="nil"/>
                  </w:tcBorders>
                  <w:shd w:val="clear" w:color="auto" w:fill="auto"/>
                  <w:noWrap/>
                  <w:vAlign w:val="center"/>
                </w:tcPr>
                <w:p w14:paraId="32C235A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104</w:t>
                  </w:r>
                </w:p>
              </w:tc>
              <w:tc>
                <w:tcPr>
                  <w:tcW w:w="174" w:type="pct"/>
                  <w:tcBorders>
                    <w:tl2br w:val="nil"/>
                    <w:tr2bl w:val="nil"/>
                  </w:tcBorders>
                  <w:shd w:val="clear" w:color="auto" w:fill="auto"/>
                  <w:noWrap/>
                  <w:vAlign w:val="center"/>
                </w:tcPr>
                <w:p w14:paraId="0BFBF9E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w:t>
                  </w:r>
                </w:p>
              </w:tc>
              <w:tc>
                <w:tcPr>
                  <w:tcW w:w="194" w:type="pct"/>
                  <w:tcBorders>
                    <w:tl2br w:val="nil"/>
                    <w:tr2bl w:val="nil"/>
                  </w:tcBorders>
                  <w:shd w:val="clear" w:color="auto" w:fill="auto"/>
                  <w:noWrap/>
                  <w:vAlign w:val="center"/>
                </w:tcPr>
                <w:p w14:paraId="02D8C9E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3A942F9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2C7CE5C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2ADB338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2B9A308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5189807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4D4396A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49103A1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62E45F0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4105E06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62AEAF2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4209204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685A096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19</w:t>
                  </w:r>
                </w:p>
              </w:tc>
              <w:tc>
                <w:tcPr>
                  <w:tcW w:w="169" w:type="pct"/>
                  <w:vMerge w:val="continue"/>
                  <w:tcBorders>
                    <w:tl2br w:val="nil"/>
                    <w:tr2bl w:val="nil"/>
                  </w:tcBorders>
                  <w:shd w:val="clear" w:color="auto" w:fill="auto"/>
                  <w:noWrap/>
                  <w:vAlign w:val="center"/>
                </w:tcPr>
                <w:p w14:paraId="79A9E41C">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27DCCEE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自动排废机</w:t>
                  </w:r>
                </w:p>
              </w:tc>
              <w:tc>
                <w:tcPr>
                  <w:tcW w:w="269" w:type="pct"/>
                  <w:tcBorders>
                    <w:tl2br w:val="nil"/>
                    <w:tr2bl w:val="nil"/>
                  </w:tcBorders>
                  <w:shd w:val="clear" w:color="auto" w:fill="auto"/>
                  <w:noWrap/>
                  <w:vAlign w:val="center"/>
                </w:tcPr>
                <w:p w14:paraId="158AFBA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123F762A">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1B72B21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83.9</w:t>
                  </w:r>
                </w:p>
              </w:tc>
              <w:tc>
                <w:tcPr>
                  <w:tcW w:w="281" w:type="pct"/>
                  <w:tcBorders>
                    <w:tl2br w:val="nil"/>
                    <w:tr2bl w:val="nil"/>
                  </w:tcBorders>
                  <w:shd w:val="clear" w:color="auto" w:fill="auto"/>
                  <w:noWrap/>
                  <w:vAlign w:val="center"/>
                </w:tcPr>
                <w:p w14:paraId="1CCD50AB">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35.1</w:t>
                  </w:r>
                </w:p>
              </w:tc>
              <w:tc>
                <w:tcPr>
                  <w:tcW w:w="160" w:type="pct"/>
                  <w:tcBorders>
                    <w:tl2br w:val="nil"/>
                    <w:tr2bl w:val="nil"/>
                  </w:tcBorders>
                  <w:shd w:val="clear" w:color="auto" w:fill="auto"/>
                  <w:noWrap/>
                  <w:vAlign w:val="center"/>
                </w:tcPr>
                <w:p w14:paraId="3BBBB9F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118BCDD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34</w:t>
                  </w:r>
                </w:p>
              </w:tc>
              <w:tc>
                <w:tcPr>
                  <w:tcW w:w="170" w:type="pct"/>
                  <w:tcBorders>
                    <w:tl2br w:val="nil"/>
                    <w:tr2bl w:val="nil"/>
                  </w:tcBorders>
                  <w:shd w:val="clear" w:color="auto" w:fill="auto"/>
                  <w:noWrap/>
                  <w:vAlign w:val="center"/>
                </w:tcPr>
                <w:p w14:paraId="59EE6A7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w:t>
                  </w:r>
                </w:p>
              </w:tc>
              <w:tc>
                <w:tcPr>
                  <w:tcW w:w="228" w:type="pct"/>
                  <w:tcBorders>
                    <w:tl2br w:val="nil"/>
                    <w:tr2bl w:val="nil"/>
                  </w:tcBorders>
                  <w:shd w:val="clear" w:color="auto" w:fill="auto"/>
                  <w:noWrap/>
                  <w:vAlign w:val="center"/>
                </w:tcPr>
                <w:p w14:paraId="0B5206C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102</w:t>
                  </w:r>
                </w:p>
              </w:tc>
              <w:tc>
                <w:tcPr>
                  <w:tcW w:w="174" w:type="pct"/>
                  <w:tcBorders>
                    <w:tl2br w:val="nil"/>
                    <w:tr2bl w:val="nil"/>
                  </w:tcBorders>
                  <w:shd w:val="clear" w:color="auto" w:fill="auto"/>
                  <w:noWrap/>
                  <w:vAlign w:val="center"/>
                </w:tcPr>
                <w:p w14:paraId="7630C86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15</w:t>
                  </w:r>
                </w:p>
              </w:tc>
              <w:tc>
                <w:tcPr>
                  <w:tcW w:w="194" w:type="pct"/>
                  <w:tcBorders>
                    <w:tl2br w:val="nil"/>
                    <w:tr2bl w:val="nil"/>
                  </w:tcBorders>
                  <w:shd w:val="clear" w:color="auto" w:fill="auto"/>
                  <w:noWrap/>
                  <w:vAlign w:val="center"/>
                </w:tcPr>
                <w:p w14:paraId="5EF17CD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3682C3E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2E7B17F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4B1FFD4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0586296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0BC9A4B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2AB61E5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0070BC9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73FC612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46E51C5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4E3B663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543EB3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21B6A3A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20</w:t>
                  </w:r>
                </w:p>
              </w:tc>
              <w:tc>
                <w:tcPr>
                  <w:tcW w:w="169" w:type="pct"/>
                  <w:vMerge w:val="continue"/>
                  <w:tcBorders>
                    <w:tl2br w:val="nil"/>
                    <w:tr2bl w:val="nil"/>
                  </w:tcBorders>
                  <w:shd w:val="clear" w:color="auto" w:fill="auto"/>
                  <w:noWrap/>
                  <w:vAlign w:val="center"/>
                </w:tcPr>
                <w:p w14:paraId="1DA59710">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301B18B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贴合机2</w:t>
                  </w:r>
                </w:p>
              </w:tc>
              <w:tc>
                <w:tcPr>
                  <w:tcW w:w="269" w:type="pct"/>
                  <w:tcBorders>
                    <w:tl2br w:val="nil"/>
                    <w:tr2bl w:val="nil"/>
                  </w:tcBorders>
                  <w:shd w:val="clear" w:color="auto" w:fill="auto"/>
                  <w:noWrap/>
                  <w:vAlign w:val="center"/>
                </w:tcPr>
                <w:p w14:paraId="1693B49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75</w:t>
                  </w:r>
                </w:p>
              </w:tc>
              <w:tc>
                <w:tcPr>
                  <w:tcW w:w="286" w:type="pct"/>
                  <w:vMerge w:val="continue"/>
                  <w:tcBorders>
                    <w:tl2br w:val="nil"/>
                    <w:tr2bl w:val="nil"/>
                  </w:tcBorders>
                  <w:shd w:val="clear" w:color="auto" w:fill="auto"/>
                  <w:noWrap/>
                  <w:vAlign w:val="center"/>
                </w:tcPr>
                <w:p w14:paraId="5641A8F0">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0EAF8191">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78.9</w:t>
                  </w:r>
                </w:p>
              </w:tc>
              <w:tc>
                <w:tcPr>
                  <w:tcW w:w="281" w:type="pct"/>
                  <w:tcBorders>
                    <w:tl2br w:val="nil"/>
                    <w:tr2bl w:val="nil"/>
                  </w:tcBorders>
                  <w:shd w:val="clear" w:color="auto" w:fill="auto"/>
                  <w:noWrap/>
                  <w:vAlign w:val="center"/>
                </w:tcPr>
                <w:p w14:paraId="52C8D7E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34.9</w:t>
                  </w:r>
                </w:p>
              </w:tc>
              <w:tc>
                <w:tcPr>
                  <w:tcW w:w="160" w:type="pct"/>
                  <w:tcBorders>
                    <w:tl2br w:val="nil"/>
                    <w:tr2bl w:val="nil"/>
                  </w:tcBorders>
                  <w:shd w:val="clear" w:color="auto" w:fill="auto"/>
                  <w:noWrap/>
                  <w:vAlign w:val="center"/>
                </w:tcPr>
                <w:p w14:paraId="1CCA278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1A3834E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34</w:t>
                  </w:r>
                </w:p>
              </w:tc>
              <w:tc>
                <w:tcPr>
                  <w:tcW w:w="170" w:type="pct"/>
                  <w:tcBorders>
                    <w:tl2br w:val="nil"/>
                    <w:tr2bl w:val="nil"/>
                  </w:tcBorders>
                  <w:shd w:val="clear" w:color="auto" w:fill="auto"/>
                  <w:noWrap/>
                  <w:vAlign w:val="center"/>
                </w:tcPr>
                <w:p w14:paraId="6C33A6F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228" w:type="pct"/>
                  <w:tcBorders>
                    <w:tl2br w:val="nil"/>
                    <w:tr2bl w:val="nil"/>
                  </w:tcBorders>
                  <w:shd w:val="clear" w:color="auto" w:fill="auto"/>
                  <w:noWrap/>
                  <w:vAlign w:val="center"/>
                </w:tcPr>
                <w:p w14:paraId="78C6374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101</w:t>
                  </w:r>
                </w:p>
              </w:tc>
              <w:tc>
                <w:tcPr>
                  <w:tcW w:w="174" w:type="pct"/>
                  <w:tcBorders>
                    <w:tl2br w:val="nil"/>
                    <w:tr2bl w:val="nil"/>
                  </w:tcBorders>
                  <w:shd w:val="clear" w:color="auto" w:fill="auto"/>
                  <w:noWrap/>
                  <w:vAlign w:val="center"/>
                </w:tcPr>
                <w:p w14:paraId="0DE536D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20</w:t>
                  </w:r>
                </w:p>
              </w:tc>
              <w:tc>
                <w:tcPr>
                  <w:tcW w:w="194" w:type="pct"/>
                  <w:tcBorders>
                    <w:tl2br w:val="nil"/>
                    <w:tr2bl w:val="nil"/>
                  </w:tcBorders>
                  <w:shd w:val="clear" w:color="auto" w:fill="auto"/>
                  <w:noWrap/>
                  <w:vAlign w:val="center"/>
                </w:tcPr>
                <w:p w14:paraId="12E3305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70" w:type="pct"/>
                  <w:tcBorders>
                    <w:tl2br w:val="nil"/>
                    <w:tr2bl w:val="nil"/>
                  </w:tcBorders>
                  <w:shd w:val="clear" w:color="auto" w:fill="auto"/>
                  <w:noWrap/>
                  <w:vAlign w:val="center"/>
                </w:tcPr>
                <w:p w14:paraId="311B3DE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08" w:type="pct"/>
                  <w:tcBorders>
                    <w:tl2br w:val="nil"/>
                    <w:tr2bl w:val="nil"/>
                  </w:tcBorders>
                  <w:shd w:val="clear" w:color="auto" w:fill="auto"/>
                  <w:noWrap/>
                  <w:vAlign w:val="center"/>
                </w:tcPr>
                <w:p w14:paraId="2A084EC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94" w:type="pct"/>
                  <w:tcBorders>
                    <w:tl2br w:val="nil"/>
                    <w:tr2bl w:val="nil"/>
                  </w:tcBorders>
                  <w:shd w:val="clear" w:color="auto" w:fill="auto"/>
                  <w:noWrap/>
                  <w:vAlign w:val="center"/>
                </w:tcPr>
                <w:p w14:paraId="75A732F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81" w:type="pct"/>
                  <w:tcBorders>
                    <w:tl2br w:val="nil"/>
                    <w:tr2bl w:val="nil"/>
                  </w:tcBorders>
                  <w:shd w:val="clear" w:color="auto" w:fill="auto"/>
                  <w:noWrap/>
                  <w:vAlign w:val="center"/>
                </w:tcPr>
                <w:p w14:paraId="589943A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546B1A3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0121CDF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0FF3026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53E1064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8" w:type="pct"/>
                  <w:tcBorders>
                    <w:tl2br w:val="nil"/>
                    <w:tr2bl w:val="nil"/>
                  </w:tcBorders>
                  <w:shd w:val="clear" w:color="auto" w:fill="auto"/>
                  <w:noWrap/>
                  <w:vAlign w:val="center"/>
                </w:tcPr>
                <w:p w14:paraId="13A9E13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249" w:type="pct"/>
                  <w:tcBorders>
                    <w:tl2br w:val="nil"/>
                    <w:tr2bl w:val="nil"/>
                  </w:tcBorders>
                  <w:shd w:val="clear" w:color="auto" w:fill="auto"/>
                  <w:noWrap/>
                  <w:vAlign w:val="center"/>
                </w:tcPr>
                <w:p w14:paraId="1C28DE3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12A186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0FD94E1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21</w:t>
                  </w:r>
                </w:p>
              </w:tc>
              <w:tc>
                <w:tcPr>
                  <w:tcW w:w="169" w:type="pct"/>
                  <w:vMerge w:val="restart"/>
                  <w:tcBorders>
                    <w:tl2br w:val="nil"/>
                    <w:tr2bl w:val="nil"/>
                  </w:tcBorders>
                  <w:shd w:val="clear" w:color="auto" w:fill="auto"/>
                  <w:noWrap/>
                  <w:vAlign w:val="center"/>
                </w:tcPr>
                <w:p w14:paraId="67995FE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复合</w:t>
                  </w:r>
                </w:p>
                <w:p w14:paraId="217FDDC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车间</w:t>
                  </w:r>
                </w:p>
              </w:tc>
              <w:tc>
                <w:tcPr>
                  <w:tcW w:w="380" w:type="pct"/>
                  <w:tcBorders>
                    <w:tl2br w:val="nil"/>
                    <w:tr2bl w:val="nil"/>
                  </w:tcBorders>
                  <w:shd w:val="clear" w:color="auto" w:fill="auto"/>
                  <w:noWrap/>
                  <w:vAlign w:val="center"/>
                </w:tcPr>
                <w:p w14:paraId="4CC2A66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复合机</w:t>
                  </w:r>
                </w:p>
              </w:tc>
              <w:tc>
                <w:tcPr>
                  <w:tcW w:w="269" w:type="pct"/>
                  <w:tcBorders>
                    <w:tl2br w:val="nil"/>
                    <w:tr2bl w:val="nil"/>
                  </w:tcBorders>
                  <w:shd w:val="clear" w:color="auto" w:fill="auto"/>
                  <w:noWrap/>
                  <w:vAlign w:val="center"/>
                </w:tcPr>
                <w:p w14:paraId="47CB5F1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786E874A">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6436D7B1">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59.2</w:t>
                  </w:r>
                </w:p>
              </w:tc>
              <w:tc>
                <w:tcPr>
                  <w:tcW w:w="281" w:type="pct"/>
                  <w:tcBorders>
                    <w:tl2br w:val="nil"/>
                    <w:tr2bl w:val="nil"/>
                  </w:tcBorders>
                  <w:shd w:val="clear" w:color="auto" w:fill="auto"/>
                  <w:noWrap/>
                  <w:vAlign w:val="center"/>
                </w:tcPr>
                <w:p w14:paraId="408A106A">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58.4</w:t>
                  </w:r>
                </w:p>
              </w:tc>
              <w:tc>
                <w:tcPr>
                  <w:tcW w:w="160" w:type="pct"/>
                  <w:tcBorders>
                    <w:tl2br w:val="nil"/>
                    <w:tr2bl w:val="nil"/>
                  </w:tcBorders>
                  <w:shd w:val="clear" w:color="auto" w:fill="auto"/>
                  <w:noWrap/>
                  <w:vAlign w:val="center"/>
                </w:tcPr>
                <w:p w14:paraId="64DC94B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2D42305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70" w:type="pct"/>
                  <w:tcBorders>
                    <w:tl2br w:val="nil"/>
                    <w:tr2bl w:val="nil"/>
                  </w:tcBorders>
                  <w:shd w:val="clear" w:color="auto" w:fill="auto"/>
                  <w:noWrap/>
                  <w:vAlign w:val="center"/>
                </w:tcPr>
                <w:p w14:paraId="0EBC2B5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w:t>
                  </w:r>
                </w:p>
              </w:tc>
              <w:tc>
                <w:tcPr>
                  <w:tcW w:w="228" w:type="pct"/>
                  <w:tcBorders>
                    <w:tl2br w:val="nil"/>
                    <w:tr2bl w:val="nil"/>
                  </w:tcBorders>
                  <w:shd w:val="clear" w:color="auto" w:fill="auto"/>
                  <w:noWrap/>
                  <w:vAlign w:val="center"/>
                </w:tcPr>
                <w:p w14:paraId="64CE694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74" w:type="pct"/>
                  <w:tcBorders>
                    <w:tl2br w:val="nil"/>
                    <w:tr2bl w:val="nil"/>
                  </w:tcBorders>
                  <w:shd w:val="clear" w:color="auto" w:fill="auto"/>
                  <w:noWrap/>
                  <w:vAlign w:val="center"/>
                </w:tcPr>
                <w:p w14:paraId="620D883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34</w:t>
                  </w:r>
                </w:p>
              </w:tc>
              <w:tc>
                <w:tcPr>
                  <w:tcW w:w="194" w:type="pct"/>
                  <w:tcBorders>
                    <w:tl2br w:val="nil"/>
                    <w:tr2bl w:val="nil"/>
                  </w:tcBorders>
                  <w:shd w:val="clear" w:color="auto" w:fill="auto"/>
                  <w:noWrap/>
                  <w:vAlign w:val="center"/>
                </w:tcPr>
                <w:p w14:paraId="20C2DB7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70" w:type="pct"/>
                  <w:tcBorders>
                    <w:tl2br w:val="nil"/>
                    <w:tr2bl w:val="nil"/>
                  </w:tcBorders>
                  <w:shd w:val="clear" w:color="auto" w:fill="auto"/>
                  <w:noWrap/>
                  <w:vAlign w:val="center"/>
                </w:tcPr>
                <w:p w14:paraId="6C1295D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08" w:type="pct"/>
                  <w:tcBorders>
                    <w:tl2br w:val="nil"/>
                    <w:tr2bl w:val="nil"/>
                  </w:tcBorders>
                  <w:shd w:val="clear" w:color="auto" w:fill="auto"/>
                  <w:noWrap/>
                  <w:vAlign w:val="center"/>
                </w:tcPr>
                <w:p w14:paraId="3037032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94" w:type="pct"/>
                  <w:tcBorders>
                    <w:tl2br w:val="nil"/>
                    <w:tr2bl w:val="nil"/>
                  </w:tcBorders>
                  <w:shd w:val="clear" w:color="auto" w:fill="auto"/>
                  <w:noWrap/>
                  <w:vAlign w:val="center"/>
                </w:tcPr>
                <w:p w14:paraId="5555BA4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81" w:type="pct"/>
                  <w:tcBorders>
                    <w:tl2br w:val="nil"/>
                    <w:tr2bl w:val="nil"/>
                  </w:tcBorders>
                  <w:shd w:val="clear" w:color="auto" w:fill="auto"/>
                  <w:noWrap/>
                  <w:vAlign w:val="center"/>
                </w:tcPr>
                <w:p w14:paraId="496A10D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5198338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15D5FEC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0435583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7CF474F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8" w:type="pct"/>
                  <w:tcBorders>
                    <w:tl2br w:val="nil"/>
                    <w:tr2bl w:val="nil"/>
                  </w:tcBorders>
                  <w:shd w:val="clear" w:color="auto" w:fill="auto"/>
                  <w:noWrap/>
                  <w:vAlign w:val="center"/>
                </w:tcPr>
                <w:p w14:paraId="1C5A2C7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249" w:type="pct"/>
                  <w:tcBorders>
                    <w:tl2br w:val="nil"/>
                    <w:tr2bl w:val="nil"/>
                  </w:tcBorders>
                  <w:shd w:val="clear" w:color="auto" w:fill="auto"/>
                  <w:noWrap/>
                  <w:vAlign w:val="center"/>
                </w:tcPr>
                <w:p w14:paraId="542083C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299E6F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63D5447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22</w:t>
                  </w:r>
                </w:p>
              </w:tc>
              <w:tc>
                <w:tcPr>
                  <w:tcW w:w="169" w:type="pct"/>
                  <w:vMerge w:val="continue"/>
                  <w:tcBorders>
                    <w:tl2br w:val="nil"/>
                    <w:tr2bl w:val="nil"/>
                  </w:tcBorders>
                  <w:shd w:val="clear" w:color="auto" w:fill="auto"/>
                  <w:noWrap/>
                  <w:vAlign w:val="center"/>
                </w:tcPr>
                <w:p w14:paraId="756DCB47">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0ECF1A3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复合机</w:t>
                  </w:r>
                </w:p>
              </w:tc>
              <w:tc>
                <w:tcPr>
                  <w:tcW w:w="269" w:type="pct"/>
                  <w:tcBorders>
                    <w:tl2br w:val="nil"/>
                    <w:tr2bl w:val="nil"/>
                  </w:tcBorders>
                  <w:shd w:val="clear" w:color="auto" w:fill="auto"/>
                  <w:noWrap/>
                  <w:vAlign w:val="center"/>
                </w:tcPr>
                <w:p w14:paraId="4D33A97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154B576A">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506871D6">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51.6</w:t>
                  </w:r>
                </w:p>
              </w:tc>
              <w:tc>
                <w:tcPr>
                  <w:tcW w:w="281" w:type="pct"/>
                  <w:tcBorders>
                    <w:tl2br w:val="nil"/>
                    <w:tr2bl w:val="nil"/>
                  </w:tcBorders>
                  <w:shd w:val="clear" w:color="auto" w:fill="auto"/>
                  <w:noWrap/>
                  <w:vAlign w:val="center"/>
                </w:tcPr>
                <w:p w14:paraId="11CCF8A6">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57.9</w:t>
                  </w:r>
                </w:p>
              </w:tc>
              <w:tc>
                <w:tcPr>
                  <w:tcW w:w="160" w:type="pct"/>
                  <w:tcBorders>
                    <w:tl2br w:val="nil"/>
                    <w:tr2bl w:val="nil"/>
                  </w:tcBorders>
                  <w:shd w:val="clear" w:color="auto" w:fill="auto"/>
                  <w:noWrap/>
                  <w:vAlign w:val="center"/>
                </w:tcPr>
                <w:p w14:paraId="2DC7D7D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10FB5CA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70" w:type="pct"/>
                  <w:tcBorders>
                    <w:tl2br w:val="nil"/>
                    <w:tr2bl w:val="nil"/>
                  </w:tcBorders>
                  <w:shd w:val="clear" w:color="auto" w:fill="auto"/>
                  <w:noWrap/>
                  <w:vAlign w:val="center"/>
                </w:tcPr>
                <w:p w14:paraId="06CAF04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w:t>
                  </w:r>
                </w:p>
              </w:tc>
              <w:tc>
                <w:tcPr>
                  <w:tcW w:w="228" w:type="pct"/>
                  <w:tcBorders>
                    <w:tl2br w:val="nil"/>
                    <w:tr2bl w:val="nil"/>
                  </w:tcBorders>
                  <w:shd w:val="clear" w:color="auto" w:fill="auto"/>
                  <w:noWrap/>
                  <w:vAlign w:val="center"/>
                </w:tcPr>
                <w:p w14:paraId="53C42E9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w:t>
                  </w:r>
                </w:p>
              </w:tc>
              <w:tc>
                <w:tcPr>
                  <w:tcW w:w="174" w:type="pct"/>
                  <w:tcBorders>
                    <w:tl2br w:val="nil"/>
                    <w:tr2bl w:val="nil"/>
                  </w:tcBorders>
                  <w:shd w:val="clear" w:color="auto" w:fill="auto"/>
                  <w:noWrap/>
                  <w:vAlign w:val="center"/>
                </w:tcPr>
                <w:p w14:paraId="0EDCDB5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34</w:t>
                  </w:r>
                </w:p>
              </w:tc>
              <w:tc>
                <w:tcPr>
                  <w:tcW w:w="194" w:type="pct"/>
                  <w:tcBorders>
                    <w:tl2br w:val="nil"/>
                    <w:tr2bl w:val="nil"/>
                  </w:tcBorders>
                  <w:shd w:val="clear" w:color="auto" w:fill="auto"/>
                  <w:noWrap/>
                  <w:vAlign w:val="center"/>
                </w:tcPr>
                <w:p w14:paraId="7FB5F68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70" w:type="pct"/>
                  <w:tcBorders>
                    <w:tl2br w:val="nil"/>
                    <w:tr2bl w:val="nil"/>
                  </w:tcBorders>
                  <w:shd w:val="clear" w:color="auto" w:fill="auto"/>
                  <w:noWrap/>
                  <w:vAlign w:val="center"/>
                </w:tcPr>
                <w:p w14:paraId="553B6A0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08" w:type="pct"/>
                  <w:tcBorders>
                    <w:tl2br w:val="nil"/>
                    <w:tr2bl w:val="nil"/>
                  </w:tcBorders>
                  <w:shd w:val="clear" w:color="auto" w:fill="auto"/>
                  <w:noWrap/>
                  <w:vAlign w:val="center"/>
                </w:tcPr>
                <w:p w14:paraId="55774E8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94" w:type="pct"/>
                  <w:tcBorders>
                    <w:tl2br w:val="nil"/>
                    <w:tr2bl w:val="nil"/>
                  </w:tcBorders>
                  <w:shd w:val="clear" w:color="auto" w:fill="auto"/>
                  <w:noWrap/>
                  <w:vAlign w:val="center"/>
                </w:tcPr>
                <w:p w14:paraId="008698B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81" w:type="pct"/>
                  <w:tcBorders>
                    <w:tl2br w:val="nil"/>
                    <w:tr2bl w:val="nil"/>
                  </w:tcBorders>
                  <w:shd w:val="clear" w:color="auto" w:fill="auto"/>
                  <w:noWrap/>
                  <w:vAlign w:val="center"/>
                </w:tcPr>
                <w:p w14:paraId="76AB800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72D4E9F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64BBC35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00DC002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1D4F4FF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8" w:type="pct"/>
                  <w:tcBorders>
                    <w:tl2br w:val="nil"/>
                    <w:tr2bl w:val="nil"/>
                  </w:tcBorders>
                  <w:shd w:val="clear" w:color="auto" w:fill="auto"/>
                  <w:noWrap/>
                  <w:vAlign w:val="center"/>
                </w:tcPr>
                <w:p w14:paraId="72E3AB6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249" w:type="pct"/>
                  <w:tcBorders>
                    <w:tl2br w:val="nil"/>
                    <w:tr2bl w:val="nil"/>
                  </w:tcBorders>
                  <w:shd w:val="clear" w:color="auto" w:fill="auto"/>
                  <w:noWrap/>
                  <w:vAlign w:val="center"/>
                </w:tcPr>
                <w:p w14:paraId="35B051D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613DA84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617E847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23</w:t>
                  </w:r>
                </w:p>
              </w:tc>
              <w:tc>
                <w:tcPr>
                  <w:tcW w:w="169" w:type="pct"/>
                  <w:vMerge w:val="continue"/>
                  <w:tcBorders>
                    <w:tl2br w:val="nil"/>
                    <w:tr2bl w:val="nil"/>
                  </w:tcBorders>
                  <w:shd w:val="clear" w:color="auto" w:fill="auto"/>
                  <w:noWrap/>
                  <w:vAlign w:val="center"/>
                </w:tcPr>
                <w:p w14:paraId="1BA254DE">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07FCE60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覆膜机</w:t>
                  </w:r>
                </w:p>
              </w:tc>
              <w:tc>
                <w:tcPr>
                  <w:tcW w:w="269" w:type="pct"/>
                  <w:tcBorders>
                    <w:tl2br w:val="nil"/>
                    <w:tr2bl w:val="nil"/>
                  </w:tcBorders>
                  <w:shd w:val="clear" w:color="auto" w:fill="auto"/>
                  <w:noWrap/>
                  <w:vAlign w:val="center"/>
                </w:tcPr>
                <w:p w14:paraId="24C5189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75</w:t>
                  </w:r>
                </w:p>
              </w:tc>
              <w:tc>
                <w:tcPr>
                  <w:tcW w:w="286" w:type="pct"/>
                  <w:vMerge w:val="continue"/>
                  <w:tcBorders>
                    <w:tl2br w:val="nil"/>
                    <w:tr2bl w:val="nil"/>
                  </w:tcBorders>
                  <w:shd w:val="clear" w:color="auto" w:fill="auto"/>
                  <w:noWrap/>
                  <w:vAlign w:val="center"/>
                </w:tcPr>
                <w:p w14:paraId="78EEDCDB">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688AB2FE">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47.5</w:t>
                  </w:r>
                </w:p>
              </w:tc>
              <w:tc>
                <w:tcPr>
                  <w:tcW w:w="281" w:type="pct"/>
                  <w:tcBorders>
                    <w:tl2br w:val="nil"/>
                    <w:tr2bl w:val="nil"/>
                  </w:tcBorders>
                  <w:shd w:val="clear" w:color="auto" w:fill="auto"/>
                  <w:noWrap/>
                  <w:vAlign w:val="center"/>
                </w:tcPr>
                <w:p w14:paraId="5A553926">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66.7</w:t>
                  </w:r>
                </w:p>
              </w:tc>
              <w:tc>
                <w:tcPr>
                  <w:tcW w:w="160" w:type="pct"/>
                  <w:tcBorders>
                    <w:tl2br w:val="nil"/>
                    <w:tr2bl w:val="nil"/>
                  </w:tcBorders>
                  <w:shd w:val="clear" w:color="auto" w:fill="auto"/>
                  <w:noWrap/>
                  <w:vAlign w:val="center"/>
                </w:tcPr>
                <w:p w14:paraId="6FFD72C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297A24B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170" w:type="pct"/>
                  <w:tcBorders>
                    <w:tl2br w:val="nil"/>
                    <w:tr2bl w:val="nil"/>
                  </w:tcBorders>
                  <w:shd w:val="clear" w:color="auto" w:fill="auto"/>
                  <w:noWrap/>
                  <w:vAlign w:val="center"/>
                </w:tcPr>
                <w:p w14:paraId="0E087C2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228" w:type="pct"/>
                  <w:tcBorders>
                    <w:tl2br w:val="nil"/>
                    <w:tr2bl w:val="nil"/>
                  </w:tcBorders>
                  <w:shd w:val="clear" w:color="auto" w:fill="auto"/>
                  <w:noWrap/>
                  <w:vAlign w:val="center"/>
                </w:tcPr>
                <w:p w14:paraId="2B04D51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w:t>
                  </w:r>
                </w:p>
              </w:tc>
              <w:tc>
                <w:tcPr>
                  <w:tcW w:w="174" w:type="pct"/>
                  <w:tcBorders>
                    <w:tl2br w:val="nil"/>
                    <w:tr2bl w:val="nil"/>
                  </w:tcBorders>
                  <w:shd w:val="clear" w:color="auto" w:fill="auto"/>
                  <w:noWrap/>
                  <w:vAlign w:val="center"/>
                </w:tcPr>
                <w:p w14:paraId="3D0E6E6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94" w:type="pct"/>
                  <w:tcBorders>
                    <w:tl2br w:val="nil"/>
                    <w:tr2bl w:val="nil"/>
                  </w:tcBorders>
                  <w:shd w:val="clear" w:color="auto" w:fill="auto"/>
                  <w:noWrap/>
                  <w:vAlign w:val="center"/>
                </w:tcPr>
                <w:p w14:paraId="47A92CA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3EAD3BC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33D5C4A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67</w:t>
                  </w:r>
                </w:p>
              </w:tc>
              <w:tc>
                <w:tcPr>
                  <w:tcW w:w="194" w:type="pct"/>
                  <w:tcBorders>
                    <w:tl2br w:val="nil"/>
                    <w:tr2bl w:val="nil"/>
                  </w:tcBorders>
                  <w:shd w:val="clear" w:color="auto" w:fill="auto"/>
                  <w:noWrap/>
                  <w:vAlign w:val="center"/>
                </w:tcPr>
                <w:p w14:paraId="3B4F757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0495B08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38FBB04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7BF98F8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514D8CE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2450D70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36</w:t>
                  </w:r>
                </w:p>
              </w:tc>
              <w:tc>
                <w:tcPr>
                  <w:tcW w:w="158" w:type="pct"/>
                  <w:tcBorders>
                    <w:tl2br w:val="nil"/>
                    <w:tr2bl w:val="nil"/>
                  </w:tcBorders>
                  <w:shd w:val="clear" w:color="auto" w:fill="auto"/>
                  <w:noWrap/>
                  <w:vAlign w:val="center"/>
                </w:tcPr>
                <w:p w14:paraId="3D1CF21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5D8C141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6D0C0E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79CB6DA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24</w:t>
                  </w:r>
                </w:p>
              </w:tc>
              <w:tc>
                <w:tcPr>
                  <w:tcW w:w="169" w:type="pct"/>
                  <w:vMerge w:val="continue"/>
                  <w:tcBorders>
                    <w:tl2br w:val="nil"/>
                    <w:tr2bl w:val="nil"/>
                  </w:tcBorders>
                  <w:shd w:val="clear" w:color="auto" w:fill="auto"/>
                  <w:noWrap/>
                  <w:vAlign w:val="center"/>
                </w:tcPr>
                <w:p w14:paraId="41F64CE1">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7EE04E8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增厚机</w:t>
                  </w:r>
                </w:p>
              </w:tc>
              <w:tc>
                <w:tcPr>
                  <w:tcW w:w="269" w:type="pct"/>
                  <w:tcBorders>
                    <w:tl2br w:val="nil"/>
                    <w:tr2bl w:val="nil"/>
                  </w:tcBorders>
                  <w:shd w:val="clear" w:color="auto" w:fill="auto"/>
                  <w:noWrap/>
                  <w:vAlign w:val="center"/>
                </w:tcPr>
                <w:p w14:paraId="6467926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75</w:t>
                  </w:r>
                </w:p>
              </w:tc>
              <w:tc>
                <w:tcPr>
                  <w:tcW w:w="286" w:type="pct"/>
                  <w:vMerge w:val="continue"/>
                  <w:tcBorders>
                    <w:tl2br w:val="nil"/>
                    <w:tr2bl w:val="nil"/>
                  </w:tcBorders>
                  <w:shd w:val="clear" w:color="auto" w:fill="auto"/>
                  <w:noWrap/>
                  <w:vAlign w:val="center"/>
                </w:tcPr>
                <w:p w14:paraId="21D8C253">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7E93C216">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46.5</w:t>
                  </w:r>
                </w:p>
              </w:tc>
              <w:tc>
                <w:tcPr>
                  <w:tcW w:w="281" w:type="pct"/>
                  <w:tcBorders>
                    <w:tl2br w:val="nil"/>
                    <w:tr2bl w:val="nil"/>
                  </w:tcBorders>
                  <w:shd w:val="clear" w:color="auto" w:fill="auto"/>
                  <w:noWrap/>
                  <w:vAlign w:val="center"/>
                </w:tcPr>
                <w:p w14:paraId="71B36813">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76.6</w:t>
                  </w:r>
                </w:p>
              </w:tc>
              <w:tc>
                <w:tcPr>
                  <w:tcW w:w="160" w:type="pct"/>
                  <w:tcBorders>
                    <w:tl2br w:val="nil"/>
                    <w:tr2bl w:val="nil"/>
                  </w:tcBorders>
                  <w:shd w:val="clear" w:color="auto" w:fill="auto"/>
                  <w:noWrap/>
                  <w:vAlign w:val="center"/>
                </w:tcPr>
                <w:p w14:paraId="3BB00D9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500A4BE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17</w:t>
                  </w:r>
                </w:p>
              </w:tc>
              <w:tc>
                <w:tcPr>
                  <w:tcW w:w="170" w:type="pct"/>
                  <w:tcBorders>
                    <w:tl2br w:val="nil"/>
                    <w:tr2bl w:val="nil"/>
                  </w:tcBorders>
                  <w:shd w:val="clear" w:color="auto" w:fill="auto"/>
                  <w:noWrap/>
                  <w:vAlign w:val="center"/>
                </w:tcPr>
                <w:p w14:paraId="3356AE0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27</w:t>
                  </w:r>
                </w:p>
              </w:tc>
              <w:tc>
                <w:tcPr>
                  <w:tcW w:w="228" w:type="pct"/>
                  <w:tcBorders>
                    <w:tl2br w:val="nil"/>
                    <w:tr2bl w:val="nil"/>
                  </w:tcBorders>
                  <w:shd w:val="clear" w:color="auto" w:fill="auto"/>
                  <w:noWrap/>
                  <w:vAlign w:val="center"/>
                </w:tcPr>
                <w:p w14:paraId="02E836C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174" w:type="pct"/>
                  <w:tcBorders>
                    <w:tl2br w:val="nil"/>
                    <w:tr2bl w:val="nil"/>
                  </w:tcBorders>
                  <w:shd w:val="clear" w:color="auto" w:fill="auto"/>
                  <w:noWrap/>
                  <w:vAlign w:val="center"/>
                </w:tcPr>
                <w:p w14:paraId="203A2D6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15</w:t>
                  </w:r>
                </w:p>
              </w:tc>
              <w:tc>
                <w:tcPr>
                  <w:tcW w:w="194" w:type="pct"/>
                  <w:tcBorders>
                    <w:tl2br w:val="nil"/>
                    <w:tr2bl w:val="nil"/>
                  </w:tcBorders>
                  <w:shd w:val="clear" w:color="auto" w:fill="auto"/>
                  <w:noWrap/>
                  <w:vAlign w:val="center"/>
                </w:tcPr>
                <w:p w14:paraId="6E0C5EC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17333AF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16FACAB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68</w:t>
                  </w:r>
                </w:p>
              </w:tc>
              <w:tc>
                <w:tcPr>
                  <w:tcW w:w="194" w:type="pct"/>
                  <w:tcBorders>
                    <w:tl2br w:val="nil"/>
                    <w:tr2bl w:val="nil"/>
                  </w:tcBorders>
                  <w:shd w:val="clear" w:color="auto" w:fill="auto"/>
                  <w:noWrap/>
                  <w:vAlign w:val="center"/>
                </w:tcPr>
                <w:p w14:paraId="5C3A95D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3205808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7DD41B3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7C64E3D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0BAFBB3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35A6F48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37</w:t>
                  </w:r>
                </w:p>
              </w:tc>
              <w:tc>
                <w:tcPr>
                  <w:tcW w:w="158" w:type="pct"/>
                  <w:tcBorders>
                    <w:tl2br w:val="nil"/>
                    <w:tr2bl w:val="nil"/>
                  </w:tcBorders>
                  <w:shd w:val="clear" w:color="auto" w:fill="auto"/>
                  <w:noWrap/>
                  <w:vAlign w:val="center"/>
                </w:tcPr>
                <w:p w14:paraId="2142F26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400F38E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0A586E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659E993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69" w:type="pct"/>
                  <w:vMerge w:val="continue"/>
                  <w:tcBorders>
                    <w:tl2br w:val="nil"/>
                    <w:tr2bl w:val="nil"/>
                  </w:tcBorders>
                  <w:shd w:val="clear" w:color="auto" w:fill="auto"/>
                  <w:noWrap/>
                  <w:vAlign w:val="center"/>
                </w:tcPr>
                <w:p w14:paraId="671FF310">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0445309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扎板机</w:t>
                  </w:r>
                </w:p>
              </w:tc>
              <w:tc>
                <w:tcPr>
                  <w:tcW w:w="269" w:type="pct"/>
                  <w:tcBorders>
                    <w:tl2br w:val="nil"/>
                    <w:tr2bl w:val="nil"/>
                  </w:tcBorders>
                  <w:shd w:val="clear" w:color="auto" w:fill="auto"/>
                  <w:noWrap/>
                  <w:vAlign w:val="center"/>
                </w:tcPr>
                <w:p w14:paraId="2F05108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75</w:t>
                  </w:r>
                </w:p>
              </w:tc>
              <w:tc>
                <w:tcPr>
                  <w:tcW w:w="286" w:type="pct"/>
                  <w:vMerge w:val="continue"/>
                  <w:tcBorders>
                    <w:tl2br w:val="nil"/>
                    <w:tr2bl w:val="nil"/>
                  </w:tcBorders>
                  <w:shd w:val="clear" w:color="auto" w:fill="auto"/>
                  <w:noWrap/>
                  <w:vAlign w:val="center"/>
                </w:tcPr>
                <w:p w14:paraId="5FF3D344">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0FF57864">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50.0</w:t>
                  </w:r>
                </w:p>
              </w:tc>
              <w:tc>
                <w:tcPr>
                  <w:tcW w:w="281" w:type="pct"/>
                  <w:tcBorders>
                    <w:tl2br w:val="nil"/>
                    <w:tr2bl w:val="nil"/>
                  </w:tcBorders>
                  <w:shd w:val="clear" w:color="auto" w:fill="auto"/>
                  <w:noWrap/>
                  <w:vAlign w:val="center"/>
                </w:tcPr>
                <w:p w14:paraId="5F9DC408">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79.5</w:t>
                  </w:r>
                </w:p>
              </w:tc>
              <w:tc>
                <w:tcPr>
                  <w:tcW w:w="160" w:type="pct"/>
                  <w:tcBorders>
                    <w:tl2br w:val="nil"/>
                    <w:tr2bl w:val="nil"/>
                  </w:tcBorders>
                  <w:shd w:val="clear" w:color="auto" w:fill="auto"/>
                  <w:noWrap/>
                  <w:vAlign w:val="center"/>
                </w:tcPr>
                <w:p w14:paraId="2706343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3477DEF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70" w:type="pct"/>
                  <w:tcBorders>
                    <w:tl2br w:val="nil"/>
                    <w:tr2bl w:val="nil"/>
                  </w:tcBorders>
                  <w:shd w:val="clear" w:color="auto" w:fill="auto"/>
                  <w:noWrap/>
                  <w:vAlign w:val="center"/>
                </w:tcPr>
                <w:p w14:paraId="5170917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228" w:type="pct"/>
                  <w:tcBorders>
                    <w:tl2br w:val="nil"/>
                    <w:tr2bl w:val="nil"/>
                  </w:tcBorders>
                  <w:shd w:val="clear" w:color="auto" w:fill="auto"/>
                  <w:noWrap/>
                  <w:vAlign w:val="center"/>
                </w:tcPr>
                <w:p w14:paraId="4C2ED1D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74" w:type="pct"/>
                  <w:tcBorders>
                    <w:tl2br w:val="nil"/>
                    <w:tr2bl w:val="nil"/>
                  </w:tcBorders>
                  <w:shd w:val="clear" w:color="auto" w:fill="auto"/>
                  <w:noWrap/>
                  <w:vAlign w:val="center"/>
                </w:tcPr>
                <w:p w14:paraId="4AB31FA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94" w:type="pct"/>
                  <w:tcBorders>
                    <w:tl2br w:val="nil"/>
                    <w:tr2bl w:val="nil"/>
                  </w:tcBorders>
                  <w:shd w:val="clear" w:color="auto" w:fill="auto"/>
                  <w:noWrap/>
                  <w:vAlign w:val="center"/>
                </w:tcPr>
                <w:p w14:paraId="5452BC8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70" w:type="pct"/>
                  <w:tcBorders>
                    <w:tl2br w:val="nil"/>
                    <w:tr2bl w:val="nil"/>
                  </w:tcBorders>
                  <w:shd w:val="clear" w:color="auto" w:fill="auto"/>
                  <w:noWrap/>
                  <w:vAlign w:val="center"/>
                </w:tcPr>
                <w:p w14:paraId="5CCBF5D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08" w:type="pct"/>
                  <w:tcBorders>
                    <w:tl2br w:val="nil"/>
                    <w:tr2bl w:val="nil"/>
                  </w:tcBorders>
                  <w:shd w:val="clear" w:color="auto" w:fill="auto"/>
                  <w:noWrap/>
                  <w:vAlign w:val="center"/>
                </w:tcPr>
                <w:p w14:paraId="6439C87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194" w:type="pct"/>
                  <w:tcBorders>
                    <w:tl2br w:val="nil"/>
                    <w:tr2bl w:val="nil"/>
                  </w:tcBorders>
                  <w:shd w:val="clear" w:color="auto" w:fill="auto"/>
                  <w:noWrap/>
                  <w:vAlign w:val="center"/>
                </w:tcPr>
                <w:p w14:paraId="6E71710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66</w:t>
                  </w:r>
                </w:p>
              </w:tc>
              <w:tc>
                <w:tcPr>
                  <w:tcW w:w="281" w:type="pct"/>
                  <w:tcBorders>
                    <w:tl2br w:val="nil"/>
                    <w:tr2bl w:val="nil"/>
                  </w:tcBorders>
                  <w:shd w:val="clear" w:color="auto" w:fill="auto"/>
                  <w:noWrap/>
                  <w:vAlign w:val="center"/>
                </w:tcPr>
                <w:p w14:paraId="16EA433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7FA4016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100F5F6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7798BF9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7" w:type="pct"/>
                  <w:tcBorders>
                    <w:tl2br w:val="nil"/>
                    <w:tr2bl w:val="nil"/>
                  </w:tcBorders>
                  <w:shd w:val="clear" w:color="auto" w:fill="auto"/>
                  <w:noWrap/>
                  <w:vAlign w:val="center"/>
                </w:tcPr>
                <w:p w14:paraId="019865D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158" w:type="pct"/>
                  <w:tcBorders>
                    <w:tl2br w:val="nil"/>
                    <w:tr2bl w:val="nil"/>
                  </w:tcBorders>
                  <w:shd w:val="clear" w:color="auto" w:fill="auto"/>
                  <w:noWrap/>
                  <w:vAlign w:val="center"/>
                </w:tcPr>
                <w:p w14:paraId="63CE90B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49" w:type="pct"/>
                  <w:tcBorders>
                    <w:tl2br w:val="nil"/>
                    <w:tr2bl w:val="nil"/>
                  </w:tcBorders>
                  <w:shd w:val="clear" w:color="auto" w:fill="auto"/>
                  <w:noWrap/>
                  <w:vAlign w:val="center"/>
                </w:tcPr>
                <w:p w14:paraId="1A53423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63C460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06C769A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26</w:t>
                  </w:r>
                </w:p>
              </w:tc>
              <w:tc>
                <w:tcPr>
                  <w:tcW w:w="169" w:type="pct"/>
                  <w:vMerge w:val="continue"/>
                  <w:tcBorders>
                    <w:tl2br w:val="nil"/>
                    <w:tr2bl w:val="nil"/>
                  </w:tcBorders>
                  <w:shd w:val="clear" w:color="auto" w:fill="auto"/>
                  <w:noWrap/>
                  <w:vAlign w:val="center"/>
                </w:tcPr>
                <w:p w14:paraId="14554876">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1DD09FB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板材裁片机</w:t>
                  </w:r>
                </w:p>
              </w:tc>
              <w:tc>
                <w:tcPr>
                  <w:tcW w:w="269" w:type="pct"/>
                  <w:tcBorders>
                    <w:tl2br w:val="nil"/>
                    <w:tr2bl w:val="nil"/>
                  </w:tcBorders>
                  <w:shd w:val="clear" w:color="auto" w:fill="auto"/>
                  <w:noWrap/>
                  <w:vAlign w:val="center"/>
                </w:tcPr>
                <w:p w14:paraId="0E59061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1DE83424">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4D752BE4">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50.5</w:t>
                  </w:r>
                </w:p>
              </w:tc>
              <w:tc>
                <w:tcPr>
                  <w:tcW w:w="281" w:type="pct"/>
                  <w:tcBorders>
                    <w:tl2br w:val="nil"/>
                    <w:tr2bl w:val="nil"/>
                  </w:tcBorders>
                  <w:shd w:val="clear" w:color="auto" w:fill="auto"/>
                  <w:noWrap/>
                  <w:vAlign w:val="center"/>
                </w:tcPr>
                <w:p w14:paraId="6B61FEE8">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84.9</w:t>
                  </w:r>
                </w:p>
              </w:tc>
              <w:tc>
                <w:tcPr>
                  <w:tcW w:w="160" w:type="pct"/>
                  <w:tcBorders>
                    <w:tl2br w:val="nil"/>
                    <w:tr2bl w:val="nil"/>
                  </w:tcBorders>
                  <w:shd w:val="clear" w:color="auto" w:fill="auto"/>
                  <w:noWrap/>
                  <w:vAlign w:val="center"/>
                </w:tcPr>
                <w:p w14:paraId="31DDB23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131ABDB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70" w:type="pct"/>
                  <w:tcBorders>
                    <w:tl2br w:val="nil"/>
                    <w:tr2bl w:val="nil"/>
                  </w:tcBorders>
                  <w:shd w:val="clear" w:color="auto" w:fill="auto"/>
                  <w:noWrap/>
                  <w:vAlign w:val="center"/>
                </w:tcPr>
                <w:p w14:paraId="288BD38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35</w:t>
                  </w:r>
                </w:p>
              </w:tc>
              <w:tc>
                <w:tcPr>
                  <w:tcW w:w="228" w:type="pct"/>
                  <w:tcBorders>
                    <w:tl2br w:val="nil"/>
                    <w:tr2bl w:val="nil"/>
                  </w:tcBorders>
                  <w:shd w:val="clear" w:color="auto" w:fill="auto"/>
                  <w:noWrap/>
                  <w:vAlign w:val="center"/>
                </w:tcPr>
                <w:p w14:paraId="7567636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74" w:type="pct"/>
                  <w:tcBorders>
                    <w:tl2br w:val="nil"/>
                    <w:tr2bl w:val="nil"/>
                  </w:tcBorders>
                  <w:shd w:val="clear" w:color="auto" w:fill="auto"/>
                  <w:noWrap/>
                  <w:vAlign w:val="center"/>
                </w:tcPr>
                <w:p w14:paraId="3F77611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w:t>
                  </w:r>
                </w:p>
              </w:tc>
              <w:tc>
                <w:tcPr>
                  <w:tcW w:w="194" w:type="pct"/>
                  <w:tcBorders>
                    <w:tl2br w:val="nil"/>
                    <w:tr2bl w:val="nil"/>
                  </w:tcBorders>
                  <w:shd w:val="clear" w:color="auto" w:fill="auto"/>
                  <w:noWrap/>
                  <w:vAlign w:val="center"/>
                </w:tcPr>
                <w:p w14:paraId="21D7707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70" w:type="pct"/>
                  <w:tcBorders>
                    <w:tl2br w:val="nil"/>
                    <w:tr2bl w:val="nil"/>
                  </w:tcBorders>
                  <w:shd w:val="clear" w:color="auto" w:fill="auto"/>
                  <w:noWrap/>
                  <w:vAlign w:val="center"/>
                </w:tcPr>
                <w:p w14:paraId="5F7F9A1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08" w:type="pct"/>
                  <w:tcBorders>
                    <w:tl2br w:val="nil"/>
                    <w:tr2bl w:val="nil"/>
                  </w:tcBorders>
                  <w:shd w:val="clear" w:color="auto" w:fill="auto"/>
                  <w:noWrap/>
                  <w:vAlign w:val="center"/>
                </w:tcPr>
                <w:p w14:paraId="3A28781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94" w:type="pct"/>
                  <w:tcBorders>
                    <w:tl2br w:val="nil"/>
                    <w:tr2bl w:val="nil"/>
                  </w:tcBorders>
                  <w:shd w:val="clear" w:color="auto" w:fill="auto"/>
                  <w:noWrap/>
                  <w:vAlign w:val="center"/>
                </w:tcPr>
                <w:p w14:paraId="4FB2D22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81" w:type="pct"/>
                  <w:tcBorders>
                    <w:tl2br w:val="nil"/>
                    <w:tr2bl w:val="nil"/>
                  </w:tcBorders>
                  <w:shd w:val="clear" w:color="auto" w:fill="auto"/>
                  <w:noWrap/>
                  <w:vAlign w:val="center"/>
                </w:tcPr>
                <w:p w14:paraId="7496106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3918E06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79CE69F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2767E12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785197D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8" w:type="pct"/>
                  <w:tcBorders>
                    <w:tl2br w:val="nil"/>
                    <w:tr2bl w:val="nil"/>
                  </w:tcBorders>
                  <w:shd w:val="clear" w:color="auto" w:fill="auto"/>
                  <w:noWrap/>
                  <w:vAlign w:val="center"/>
                </w:tcPr>
                <w:p w14:paraId="56B3451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249" w:type="pct"/>
                  <w:tcBorders>
                    <w:tl2br w:val="nil"/>
                    <w:tr2bl w:val="nil"/>
                  </w:tcBorders>
                  <w:shd w:val="clear" w:color="auto" w:fill="auto"/>
                  <w:noWrap/>
                  <w:vAlign w:val="center"/>
                </w:tcPr>
                <w:p w14:paraId="38AEB9D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3452C3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26BFB7F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27</w:t>
                  </w:r>
                </w:p>
              </w:tc>
              <w:tc>
                <w:tcPr>
                  <w:tcW w:w="169" w:type="pct"/>
                  <w:vMerge w:val="continue"/>
                  <w:tcBorders>
                    <w:tl2br w:val="nil"/>
                    <w:tr2bl w:val="nil"/>
                  </w:tcBorders>
                  <w:shd w:val="clear" w:color="auto" w:fill="auto"/>
                  <w:noWrap/>
                  <w:vAlign w:val="center"/>
                </w:tcPr>
                <w:p w14:paraId="093E23B8">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7E7207C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板材裁片机</w:t>
                  </w:r>
                </w:p>
              </w:tc>
              <w:tc>
                <w:tcPr>
                  <w:tcW w:w="269" w:type="pct"/>
                  <w:tcBorders>
                    <w:tl2br w:val="nil"/>
                    <w:tr2bl w:val="nil"/>
                  </w:tcBorders>
                  <w:shd w:val="clear" w:color="auto" w:fill="auto"/>
                  <w:noWrap/>
                  <w:vAlign w:val="center"/>
                </w:tcPr>
                <w:p w14:paraId="63D9028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70</w:t>
                  </w:r>
                </w:p>
              </w:tc>
              <w:tc>
                <w:tcPr>
                  <w:tcW w:w="286" w:type="pct"/>
                  <w:vMerge w:val="continue"/>
                  <w:tcBorders>
                    <w:tl2br w:val="nil"/>
                    <w:tr2bl w:val="nil"/>
                  </w:tcBorders>
                  <w:shd w:val="clear" w:color="auto" w:fill="auto"/>
                  <w:noWrap/>
                  <w:vAlign w:val="center"/>
                </w:tcPr>
                <w:p w14:paraId="3406BC2D">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4ADB5389">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57.8</w:t>
                  </w:r>
                </w:p>
              </w:tc>
              <w:tc>
                <w:tcPr>
                  <w:tcW w:w="281" w:type="pct"/>
                  <w:tcBorders>
                    <w:tl2br w:val="nil"/>
                    <w:tr2bl w:val="nil"/>
                  </w:tcBorders>
                  <w:shd w:val="clear" w:color="auto" w:fill="auto"/>
                  <w:noWrap/>
                  <w:vAlign w:val="center"/>
                </w:tcPr>
                <w:p w14:paraId="1A7AA1AD">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85.5</w:t>
                  </w:r>
                </w:p>
              </w:tc>
              <w:tc>
                <w:tcPr>
                  <w:tcW w:w="160" w:type="pct"/>
                  <w:tcBorders>
                    <w:tl2br w:val="nil"/>
                    <w:tr2bl w:val="nil"/>
                  </w:tcBorders>
                  <w:shd w:val="clear" w:color="auto" w:fill="auto"/>
                  <w:noWrap/>
                  <w:vAlign w:val="center"/>
                </w:tcPr>
                <w:p w14:paraId="66A85DF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4CD1C77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70" w:type="pct"/>
                  <w:tcBorders>
                    <w:tl2br w:val="nil"/>
                    <w:tr2bl w:val="nil"/>
                  </w:tcBorders>
                  <w:shd w:val="clear" w:color="auto" w:fill="auto"/>
                  <w:noWrap/>
                  <w:vAlign w:val="center"/>
                </w:tcPr>
                <w:p w14:paraId="3129C63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36</w:t>
                  </w:r>
                </w:p>
              </w:tc>
              <w:tc>
                <w:tcPr>
                  <w:tcW w:w="228" w:type="pct"/>
                  <w:tcBorders>
                    <w:tl2br w:val="nil"/>
                    <w:tr2bl w:val="nil"/>
                  </w:tcBorders>
                  <w:shd w:val="clear" w:color="auto" w:fill="auto"/>
                  <w:noWrap/>
                  <w:vAlign w:val="center"/>
                </w:tcPr>
                <w:p w14:paraId="6808538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13</w:t>
                  </w:r>
                </w:p>
              </w:tc>
              <w:tc>
                <w:tcPr>
                  <w:tcW w:w="174" w:type="pct"/>
                  <w:tcBorders>
                    <w:tl2br w:val="nil"/>
                    <w:tr2bl w:val="nil"/>
                  </w:tcBorders>
                  <w:shd w:val="clear" w:color="auto" w:fill="auto"/>
                  <w:noWrap/>
                  <w:vAlign w:val="center"/>
                </w:tcPr>
                <w:p w14:paraId="04623F2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7</w:t>
                  </w:r>
                </w:p>
              </w:tc>
              <w:tc>
                <w:tcPr>
                  <w:tcW w:w="194" w:type="pct"/>
                  <w:tcBorders>
                    <w:tl2br w:val="nil"/>
                    <w:tr2bl w:val="nil"/>
                  </w:tcBorders>
                  <w:shd w:val="clear" w:color="auto" w:fill="auto"/>
                  <w:noWrap/>
                  <w:vAlign w:val="center"/>
                </w:tcPr>
                <w:p w14:paraId="2D9CBD2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70" w:type="pct"/>
                  <w:tcBorders>
                    <w:tl2br w:val="nil"/>
                    <w:tr2bl w:val="nil"/>
                  </w:tcBorders>
                  <w:shd w:val="clear" w:color="auto" w:fill="auto"/>
                  <w:noWrap/>
                  <w:vAlign w:val="center"/>
                </w:tcPr>
                <w:p w14:paraId="4FF7117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08" w:type="pct"/>
                  <w:tcBorders>
                    <w:tl2br w:val="nil"/>
                    <w:tr2bl w:val="nil"/>
                  </w:tcBorders>
                  <w:shd w:val="clear" w:color="auto" w:fill="auto"/>
                  <w:noWrap/>
                  <w:vAlign w:val="center"/>
                </w:tcPr>
                <w:p w14:paraId="536390E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194" w:type="pct"/>
                  <w:tcBorders>
                    <w:tl2br w:val="nil"/>
                    <w:tr2bl w:val="nil"/>
                  </w:tcBorders>
                  <w:shd w:val="clear" w:color="auto" w:fill="auto"/>
                  <w:noWrap/>
                  <w:vAlign w:val="center"/>
                </w:tcPr>
                <w:p w14:paraId="19C91FE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61</w:t>
                  </w:r>
                </w:p>
              </w:tc>
              <w:tc>
                <w:tcPr>
                  <w:tcW w:w="281" w:type="pct"/>
                  <w:tcBorders>
                    <w:tl2br w:val="nil"/>
                    <w:tr2bl w:val="nil"/>
                  </w:tcBorders>
                  <w:shd w:val="clear" w:color="auto" w:fill="auto"/>
                  <w:noWrap/>
                  <w:vAlign w:val="center"/>
                </w:tcPr>
                <w:p w14:paraId="341AE859">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61D19C9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700314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06813B2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7" w:type="pct"/>
                  <w:tcBorders>
                    <w:tl2br w:val="nil"/>
                    <w:tr2bl w:val="nil"/>
                  </w:tcBorders>
                  <w:shd w:val="clear" w:color="auto" w:fill="auto"/>
                  <w:noWrap/>
                  <w:vAlign w:val="center"/>
                </w:tcPr>
                <w:p w14:paraId="16C180B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58" w:type="pct"/>
                  <w:tcBorders>
                    <w:tl2br w:val="nil"/>
                    <w:tr2bl w:val="nil"/>
                  </w:tcBorders>
                  <w:shd w:val="clear" w:color="auto" w:fill="auto"/>
                  <w:noWrap/>
                  <w:vAlign w:val="center"/>
                </w:tcPr>
                <w:p w14:paraId="4F99E77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249" w:type="pct"/>
                  <w:tcBorders>
                    <w:tl2br w:val="nil"/>
                    <w:tr2bl w:val="nil"/>
                  </w:tcBorders>
                  <w:shd w:val="clear" w:color="auto" w:fill="auto"/>
                  <w:noWrap/>
                  <w:vAlign w:val="center"/>
                </w:tcPr>
                <w:p w14:paraId="6C63F13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1D9710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6BC269E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28</w:t>
                  </w:r>
                </w:p>
              </w:tc>
              <w:tc>
                <w:tcPr>
                  <w:tcW w:w="169" w:type="pct"/>
                  <w:vMerge w:val="restart"/>
                  <w:tcBorders>
                    <w:tl2br w:val="nil"/>
                    <w:tr2bl w:val="nil"/>
                  </w:tcBorders>
                  <w:shd w:val="clear" w:color="auto" w:fill="auto"/>
                  <w:noWrap/>
                  <w:vAlign w:val="center"/>
                </w:tcPr>
                <w:p w14:paraId="3B20126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裁切</w:t>
                  </w:r>
                </w:p>
                <w:p w14:paraId="21C847E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车间</w:t>
                  </w:r>
                </w:p>
              </w:tc>
              <w:tc>
                <w:tcPr>
                  <w:tcW w:w="380" w:type="pct"/>
                  <w:tcBorders>
                    <w:tl2br w:val="nil"/>
                    <w:tr2bl w:val="nil"/>
                  </w:tcBorders>
                  <w:shd w:val="clear" w:color="auto" w:fill="auto"/>
                  <w:noWrap/>
                  <w:vAlign w:val="center"/>
                </w:tcPr>
                <w:p w14:paraId="6C63CCA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卷材裁切机1</w:t>
                  </w:r>
                </w:p>
              </w:tc>
              <w:tc>
                <w:tcPr>
                  <w:tcW w:w="269" w:type="pct"/>
                  <w:tcBorders>
                    <w:tl2br w:val="nil"/>
                    <w:tr2bl w:val="nil"/>
                  </w:tcBorders>
                  <w:shd w:val="clear" w:color="auto" w:fill="auto"/>
                  <w:noWrap/>
                  <w:vAlign w:val="center"/>
                </w:tcPr>
                <w:p w14:paraId="7E89B79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65</w:t>
                  </w:r>
                </w:p>
              </w:tc>
              <w:tc>
                <w:tcPr>
                  <w:tcW w:w="286" w:type="pct"/>
                  <w:vMerge w:val="continue"/>
                  <w:tcBorders>
                    <w:tl2br w:val="nil"/>
                    <w:tr2bl w:val="nil"/>
                  </w:tcBorders>
                  <w:shd w:val="clear" w:color="auto" w:fill="auto"/>
                  <w:noWrap/>
                  <w:vAlign w:val="center"/>
                </w:tcPr>
                <w:p w14:paraId="5C5BF62B">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41D3424B">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44.3</w:t>
                  </w:r>
                </w:p>
              </w:tc>
              <w:tc>
                <w:tcPr>
                  <w:tcW w:w="281" w:type="pct"/>
                  <w:tcBorders>
                    <w:tl2br w:val="nil"/>
                    <w:tr2bl w:val="nil"/>
                  </w:tcBorders>
                  <w:shd w:val="clear" w:color="auto" w:fill="auto"/>
                  <w:noWrap/>
                  <w:vAlign w:val="center"/>
                </w:tcPr>
                <w:p w14:paraId="4CFB64CF">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98.9</w:t>
                  </w:r>
                </w:p>
              </w:tc>
              <w:tc>
                <w:tcPr>
                  <w:tcW w:w="160" w:type="pct"/>
                  <w:tcBorders>
                    <w:tl2br w:val="nil"/>
                    <w:tr2bl w:val="nil"/>
                  </w:tcBorders>
                  <w:shd w:val="clear" w:color="auto" w:fill="auto"/>
                  <w:noWrap/>
                  <w:vAlign w:val="center"/>
                </w:tcPr>
                <w:p w14:paraId="4BF1D90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02BF313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w:t>
                  </w:r>
                </w:p>
              </w:tc>
              <w:tc>
                <w:tcPr>
                  <w:tcW w:w="170" w:type="pct"/>
                  <w:tcBorders>
                    <w:tl2br w:val="nil"/>
                    <w:tr2bl w:val="nil"/>
                  </w:tcBorders>
                  <w:shd w:val="clear" w:color="auto" w:fill="auto"/>
                  <w:noWrap/>
                  <w:vAlign w:val="center"/>
                </w:tcPr>
                <w:p w14:paraId="1BDBD85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228" w:type="pct"/>
                  <w:tcBorders>
                    <w:tl2br w:val="nil"/>
                    <w:tr2bl w:val="nil"/>
                  </w:tcBorders>
                  <w:shd w:val="clear" w:color="auto" w:fill="auto"/>
                  <w:noWrap/>
                  <w:vAlign w:val="center"/>
                </w:tcPr>
                <w:p w14:paraId="01DD46D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w:t>
                  </w:r>
                </w:p>
              </w:tc>
              <w:tc>
                <w:tcPr>
                  <w:tcW w:w="174" w:type="pct"/>
                  <w:tcBorders>
                    <w:tl2br w:val="nil"/>
                    <w:tr2bl w:val="nil"/>
                  </w:tcBorders>
                  <w:shd w:val="clear" w:color="auto" w:fill="auto"/>
                  <w:noWrap/>
                  <w:vAlign w:val="center"/>
                </w:tcPr>
                <w:p w14:paraId="65E1640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16</w:t>
                  </w:r>
                </w:p>
              </w:tc>
              <w:tc>
                <w:tcPr>
                  <w:tcW w:w="194" w:type="pct"/>
                  <w:tcBorders>
                    <w:tl2br w:val="nil"/>
                    <w:tr2bl w:val="nil"/>
                  </w:tcBorders>
                  <w:shd w:val="clear" w:color="auto" w:fill="auto"/>
                  <w:noWrap/>
                  <w:vAlign w:val="center"/>
                </w:tcPr>
                <w:p w14:paraId="2C19B8F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60</w:t>
                  </w:r>
                </w:p>
              </w:tc>
              <w:tc>
                <w:tcPr>
                  <w:tcW w:w="170" w:type="pct"/>
                  <w:tcBorders>
                    <w:tl2br w:val="nil"/>
                    <w:tr2bl w:val="nil"/>
                  </w:tcBorders>
                  <w:shd w:val="clear" w:color="auto" w:fill="auto"/>
                  <w:noWrap/>
                  <w:vAlign w:val="center"/>
                </w:tcPr>
                <w:p w14:paraId="678738C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60</w:t>
                  </w:r>
                </w:p>
              </w:tc>
              <w:tc>
                <w:tcPr>
                  <w:tcW w:w="208" w:type="pct"/>
                  <w:tcBorders>
                    <w:tl2br w:val="nil"/>
                    <w:tr2bl w:val="nil"/>
                  </w:tcBorders>
                  <w:shd w:val="clear" w:color="auto" w:fill="auto"/>
                  <w:noWrap/>
                  <w:vAlign w:val="center"/>
                </w:tcPr>
                <w:p w14:paraId="60AB6C7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60</w:t>
                  </w:r>
                </w:p>
              </w:tc>
              <w:tc>
                <w:tcPr>
                  <w:tcW w:w="194" w:type="pct"/>
                  <w:tcBorders>
                    <w:tl2br w:val="nil"/>
                    <w:tr2bl w:val="nil"/>
                  </w:tcBorders>
                  <w:shd w:val="clear" w:color="auto" w:fill="auto"/>
                  <w:noWrap/>
                  <w:vAlign w:val="center"/>
                </w:tcPr>
                <w:p w14:paraId="7F472C5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60</w:t>
                  </w:r>
                </w:p>
              </w:tc>
              <w:tc>
                <w:tcPr>
                  <w:tcW w:w="281" w:type="pct"/>
                  <w:tcBorders>
                    <w:tl2br w:val="nil"/>
                    <w:tr2bl w:val="nil"/>
                  </w:tcBorders>
                  <w:shd w:val="clear" w:color="auto" w:fill="auto"/>
                  <w:noWrap/>
                  <w:vAlign w:val="center"/>
                </w:tcPr>
                <w:p w14:paraId="3CC3269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3C43FDF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5E28BFC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157" w:type="pct"/>
                  <w:tcBorders>
                    <w:tl2br w:val="nil"/>
                    <w:tr2bl w:val="nil"/>
                  </w:tcBorders>
                  <w:shd w:val="clear" w:color="auto" w:fill="auto"/>
                  <w:noWrap/>
                  <w:vAlign w:val="center"/>
                </w:tcPr>
                <w:p w14:paraId="7E6947C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157" w:type="pct"/>
                  <w:tcBorders>
                    <w:tl2br w:val="nil"/>
                    <w:tr2bl w:val="nil"/>
                  </w:tcBorders>
                  <w:shd w:val="clear" w:color="auto" w:fill="auto"/>
                  <w:noWrap/>
                  <w:vAlign w:val="center"/>
                </w:tcPr>
                <w:p w14:paraId="33151D8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158" w:type="pct"/>
                  <w:tcBorders>
                    <w:tl2br w:val="nil"/>
                    <w:tr2bl w:val="nil"/>
                  </w:tcBorders>
                  <w:shd w:val="clear" w:color="auto" w:fill="auto"/>
                  <w:noWrap/>
                  <w:vAlign w:val="center"/>
                </w:tcPr>
                <w:p w14:paraId="2480DE0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249" w:type="pct"/>
                  <w:tcBorders>
                    <w:tl2br w:val="nil"/>
                    <w:tr2bl w:val="nil"/>
                  </w:tcBorders>
                  <w:shd w:val="clear" w:color="auto" w:fill="auto"/>
                  <w:noWrap/>
                  <w:vAlign w:val="center"/>
                </w:tcPr>
                <w:p w14:paraId="40824A1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2D3F73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4AD5571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169" w:type="pct"/>
                  <w:vMerge w:val="continue"/>
                  <w:tcBorders>
                    <w:tl2br w:val="nil"/>
                    <w:tr2bl w:val="nil"/>
                  </w:tcBorders>
                  <w:shd w:val="clear" w:color="auto" w:fill="auto"/>
                  <w:noWrap/>
                  <w:vAlign w:val="center"/>
                </w:tcPr>
                <w:p w14:paraId="284C329B">
                  <w:pPr>
                    <w:spacing w:line="240" w:lineRule="auto"/>
                    <w:ind w:firstLine="0" w:firstLineChars="0"/>
                    <w:jc w:val="center"/>
                    <w:rPr>
                      <w:rFonts w:hint="default" w:ascii="Times New Roman" w:hAnsi="Times New Roman" w:cs="Times New Roman"/>
                      <w:color w:val="auto"/>
                      <w:sz w:val="19"/>
                      <w:szCs w:val="19"/>
                    </w:rPr>
                  </w:pPr>
                </w:p>
              </w:tc>
              <w:tc>
                <w:tcPr>
                  <w:tcW w:w="380" w:type="pct"/>
                  <w:tcBorders>
                    <w:tl2br w:val="nil"/>
                    <w:tr2bl w:val="nil"/>
                  </w:tcBorders>
                  <w:shd w:val="clear" w:color="auto" w:fill="auto"/>
                  <w:noWrap/>
                  <w:vAlign w:val="center"/>
                </w:tcPr>
                <w:p w14:paraId="38F1E67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卷材裁切机2</w:t>
                  </w:r>
                </w:p>
              </w:tc>
              <w:tc>
                <w:tcPr>
                  <w:tcW w:w="269" w:type="pct"/>
                  <w:tcBorders>
                    <w:tl2br w:val="nil"/>
                    <w:tr2bl w:val="nil"/>
                  </w:tcBorders>
                  <w:shd w:val="clear" w:color="auto" w:fill="auto"/>
                  <w:noWrap/>
                  <w:vAlign w:val="center"/>
                </w:tcPr>
                <w:p w14:paraId="04B0A5F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65</w:t>
                  </w:r>
                </w:p>
              </w:tc>
              <w:tc>
                <w:tcPr>
                  <w:tcW w:w="286" w:type="pct"/>
                  <w:vMerge w:val="continue"/>
                  <w:tcBorders>
                    <w:tl2br w:val="nil"/>
                    <w:tr2bl w:val="nil"/>
                  </w:tcBorders>
                  <w:shd w:val="clear" w:color="auto" w:fill="auto"/>
                  <w:noWrap/>
                  <w:vAlign w:val="center"/>
                </w:tcPr>
                <w:p w14:paraId="59F487D7">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4B427EF7">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55.3</w:t>
                  </w:r>
                </w:p>
              </w:tc>
              <w:tc>
                <w:tcPr>
                  <w:tcW w:w="281" w:type="pct"/>
                  <w:tcBorders>
                    <w:tl2br w:val="nil"/>
                    <w:tr2bl w:val="nil"/>
                  </w:tcBorders>
                  <w:shd w:val="clear" w:color="auto" w:fill="auto"/>
                  <w:noWrap/>
                  <w:vAlign w:val="center"/>
                </w:tcPr>
                <w:p w14:paraId="4A27F5D0">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99.3</w:t>
                  </w:r>
                </w:p>
              </w:tc>
              <w:tc>
                <w:tcPr>
                  <w:tcW w:w="160" w:type="pct"/>
                  <w:tcBorders>
                    <w:tl2br w:val="nil"/>
                    <w:tr2bl w:val="nil"/>
                  </w:tcBorders>
                  <w:shd w:val="clear" w:color="auto" w:fill="auto"/>
                  <w:noWrap/>
                  <w:vAlign w:val="center"/>
                </w:tcPr>
                <w:p w14:paraId="4B37AC7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4919605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w:t>
                  </w:r>
                </w:p>
              </w:tc>
              <w:tc>
                <w:tcPr>
                  <w:tcW w:w="170" w:type="pct"/>
                  <w:tcBorders>
                    <w:tl2br w:val="nil"/>
                    <w:tr2bl w:val="nil"/>
                  </w:tcBorders>
                  <w:shd w:val="clear" w:color="auto" w:fill="auto"/>
                  <w:noWrap/>
                  <w:vAlign w:val="center"/>
                </w:tcPr>
                <w:p w14:paraId="69D9B594">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16</w:t>
                  </w:r>
                </w:p>
              </w:tc>
              <w:tc>
                <w:tcPr>
                  <w:tcW w:w="228" w:type="pct"/>
                  <w:tcBorders>
                    <w:tl2br w:val="nil"/>
                    <w:tr2bl w:val="nil"/>
                  </w:tcBorders>
                  <w:shd w:val="clear" w:color="auto" w:fill="auto"/>
                  <w:noWrap/>
                  <w:vAlign w:val="center"/>
                </w:tcPr>
                <w:p w14:paraId="465CEE0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w:t>
                  </w:r>
                </w:p>
              </w:tc>
              <w:tc>
                <w:tcPr>
                  <w:tcW w:w="174" w:type="pct"/>
                  <w:tcBorders>
                    <w:tl2br w:val="nil"/>
                    <w:tr2bl w:val="nil"/>
                  </w:tcBorders>
                  <w:shd w:val="clear" w:color="auto" w:fill="auto"/>
                  <w:noWrap/>
                  <w:vAlign w:val="center"/>
                </w:tcPr>
                <w:p w14:paraId="1B9F5D5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194" w:type="pct"/>
                  <w:tcBorders>
                    <w:tl2br w:val="nil"/>
                    <w:tr2bl w:val="nil"/>
                  </w:tcBorders>
                  <w:shd w:val="clear" w:color="auto" w:fill="auto"/>
                  <w:noWrap/>
                  <w:vAlign w:val="center"/>
                </w:tcPr>
                <w:p w14:paraId="4E353E4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60</w:t>
                  </w:r>
                </w:p>
              </w:tc>
              <w:tc>
                <w:tcPr>
                  <w:tcW w:w="170" w:type="pct"/>
                  <w:tcBorders>
                    <w:tl2br w:val="nil"/>
                    <w:tr2bl w:val="nil"/>
                  </w:tcBorders>
                  <w:shd w:val="clear" w:color="auto" w:fill="auto"/>
                  <w:noWrap/>
                  <w:vAlign w:val="center"/>
                </w:tcPr>
                <w:p w14:paraId="148F4D3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60</w:t>
                  </w:r>
                </w:p>
              </w:tc>
              <w:tc>
                <w:tcPr>
                  <w:tcW w:w="208" w:type="pct"/>
                  <w:tcBorders>
                    <w:tl2br w:val="nil"/>
                    <w:tr2bl w:val="nil"/>
                  </w:tcBorders>
                  <w:shd w:val="clear" w:color="auto" w:fill="auto"/>
                  <w:noWrap/>
                  <w:vAlign w:val="center"/>
                </w:tcPr>
                <w:p w14:paraId="73B70A6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60</w:t>
                  </w:r>
                </w:p>
              </w:tc>
              <w:tc>
                <w:tcPr>
                  <w:tcW w:w="194" w:type="pct"/>
                  <w:tcBorders>
                    <w:tl2br w:val="nil"/>
                    <w:tr2bl w:val="nil"/>
                  </w:tcBorders>
                  <w:shd w:val="clear" w:color="auto" w:fill="auto"/>
                  <w:noWrap/>
                  <w:vAlign w:val="center"/>
                </w:tcPr>
                <w:p w14:paraId="7E319ED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60</w:t>
                  </w:r>
                </w:p>
              </w:tc>
              <w:tc>
                <w:tcPr>
                  <w:tcW w:w="281" w:type="pct"/>
                  <w:tcBorders>
                    <w:tl2br w:val="nil"/>
                    <w:tr2bl w:val="nil"/>
                  </w:tcBorders>
                  <w:shd w:val="clear" w:color="auto" w:fill="auto"/>
                  <w:noWrap/>
                  <w:vAlign w:val="center"/>
                </w:tcPr>
                <w:p w14:paraId="267E2C9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3F05D96C">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25</w:t>
                  </w:r>
                </w:p>
              </w:tc>
              <w:tc>
                <w:tcPr>
                  <w:tcW w:w="157" w:type="pct"/>
                  <w:tcBorders>
                    <w:tl2br w:val="nil"/>
                    <w:tr2bl w:val="nil"/>
                  </w:tcBorders>
                  <w:shd w:val="clear" w:color="auto" w:fill="auto"/>
                  <w:noWrap/>
                  <w:vAlign w:val="center"/>
                </w:tcPr>
                <w:p w14:paraId="30D7D65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157" w:type="pct"/>
                  <w:tcBorders>
                    <w:tl2br w:val="nil"/>
                    <w:tr2bl w:val="nil"/>
                  </w:tcBorders>
                  <w:shd w:val="clear" w:color="auto" w:fill="auto"/>
                  <w:noWrap/>
                  <w:vAlign w:val="center"/>
                </w:tcPr>
                <w:p w14:paraId="70F91C61">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157" w:type="pct"/>
                  <w:tcBorders>
                    <w:tl2br w:val="nil"/>
                    <w:tr2bl w:val="nil"/>
                  </w:tcBorders>
                  <w:shd w:val="clear" w:color="auto" w:fill="auto"/>
                  <w:noWrap/>
                  <w:vAlign w:val="center"/>
                </w:tcPr>
                <w:p w14:paraId="5B12BD7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158" w:type="pct"/>
                  <w:tcBorders>
                    <w:tl2br w:val="nil"/>
                    <w:tr2bl w:val="nil"/>
                  </w:tcBorders>
                  <w:shd w:val="clear" w:color="auto" w:fill="auto"/>
                  <w:noWrap/>
                  <w:vAlign w:val="center"/>
                </w:tcPr>
                <w:p w14:paraId="2BFFC03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29</w:t>
                  </w:r>
                </w:p>
              </w:tc>
              <w:tc>
                <w:tcPr>
                  <w:tcW w:w="249" w:type="pct"/>
                  <w:tcBorders>
                    <w:tl2br w:val="nil"/>
                    <w:tr2bl w:val="nil"/>
                  </w:tcBorders>
                  <w:shd w:val="clear" w:color="auto" w:fill="auto"/>
                  <w:noWrap/>
                  <w:vAlign w:val="center"/>
                </w:tcPr>
                <w:p w14:paraId="3ADD12A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r w14:paraId="531853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0" w:type="pct"/>
                  <w:tcBorders>
                    <w:tl2br w:val="nil"/>
                    <w:tr2bl w:val="nil"/>
                  </w:tcBorders>
                  <w:shd w:val="clear" w:color="auto" w:fill="auto"/>
                  <w:noWrap/>
                  <w:vAlign w:val="center"/>
                </w:tcPr>
                <w:p w14:paraId="6F23726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30</w:t>
                  </w:r>
                </w:p>
              </w:tc>
              <w:tc>
                <w:tcPr>
                  <w:tcW w:w="169" w:type="pct"/>
                  <w:tcBorders>
                    <w:tl2br w:val="nil"/>
                    <w:tr2bl w:val="nil"/>
                  </w:tcBorders>
                  <w:shd w:val="clear" w:color="auto" w:fill="auto"/>
                  <w:noWrap/>
                  <w:vAlign w:val="center"/>
                </w:tcPr>
                <w:p w14:paraId="5E4BBA4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回收</w:t>
                  </w:r>
                </w:p>
                <w:p w14:paraId="64E8B42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车间</w:t>
                  </w:r>
                </w:p>
              </w:tc>
              <w:tc>
                <w:tcPr>
                  <w:tcW w:w="380" w:type="pct"/>
                  <w:tcBorders>
                    <w:tl2br w:val="nil"/>
                    <w:tr2bl w:val="nil"/>
                  </w:tcBorders>
                  <w:shd w:val="clear" w:color="auto" w:fill="auto"/>
                  <w:noWrap/>
                  <w:vAlign w:val="center"/>
                </w:tcPr>
                <w:p w14:paraId="6C6C25A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造粒机</w:t>
                  </w:r>
                </w:p>
              </w:tc>
              <w:tc>
                <w:tcPr>
                  <w:tcW w:w="269" w:type="pct"/>
                  <w:tcBorders>
                    <w:tl2br w:val="nil"/>
                    <w:tr2bl w:val="nil"/>
                  </w:tcBorders>
                  <w:shd w:val="clear" w:color="auto" w:fill="auto"/>
                  <w:noWrap/>
                  <w:vAlign w:val="center"/>
                </w:tcPr>
                <w:p w14:paraId="6D354923">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80</w:t>
                  </w:r>
                </w:p>
              </w:tc>
              <w:tc>
                <w:tcPr>
                  <w:tcW w:w="286" w:type="pct"/>
                  <w:vMerge w:val="continue"/>
                  <w:tcBorders>
                    <w:tl2br w:val="nil"/>
                    <w:tr2bl w:val="nil"/>
                  </w:tcBorders>
                  <w:shd w:val="clear" w:color="auto" w:fill="auto"/>
                  <w:noWrap/>
                  <w:vAlign w:val="center"/>
                </w:tcPr>
                <w:p w14:paraId="3B16909A">
                  <w:pPr>
                    <w:spacing w:line="240" w:lineRule="auto"/>
                    <w:ind w:firstLine="0" w:firstLineChars="0"/>
                    <w:jc w:val="center"/>
                    <w:rPr>
                      <w:rFonts w:hint="default" w:ascii="Times New Roman" w:hAnsi="Times New Roman" w:cs="Times New Roman"/>
                      <w:color w:val="auto"/>
                      <w:sz w:val="19"/>
                      <w:szCs w:val="19"/>
                    </w:rPr>
                  </w:pPr>
                </w:p>
              </w:tc>
              <w:tc>
                <w:tcPr>
                  <w:tcW w:w="289" w:type="pct"/>
                  <w:tcBorders>
                    <w:tl2br w:val="nil"/>
                    <w:tr2bl w:val="nil"/>
                  </w:tcBorders>
                  <w:shd w:val="clear" w:color="auto" w:fill="auto"/>
                  <w:noWrap/>
                  <w:vAlign w:val="center"/>
                </w:tcPr>
                <w:p w14:paraId="6D0539D8">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14.7</w:t>
                  </w:r>
                </w:p>
              </w:tc>
              <w:tc>
                <w:tcPr>
                  <w:tcW w:w="281" w:type="pct"/>
                  <w:tcBorders>
                    <w:tl2br w:val="nil"/>
                    <w:tr2bl w:val="nil"/>
                  </w:tcBorders>
                  <w:shd w:val="clear" w:color="auto" w:fill="auto"/>
                  <w:noWrap/>
                  <w:vAlign w:val="center"/>
                </w:tcPr>
                <w:p w14:paraId="505CCEB8">
                  <w:pPr>
                    <w:widowControl/>
                    <w:spacing w:line="240" w:lineRule="auto"/>
                    <w:ind w:firstLine="0" w:firstLineChars="0"/>
                    <w:jc w:val="center"/>
                    <w:textAlignment w:val="center"/>
                    <w:rPr>
                      <w:rFonts w:hint="default" w:ascii="Times New Roman" w:hAnsi="Times New Roman" w:cs="Times New Roman"/>
                      <w:color w:val="auto"/>
                      <w:sz w:val="19"/>
                      <w:szCs w:val="19"/>
                    </w:rPr>
                  </w:pPr>
                  <w:r>
                    <w:rPr>
                      <w:rFonts w:hint="default" w:ascii="Times New Roman" w:hAnsi="Times New Roman" w:cs="Times New Roman"/>
                      <w:color w:val="auto"/>
                      <w:kern w:val="0"/>
                      <w:sz w:val="19"/>
                      <w:szCs w:val="19"/>
                      <w:lang w:bidi="ar"/>
                    </w:rPr>
                    <w:t>101.0</w:t>
                  </w:r>
                </w:p>
              </w:tc>
              <w:tc>
                <w:tcPr>
                  <w:tcW w:w="160" w:type="pct"/>
                  <w:tcBorders>
                    <w:tl2br w:val="nil"/>
                    <w:tr2bl w:val="nil"/>
                  </w:tcBorders>
                  <w:shd w:val="clear" w:color="auto" w:fill="auto"/>
                  <w:noWrap/>
                  <w:vAlign w:val="center"/>
                </w:tcPr>
                <w:p w14:paraId="762976C8">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223" w:type="pct"/>
                  <w:tcBorders>
                    <w:tl2br w:val="nil"/>
                    <w:tr2bl w:val="nil"/>
                  </w:tcBorders>
                  <w:shd w:val="clear" w:color="auto" w:fill="auto"/>
                  <w:noWrap/>
                  <w:vAlign w:val="center"/>
                </w:tcPr>
                <w:p w14:paraId="37FE90CD">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w:t>
                  </w:r>
                </w:p>
              </w:tc>
              <w:tc>
                <w:tcPr>
                  <w:tcW w:w="170" w:type="pct"/>
                  <w:tcBorders>
                    <w:tl2br w:val="nil"/>
                    <w:tr2bl w:val="nil"/>
                  </w:tcBorders>
                  <w:shd w:val="clear" w:color="auto" w:fill="auto"/>
                  <w:noWrap/>
                  <w:vAlign w:val="center"/>
                </w:tcPr>
                <w:p w14:paraId="1086CE4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w:t>
                  </w:r>
                </w:p>
              </w:tc>
              <w:tc>
                <w:tcPr>
                  <w:tcW w:w="228" w:type="pct"/>
                  <w:tcBorders>
                    <w:tl2br w:val="nil"/>
                    <w:tr2bl w:val="nil"/>
                  </w:tcBorders>
                  <w:shd w:val="clear" w:color="auto" w:fill="auto"/>
                  <w:noWrap/>
                  <w:vAlign w:val="center"/>
                </w:tcPr>
                <w:p w14:paraId="2C7D83F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c>
                <w:tcPr>
                  <w:tcW w:w="174" w:type="pct"/>
                  <w:tcBorders>
                    <w:tl2br w:val="nil"/>
                    <w:tr2bl w:val="nil"/>
                  </w:tcBorders>
                  <w:shd w:val="clear" w:color="auto" w:fill="auto"/>
                  <w:noWrap/>
                  <w:vAlign w:val="center"/>
                </w:tcPr>
                <w:p w14:paraId="3054F8DB">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10</w:t>
                  </w:r>
                </w:p>
              </w:tc>
              <w:tc>
                <w:tcPr>
                  <w:tcW w:w="194" w:type="pct"/>
                  <w:tcBorders>
                    <w:tl2br w:val="nil"/>
                    <w:tr2bl w:val="nil"/>
                  </w:tcBorders>
                  <w:shd w:val="clear" w:color="auto" w:fill="auto"/>
                  <w:noWrap/>
                  <w:vAlign w:val="center"/>
                </w:tcPr>
                <w:p w14:paraId="4C6D13BF">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82</w:t>
                  </w:r>
                </w:p>
              </w:tc>
              <w:tc>
                <w:tcPr>
                  <w:tcW w:w="170" w:type="pct"/>
                  <w:tcBorders>
                    <w:tl2br w:val="nil"/>
                    <w:tr2bl w:val="nil"/>
                  </w:tcBorders>
                  <w:shd w:val="clear" w:color="auto" w:fill="auto"/>
                  <w:noWrap/>
                  <w:vAlign w:val="center"/>
                </w:tcPr>
                <w:p w14:paraId="0F9C0D65">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82</w:t>
                  </w:r>
                </w:p>
              </w:tc>
              <w:tc>
                <w:tcPr>
                  <w:tcW w:w="208" w:type="pct"/>
                  <w:tcBorders>
                    <w:tl2br w:val="nil"/>
                    <w:tr2bl w:val="nil"/>
                  </w:tcBorders>
                  <w:shd w:val="clear" w:color="auto" w:fill="auto"/>
                  <w:noWrap/>
                  <w:vAlign w:val="center"/>
                </w:tcPr>
                <w:p w14:paraId="1A18ACB0">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82</w:t>
                  </w:r>
                </w:p>
              </w:tc>
              <w:tc>
                <w:tcPr>
                  <w:tcW w:w="194" w:type="pct"/>
                  <w:tcBorders>
                    <w:tl2br w:val="nil"/>
                    <w:tr2bl w:val="nil"/>
                  </w:tcBorders>
                  <w:shd w:val="clear" w:color="auto" w:fill="auto"/>
                  <w:noWrap/>
                  <w:vAlign w:val="center"/>
                </w:tcPr>
                <w:p w14:paraId="67D44107">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82</w:t>
                  </w:r>
                </w:p>
              </w:tc>
              <w:tc>
                <w:tcPr>
                  <w:tcW w:w="281" w:type="pct"/>
                  <w:tcBorders>
                    <w:tl2br w:val="nil"/>
                    <w:tr2bl w:val="nil"/>
                  </w:tcBorders>
                  <w:shd w:val="clear" w:color="auto" w:fill="auto"/>
                  <w:noWrap/>
                  <w:vAlign w:val="center"/>
                </w:tcPr>
                <w:p w14:paraId="1D507C3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昼间</w:t>
                  </w:r>
                </w:p>
              </w:tc>
              <w:tc>
                <w:tcPr>
                  <w:tcW w:w="267" w:type="pct"/>
                  <w:tcBorders>
                    <w:tl2br w:val="nil"/>
                    <w:tr2bl w:val="nil"/>
                  </w:tcBorders>
                  <w:shd w:val="clear" w:color="auto" w:fill="auto"/>
                  <w:noWrap/>
                  <w:vAlign w:val="center"/>
                </w:tcPr>
                <w:p w14:paraId="7928E42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20</w:t>
                  </w:r>
                </w:p>
              </w:tc>
              <w:tc>
                <w:tcPr>
                  <w:tcW w:w="157" w:type="pct"/>
                  <w:tcBorders>
                    <w:tl2br w:val="nil"/>
                    <w:tr2bl w:val="nil"/>
                  </w:tcBorders>
                  <w:shd w:val="clear" w:color="auto" w:fill="auto"/>
                  <w:noWrap/>
                  <w:vAlign w:val="center"/>
                </w:tcPr>
                <w:p w14:paraId="57307772">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51</w:t>
                  </w:r>
                </w:p>
              </w:tc>
              <w:tc>
                <w:tcPr>
                  <w:tcW w:w="157" w:type="pct"/>
                  <w:tcBorders>
                    <w:tl2br w:val="nil"/>
                    <w:tr2bl w:val="nil"/>
                  </w:tcBorders>
                  <w:shd w:val="clear" w:color="auto" w:fill="auto"/>
                  <w:noWrap/>
                  <w:vAlign w:val="center"/>
                </w:tcPr>
                <w:p w14:paraId="3F612A16">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51</w:t>
                  </w:r>
                </w:p>
              </w:tc>
              <w:tc>
                <w:tcPr>
                  <w:tcW w:w="157" w:type="pct"/>
                  <w:tcBorders>
                    <w:tl2br w:val="nil"/>
                    <w:tr2bl w:val="nil"/>
                  </w:tcBorders>
                  <w:shd w:val="clear" w:color="auto" w:fill="auto"/>
                  <w:noWrap/>
                  <w:vAlign w:val="center"/>
                </w:tcPr>
                <w:p w14:paraId="242C020A">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51</w:t>
                  </w:r>
                </w:p>
              </w:tc>
              <w:tc>
                <w:tcPr>
                  <w:tcW w:w="158" w:type="pct"/>
                  <w:tcBorders>
                    <w:tl2br w:val="nil"/>
                    <w:tr2bl w:val="nil"/>
                  </w:tcBorders>
                  <w:shd w:val="clear" w:color="auto" w:fill="auto"/>
                  <w:noWrap/>
                  <w:vAlign w:val="center"/>
                </w:tcPr>
                <w:p w14:paraId="155D20F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56</w:t>
                  </w:r>
                </w:p>
              </w:tc>
              <w:tc>
                <w:tcPr>
                  <w:tcW w:w="249" w:type="pct"/>
                  <w:tcBorders>
                    <w:tl2br w:val="nil"/>
                    <w:tr2bl w:val="nil"/>
                  </w:tcBorders>
                  <w:shd w:val="clear" w:color="auto" w:fill="auto"/>
                  <w:noWrap/>
                  <w:vAlign w:val="center"/>
                </w:tcPr>
                <w:p w14:paraId="5C1A70CE">
                  <w:pPr>
                    <w:spacing w:line="240" w:lineRule="auto"/>
                    <w:ind w:firstLine="0" w:firstLineChars="0"/>
                    <w:jc w:val="center"/>
                    <w:rPr>
                      <w:rFonts w:hint="default" w:ascii="Times New Roman" w:hAnsi="Times New Roman" w:cs="Times New Roman"/>
                      <w:color w:val="auto"/>
                      <w:sz w:val="19"/>
                      <w:szCs w:val="19"/>
                    </w:rPr>
                  </w:pPr>
                  <w:r>
                    <w:rPr>
                      <w:rFonts w:hint="default" w:ascii="Times New Roman" w:hAnsi="Times New Roman" w:cs="Times New Roman"/>
                      <w:color w:val="auto"/>
                      <w:sz w:val="19"/>
                      <w:szCs w:val="19"/>
                    </w:rPr>
                    <w:t>1</w:t>
                  </w:r>
                </w:p>
              </w:tc>
            </w:tr>
          </w:tbl>
          <w:p w14:paraId="26412AC0">
            <w:pPr>
              <w:adjustRightInd/>
              <w:snapToGrid/>
              <w:ind w:firstLine="420"/>
              <w:rPr>
                <w:rFonts w:hint="default" w:ascii="Times New Roman" w:hAnsi="Times New Roman" w:cs="Times New Roman"/>
                <w:b/>
                <w:bCs/>
                <w:color w:val="auto"/>
              </w:rPr>
            </w:pPr>
            <w:r>
              <w:rPr>
                <w:rFonts w:hint="default" w:ascii="Times New Roman" w:hAnsi="Times New Roman" w:cs="Times New Roman"/>
                <w:color w:val="auto"/>
                <w:sz w:val="21"/>
                <w:szCs w:val="21"/>
              </w:rPr>
              <w:t>注：以场地西南角为坐标原点。</w:t>
            </w:r>
          </w:p>
          <w:p w14:paraId="265D80FF">
            <w:pPr>
              <w:keepNext/>
              <w:adjustRightInd/>
              <w:snapToGrid/>
              <w:spacing w:line="240" w:lineRule="auto"/>
              <w:ind w:firstLine="482"/>
              <w:jc w:val="center"/>
              <w:rPr>
                <w:rFonts w:hint="default" w:ascii="Times New Roman" w:hAnsi="Times New Roman" w:cs="Times New Roman"/>
                <w:b/>
                <w:bCs/>
                <w:color w:val="auto"/>
              </w:rPr>
            </w:pPr>
            <w:r>
              <w:rPr>
                <w:rFonts w:hint="default" w:ascii="Times New Roman" w:hAnsi="Times New Roman" w:cs="Times New Roman"/>
                <w:b/>
                <w:bCs/>
                <w:color w:val="auto"/>
              </w:rPr>
              <w:t>表4-7   项目运营期噪声源强调查清单（室外）</w:t>
            </w:r>
          </w:p>
          <w:tbl>
            <w:tblPr>
              <w:tblStyle w:val="28"/>
              <w:tblW w:w="494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514"/>
              <w:gridCol w:w="1727"/>
              <w:gridCol w:w="1009"/>
              <w:gridCol w:w="2156"/>
              <w:gridCol w:w="2871"/>
              <w:gridCol w:w="847"/>
              <w:gridCol w:w="847"/>
              <w:gridCol w:w="852"/>
              <w:gridCol w:w="1042"/>
            </w:tblGrid>
            <w:tr w14:paraId="695FDB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88" w:type="pct"/>
                  <w:vMerge w:val="restart"/>
                  <w:tcBorders>
                    <w:tl2br w:val="nil"/>
                    <w:tr2bl w:val="nil"/>
                  </w:tcBorders>
                  <w:shd w:val="clear" w:color="auto" w:fill="auto"/>
                  <w:vAlign w:val="center"/>
                </w:tcPr>
                <w:p w14:paraId="04907C87">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主要噪声源</w:t>
                  </w:r>
                </w:p>
              </w:tc>
              <w:tc>
                <w:tcPr>
                  <w:tcW w:w="670" w:type="pct"/>
                  <w:vMerge w:val="restart"/>
                  <w:tcBorders>
                    <w:tl2br w:val="nil"/>
                    <w:tr2bl w:val="nil"/>
                  </w:tcBorders>
                  <w:shd w:val="clear" w:color="auto" w:fill="auto"/>
                  <w:vAlign w:val="center"/>
                </w:tcPr>
                <w:p w14:paraId="4EF0152F">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声源位置</w:t>
                  </w:r>
                </w:p>
              </w:tc>
              <w:tc>
                <w:tcPr>
                  <w:tcW w:w="392" w:type="pct"/>
                  <w:vMerge w:val="restart"/>
                  <w:tcBorders>
                    <w:tl2br w:val="nil"/>
                    <w:tr2bl w:val="nil"/>
                  </w:tcBorders>
                  <w:shd w:val="clear" w:color="auto" w:fill="auto"/>
                  <w:vAlign w:val="center"/>
                </w:tcPr>
                <w:p w14:paraId="7B176EF5">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数量</w:t>
                  </w:r>
                </w:p>
                <w:p w14:paraId="767DA667">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（个/台）</w:t>
                  </w:r>
                </w:p>
              </w:tc>
              <w:tc>
                <w:tcPr>
                  <w:tcW w:w="837" w:type="pct"/>
                  <w:vMerge w:val="restart"/>
                  <w:tcBorders>
                    <w:tl2br w:val="nil"/>
                    <w:tr2bl w:val="nil"/>
                  </w:tcBorders>
                  <w:shd w:val="clear" w:color="auto" w:fill="auto"/>
                  <w:vAlign w:val="center"/>
                </w:tcPr>
                <w:p w14:paraId="63F37DCB">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声功率级/dB（A）</w:t>
                  </w:r>
                </w:p>
              </w:tc>
              <w:tc>
                <w:tcPr>
                  <w:tcW w:w="1115" w:type="pct"/>
                  <w:vMerge w:val="restart"/>
                  <w:tcBorders>
                    <w:tl2br w:val="nil"/>
                    <w:tr2bl w:val="nil"/>
                  </w:tcBorders>
                  <w:shd w:val="clear" w:color="auto" w:fill="auto"/>
                  <w:vAlign w:val="center"/>
                </w:tcPr>
                <w:p w14:paraId="7CFC1807">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声源控制措施</w:t>
                  </w:r>
                </w:p>
              </w:tc>
              <w:tc>
                <w:tcPr>
                  <w:tcW w:w="989" w:type="pct"/>
                  <w:gridSpan w:val="3"/>
                  <w:tcBorders>
                    <w:tl2br w:val="nil"/>
                    <w:tr2bl w:val="nil"/>
                  </w:tcBorders>
                  <w:shd w:val="clear" w:color="auto" w:fill="auto"/>
                  <w:vAlign w:val="center"/>
                </w:tcPr>
                <w:p w14:paraId="101BCFBA">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空间相对位置</w:t>
                  </w:r>
                </w:p>
              </w:tc>
              <w:tc>
                <w:tcPr>
                  <w:tcW w:w="405" w:type="pct"/>
                  <w:vMerge w:val="restart"/>
                  <w:tcBorders>
                    <w:tl2br w:val="nil"/>
                    <w:tr2bl w:val="nil"/>
                  </w:tcBorders>
                  <w:shd w:val="clear" w:color="auto" w:fill="auto"/>
                  <w:vAlign w:val="center"/>
                </w:tcPr>
                <w:p w14:paraId="54ECE76C">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运行时段</w:t>
                  </w:r>
                </w:p>
              </w:tc>
            </w:tr>
            <w:tr w14:paraId="5DF77B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88" w:type="pct"/>
                  <w:vMerge w:val="continue"/>
                  <w:tcBorders>
                    <w:tl2br w:val="nil"/>
                    <w:tr2bl w:val="nil"/>
                  </w:tcBorders>
                  <w:shd w:val="clear" w:color="auto" w:fill="auto"/>
                  <w:vAlign w:val="center"/>
                </w:tcPr>
                <w:p w14:paraId="4A25074E">
                  <w:pPr>
                    <w:spacing w:line="240" w:lineRule="auto"/>
                    <w:ind w:firstLine="0" w:firstLineChars="0"/>
                    <w:jc w:val="center"/>
                    <w:rPr>
                      <w:rFonts w:hint="default" w:ascii="Times New Roman" w:hAnsi="Times New Roman" w:cs="Times New Roman"/>
                      <w:color w:val="auto"/>
                      <w:sz w:val="21"/>
                      <w:szCs w:val="21"/>
                    </w:rPr>
                  </w:pPr>
                </w:p>
              </w:tc>
              <w:tc>
                <w:tcPr>
                  <w:tcW w:w="670" w:type="pct"/>
                  <w:vMerge w:val="continue"/>
                  <w:tcBorders>
                    <w:tl2br w:val="nil"/>
                    <w:tr2bl w:val="nil"/>
                  </w:tcBorders>
                  <w:shd w:val="clear" w:color="auto" w:fill="auto"/>
                  <w:vAlign w:val="center"/>
                </w:tcPr>
                <w:p w14:paraId="1D8B63D9">
                  <w:pPr>
                    <w:spacing w:line="240" w:lineRule="auto"/>
                    <w:ind w:firstLine="0" w:firstLineChars="0"/>
                    <w:jc w:val="center"/>
                    <w:rPr>
                      <w:rFonts w:hint="default" w:ascii="Times New Roman" w:hAnsi="Times New Roman" w:cs="Times New Roman"/>
                      <w:color w:val="auto"/>
                      <w:sz w:val="21"/>
                      <w:szCs w:val="21"/>
                    </w:rPr>
                  </w:pPr>
                </w:p>
              </w:tc>
              <w:tc>
                <w:tcPr>
                  <w:tcW w:w="392" w:type="pct"/>
                  <w:vMerge w:val="continue"/>
                  <w:tcBorders>
                    <w:tl2br w:val="nil"/>
                    <w:tr2bl w:val="nil"/>
                  </w:tcBorders>
                  <w:shd w:val="clear" w:color="auto" w:fill="auto"/>
                  <w:vAlign w:val="center"/>
                </w:tcPr>
                <w:p w14:paraId="49A93E12">
                  <w:pPr>
                    <w:spacing w:line="240" w:lineRule="auto"/>
                    <w:ind w:firstLine="0" w:firstLineChars="0"/>
                    <w:jc w:val="center"/>
                    <w:rPr>
                      <w:rFonts w:hint="default" w:ascii="Times New Roman" w:hAnsi="Times New Roman" w:cs="Times New Roman"/>
                      <w:color w:val="auto"/>
                      <w:sz w:val="21"/>
                      <w:szCs w:val="21"/>
                    </w:rPr>
                  </w:pPr>
                </w:p>
              </w:tc>
              <w:tc>
                <w:tcPr>
                  <w:tcW w:w="837" w:type="pct"/>
                  <w:vMerge w:val="continue"/>
                  <w:tcBorders>
                    <w:tl2br w:val="nil"/>
                    <w:tr2bl w:val="nil"/>
                  </w:tcBorders>
                  <w:shd w:val="clear" w:color="auto" w:fill="auto"/>
                  <w:vAlign w:val="center"/>
                </w:tcPr>
                <w:p w14:paraId="40DE21E5">
                  <w:pPr>
                    <w:spacing w:line="240" w:lineRule="auto"/>
                    <w:ind w:firstLine="0" w:firstLineChars="0"/>
                    <w:jc w:val="center"/>
                    <w:rPr>
                      <w:rFonts w:hint="default" w:ascii="Times New Roman" w:hAnsi="Times New Roman" w:cs="Times New Roman"/>
                      <w:color w:val="auto"/>
                      <w:sz w:val="21"/>
                      <w:szCs w:val="21"/>
                    </w:rPr>
                  </w:pPr>
                </w:p>
              </w:tc>
              <w:tc>
                <w:tcPr>
                  <w:tcW w:w="1115" w:type="pct"/>
                  <w:vMerge w:val="continue"/>
                  <w:tcBorders>
                    <w:tl2br w:val="nil"/>
                    <w:tr2bl w:val="nil"/>
                  </w:tcBorders>
                  <w:shd w:val="clear" w:color="auto" w:fill="auto"/>
                  <w:vAlign w:val="center"/>
                </w:tcPr>
                <w:p w14:paraId="362C609C">
                  <w:pPr>
                    <w:spacing w:line="240" w:lineRule="auto"/>
                    <w:ind w:firstLine="0" w:firstLineChars="0"/>
                    <w:jc w:val="center"/>
                    <w:rPr>
                      <w:rFonts w:hint="default" w:ascii="Times New Roman" w:hAnsi="Times New Roman" w:cs="Times New Roman"/>
                      <w:color w:val="auto"/>
                      <w:sz w:val="21"/>
                      <w:szCs w:val="21"/>
                    </w:rPr>
                  </w:pPr>
                </w:p>
              </w:tc>
              <w:tc>
                <w:tcPr>
                  <w:tcW w:w="329" w:type="pct"/>
                  <w:tcBorders>
                    <w:tl2br w:val="nil"/>
                    <w:tr2bl w:val="nil"/>
                  </w:tcBorders>
                  <w:shd w:val="clear" w:color="auto" w:fill="auto"/>
                  <w:vAlign w:val="center"/>
                </w:tcPr>
                <w:p w14:paraId="3D79A0E6">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X</w:t>
                  </w:r>
                </w:p>
              </w:tc>
              <w:tc>
                <w:tcPr>
                  <w:tcW w:w="329" w:type="pct"/>
                  <w:tcBorders>
                    <w:tl2br w:val="nil"/>
                    <w:tr2bl w:val="nil"/>
                  </w:tcBorders>
                  <w:shd w:val="clear" w:color="auto" w:fill="auto"/>
                  <w:vAlign w:val="center"/>
                </w:tcPr>
                <w:p w14:paraId="58C38434">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Y</w:t>
                  </w:r>
                </w:p>
              </w:tc>
              <w:tc>
                <w:tcPr>
                  <w:tcW w:w="329" w:type="pct"/>
                  <w:tcBorders>
                    <w:tl2br w:val="nil"/>
                    <w:tr2bl w:val="nil"/>
                  </w:tcBorders>
                  <w:shd w:val="clear" w:color="auto" w:fill="auto"/>
                  <w:vAlign w:val="center"/>
                </w:tcPr>
                <w:p w14:paraId="0E9E33F3">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Z</w:t>
                  </w:r>
                </w:p>
              </w:tc>
              <w:tc>
                <w:tcPr>
                  <w:tcW w:w="405" w:type="pct"/>
                  <w:vMerge w:val="continue"/>
                  <w:tcBorders>
                    <w:tl2br w:val="nil"/>
                    <w:tr2bl w:val="nil"/>
                  </w:tcBorders>
                  <w:shd w:val="clear" w:color="auto" w:fill="auto"/>
                  <w:vAlign w:val="center"/>
                </w:tcPr>
                <w:p w14:paraId="16565CBD">
                  <w:pPr>
                    <w:spacing w:line="240" w:lineRule="auto"/>
                    <w:ind w:firstLine="0" w:firstLineChars="0"/>
                    <w:jc w:val="center"/>
                    <w:rPr>
                      <w:rFonts w:hint="default" w:ascii="Times New Roman" w:hAnsi="Times New Roman" w:cs="Times New Roman"/>
                      <w:color w:val="auto"/>
                      <w:sz w:val="21"/>
                      <w:szCs w:val="21"/>
                    </w:rPr>
                  </w:pPr>
                </w:p>
              </w:tc>
            </w:tr>
            <w:tr w14:paraId="41E282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88" w:type="pct"/>
                  <w:tcBorders>
                    <w:tl2br w:val="nil"/>
                    <w:tr2bl w:val="nil"/>
                  </w:tcBorders>
                  <w:shd w:val="clear" w:color="auto" w:fill="auto"/>
                  <w:vAlign w:val="center"/>
                </w:tcPr>
                <w:p w14:paraId="0DB613E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发泡车间风机</w:t>
                  </w:r>
                </w:p>
              </w:tc>
              <w:tc>
                <w:tcPr>
                  <w:tcW w:w="670" w:type="pct"/>
                  <w:tcBorders>
                    <w:tl2br w:val="nil"/>
                    <w:tr2bl w:val="nil"/>
                  </w:tcBorders>
                  <w:shd w:val="clear" w:color="auto" w:fill="auto"/>
                  <w:vAlign w:val="center"/>
                </w:tcPr>
                <w:p w14:paraId="62A9470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发泡车间西侧</w:t>
                  </w:r>
                </w:p>
              </w:tc>
              <w:tc>
                <w:tcPr>
                  <w:tcW w:w="392" w:type="pct"/>
                  <w:tcBorders>
                    <w:tl2br w:val="nil"/>
                    <w:tr2bl w:val="nil"/>
                  </w:tcBorders>
                  <w:shd w:val="clear" w:color="auto" w:fill="auto"/>
                  <w:vAlign w:val="center"/>
                </w:tcPr>
                <w:p w14:paraId="1596B59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837" w:type="pct"/>
                  <w:tcBorders>
                    <w:tl2br w:val="nil"/>
                    <w:tr2bl w:val="nil"/>
                  </w:tcBorders>
                  <w:shd w:val="clear" w:color="auto" w:fill="auto"/>
                  <w:vAlign w:val="center"/>
                </w:tcPr>
                <w:p w14:paraId="267F1A5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85</w:t>
                  </w:r>
                </w:p>
              </w:tc>
              <w:tc>
                <w:tcPr>
                  <w:tcW w:w="1115" w:type="pct"/>
                  <w:vMerge w:val="restart"/>
                  <w:tcBorders>
                    <w:tl2br w:val="nil"/>
                    <w:tr2bl w:val="nil"/>
                  </w:tcBorders>
                  <w:shd w:val="clear" w:color="auto" w:fill="auto"/>
                  <w:vAlign w:val="center"/>
                </w:tcPr>
                <w:p w14:paraId="421299E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基础减振、周边墙体隔声、采用低噪声设备、安装隔声罩、管道接口采用隔音材料包裹</w:t>
                  </w:r>
                </w:p>
              </w:tc>
              <w:tc>
                <w:tcPr>
                  <w:tcW w:w="329" w:type="pct"/>
                  <w:tcBorders>
                    <w:tl2br w:val="nil"/>
                    <w:tr2bl w:val="nil"/>
                  </w:tcBorders>
                  <w:shd w:val="clear" w:color="auto" w:fill="auto"/>
                  <w:vAlign w:val="center"/>
                </w:tcPr>
                <w:p w14:paraId="0896B08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68</w:t>
                  </w:r>
                </w:p>
              </w:tc>
              <w:tc>
                <w:tcPr>
                  <w:tcW w:w="329" w:type="pct"/>
                  <w:tcBorders>
                    <w:tl2br w:val="nil"/>
                    <w:tr2bl w:val="nil"/>
                  </w:tcBorders>
                  <w:shd w:val="clear" w:color="auto" w:fill="auto"/>
                  <w:vAlign w:val="center"/>
                </w:tcPr>
                <w:p w14:paraId="0B6B794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131.1</w:t>
                  </w:r>
                </w:p>
              </w:tc>
              <w:tc>
                <w:tcPr>
                  <w:tcW w:w="329" w:type="pct"/>
                  <w:tcBorders>
                    <w:tl2br w:val="nil"/>
                    <w:tr2bl w:val="nil"/>
                  </w:tcBorders>
                  <w:shd w:val="clear" w:color="auto" w:fill="auto"/>
                  <w:vAlign w:val="center"/>
                </w:tcPr>
                <w:p w14:paraId="4F661C3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05" w:type="pct"/>
                  <w:vMerge w:val="restart"/>
                  <w:tcBorders>
                    <w:tl2br w:val="nil"/>
                    <w:tr2bl w:val="nil"/>
                  </w:tcBorders>
                  <w:shd w:val="clear" w:color="auto" w:fill="auto"/>
                  <w:vAlign w:val="center"/>
                </w:tcPr>
                <w:p w14:paraId="5325EB4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昼间</w:t>
                  </w:r>
                </w:p>
              </w:tc>
            </w:tr>
            <w:tr w14:paraId="680DB0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88" w:type="pct"/>
                  <w:tcBorders>
                    <w:tl2br w:val="nil"/>
                    <w:tr2bl w:val="nil"/>
                  </w:tcBorders>
                  <w:shd w:val="clear" w:color="auto" w:fill="auto"/>
                  <w:vAlign w:val="center"/>
                </w:tcPr>
                <w:p w14:paraId="07C2861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冷却塔</w:t>
                  </w:r>
                </w:p>
              </w:tc>
              <w:tc>
                <w:tcPr>
                  <w:tcW w:w="670" w:type="pct"/>
                  <w:tcBorders>
                    <w:tl2br w:val="nil"/>
                    <w:tr2bl w:val="nil"/>
                  </w:tcBorders>
                  <w:shd w:val="clear" w:color="auto" w:fill="auto"/>
                  <w:vAlign w:val="center"/>
                </w:tcPr>
                <w:p w14:paraId="6A66303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复合车间东北侧</w:t>
                  </w:r>
                </w:p>
              </w:tc>
              <w:tc>
                <w:tcPr>
                  <w:tcW w:w="392" w:type="pct"/>
                  <w:tcBorders>
                    <w:tl2br w:val="nil"/>
                    <w:tr2bl w:val="nil"/>
                  </w:tcBorders>
                  <w:shd w:val="clear" w:color="auto" w:fill="auto"/>
                  <w:vAlign w:val="center"/>
                </w:tcPr>
                <w:p w14:paraId="4A359DD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837" w:type="pct"/>
                  <w:tcBorders>
                    <w:tl2br w:val="nil"/>
                    <w:tr2bl w:val="nil"/>
                  </w:tcBorders>
                  <w:shd w:val="clear" w:color="auto" w:fill="auto"/>
                  <w:vAlign w:val="center"/>
                </w:tcPr>
                <w:p w14:paraId="324CEE3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75</w:t>
                  </w:r>
                </w:p>
              </w:tc>
              <w:tc>
                <w:tcPr>
                  <w:tcW w:w="1115" w:type="pct"/>
                  <w:vMerge w:val="continue"/>
                  <w:tcBorders>
                    <w:tl2br w:val="nil"/>
                    <w:tr2bl w:val="nil"/>
                  </w:tcBorders>
                  <w:shd w:val="clear" w:color="auto" w:fill="auto"/>
                  <w:vAlign w:val="center"/>
                </w:tcPr>
                <w:p w14:paraId="34962E94">
                  <w:pPr>
                    <w:spacing w:line="240" w:lineRule="auto"/>
                    <w:ind w:firstLine="0" w:firstLineChars="0"/>
                    <w:jc w:val="center"/>
                    <w:rPr>
                      <w:rFonts w:hint="default" w:ascii="Times New Roman" w:hAnsi="Times New Roman" w:cs="Times New Roman"/>
                      <w:color w:val="auto"/>
                      <w:sz w:val="21"/>
                      <w:szCs w:val="21"/>
                    </w:rPr>
                  </w:pPr>
                </w:p>
              </w:tc>
              <w:tc>
                <w:tcPr>
                  <w:tcW w:w="329" w:type="pct"/>
                  <w:tcBorders>
                    <w:tl2br w:val="nil"/>
                    <w:tr2bl w:val="nil"/>
                  </w:tcBorders>
                  <w:shd w:val="clear" w:color="auto" w:fill="auto"/>
                  <w:vAlign w:val="center"/>
                </w:tcPr>
                <w:p w14:paraId="43B8F79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94</w:t>
                  </w:r>
                </w:p>
              </w:tc>
              <w:tc>
                <w:tcPr>
                  <w:tcW w:w="329" w:type="pct"/>
                  <w:tcBorders>
                    <w:tl2br w:val="nil"/>
                    <w:tr2bl w:val="nil"/>
                  </w:tcBorders>
                  <w:shd w:val="clear" w:color="auto" w:fill="auto"/>
                  <w:vAlign w:val="center"/>
                </w:tcPr>
                <w:p w14:paraId="1535403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119.88</w:t>
                  </w:r>
                </w:p>
              </w:tc>
              <w:tc>
                <w:tcPr>
                  <w:tcW w:w="329" w:type="pct"/>
                  <w:tcBorders>
                    <w:tl2br w:val="nil"/>
                    <w:tr2bl w:val="nil"/>
                  </w:tcBorders>
                  <w:shd w:val="clear" w:color="auto" w:fill="auto"/>
                  <w:vAlign w:val="center"/>
                </w:tcPr>
                <w:p w14:paraId="4F49F64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05" w:type="pct"/>
                  <w:vMerge w:val="continue"/>
                  <w:tcBorders>
                    <w:tl2br w:val="nil"/>
                    <w:tr2bl w:val="nil"/>
                  </w:tcBorders>
                  <w:shd w:val="clear" w:color="auto" w:fill="auto"/>
                  <w:vAlign w:val="center"/>
                </w:tcPr>
                <w:p w14:paraId="5C1C9315">
                  <w:pPr>
                    <w:spacing w:line="240" w:lineRule="auto"/>
                    <w:ind w:firstLine="0" w:firstLineChars="0"/>
                    <w:jc w:val="center"/>
                    <w:rPr>
                      <w:rFonts w:hint="default" w:ascii="Times New Roman" w:hAnsi="Times New Roman" w:cs="Times New Roman"/>
                      <w:color w:val="auto"/>
                      <w:sz w:val="21"/>
                      <w:szCs w:val="21"/>
                    </w:rPr>
                  </w:pPr>
                </w:p>
              </w:tc>
            </w:tr>
            <w:tr w14:paraId="05FA51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88" w:type="pct"/>
                  <w:tcBorders>
                    <w:tl2br w:val="nil"/>
                    <w:tr2bl w:val="nil"/>
                  </w:tcBorders>
                  <w:shd w:val="clear" w:color="auto" w:fill="auto"/>
                  <w:vAlign w:val="center"/>
                </w:tcPr>
                <w:p w14:paraId="5A7EC4F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深加工车间风机</w:t>
                  </w:r>
                </w:p>
              </w:tc>
              <w:tc>
                <w:tcPr>
                  <w:tcW w:w="670" w:type="pct"/>
                  <w:tcBorders>
                    <w:tl2br w:val="nil"/>
                    <w:tr2bl w:val="nil"/>
                  </w:tcBorders>
                  <w:shd w:val="clear" w:color="auto" w:fill="auto"/>
                  <w:vAlign w:val="center"/>
                </w:tcPr>
                <w:p w14:paraId="57A2852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深加工车间西侧</w:t>
                  </w:r>
                </w:p>
              </w:tc>
              <w:tc>
                <w:tcPr>
                  <w:tcW w:w="392" w:type="pct"/>
                  <w:tcBorders>
                    <w:tl2br w:val="nil"/>
                    <w:tr2bl w:val="nil"/>
                  </w:tcBorders>
                  <w:shd w:val="clear" w:color="auto" w:fill="auto"/>
                  <w:vAlign w:val="center"/>
                </w:tcPr>
                <w:p w14:paraId="05B4F0F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837" w:type="pct"/>
                  <w:tcBorders>
                    <w:tl2br w:val="nil"/>
                    <w:tr2bl w:val="nil"/>
                  </w:tcBorders>
                  <w:shd w:val="clear" w:color="auto" w:fill="auto"/>
                  <w:vAlign w:val="center"/>
                </w:tcPr>
                <w:p w14:paraId="0D84641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85</w:t>
                  </w:r>
                </w:p>
              </w:tc>
              <w:tc>
                <w:tcPr>
                  <w:tcW w:w="1115" w:type="pct"/>
                  <w:vMerge w:val="continue"/>
                  <w:tcBorders>
                    <w:tl2br w:val="nil"/>
                    <w:tr2bl w:val="nil"/>
                  </w:tcBorders>
                  <w:shd w:val="clear" w:color="auto" w:fill="auto"/>
                  <w:vAlign w:val="center"/>
                </w:tcPr>
                <w:p w14:paraId="43D1E5EB">
                  <w:pPr>
                    <w:spacing w:line="240" w:lineRule="auto"/>
                    <w:ind w:firstLine="0" w:firstLineChars="0"/>
                    <w:jc w:val="center"/>
                    <w:rPr>
                      <w:rFonts w:hint="default" w:ascii="Times New Roman" w:hAnsi="Times New Roman" w:cs="Times New Roman"/>
                      <w:color w:val="auto"/>
                      <w:sz w:val="21"/>
                      <w:szCs w:val="21"/>
                    </w:rPr>
                  </w:pPr>
                </w:p>
              </w:tc>
              <w:tc>
                <w:tcPr>
                  <w:tcW w:w="329" w:type="pct"/>
                  <w:tcBorders>
                    <w:tl2br w:val="nil"/>
                    <w:tr2bl w:val="nil"/>
                  </w:tcBorders>
                  <w:shd w:val="clear" w:color="auto" w:fill="auto"/>
                  <w:vAlign w:val="center"/>
                </w:tcPr>
                <w:p w14:paraId="4C3C156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72.6</w:t>
                  </w:r>
                </w:p>
              </w:tc>
              <w:tc>
                <w:tcPr>
                  <w:tcW w:w="329" w:type="pct"/>
                  <w:tcBorders>
                    <w:tl2br w:val="nil"/>
                    <w:tr2bl w:val="nil"/>
                  </w:tcBorders>
                  <w:shd w:val="clear" w:color="auto" w:fill="auto"/>
                  <w:vAlign w:val="center"/>
                </w:tcPr>
                <w:p w14:paraId="4B365CD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35.71</w:t>
                  </w:r>
                </w:p>
              </w:tc>
              <w:tc>
                <w:tcPr>
                  <w:tcW w:w="329" w:type="pct"/>
                  <w:tcBorders>
                    <w:tl2br w:val="nil"/>
                    <w:tr2bl w:val="nil"/>
                  </w:tcBorders>
                  <w:shd w:val="clear" w:color="auto" w:fill="auto"/>
                  <w:vAlign w:val="center"/>
                </w:tcPr>
                <w:p w14:paraId="4C9EAA2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05" w:type="pct"/>
                  <w:vMerge w:val="continue"/>
                  <w:tcBorders>
                    <w:tl2br w:val="nil"/>
                    <w:tr2bl w:val="nil"/>
                  </w:tcBorders>
                  <w:shd w:val="clear" w:color="auto" w:fill="auto"/>
                  <w:vAlign w:val="center"/>
                </w:tcPr>
                <w:p w14:paraId="5AE6BC26">
                  <w:pPr>
                    <w:spacing w:line="240" w:lineRule="auto"/>
                    <w:ind w:firstLine="0" w:firstLineChars="0"/>
                    <w:jc w:val="center"/>
                    <w:rPr>
                      <w:rFonts w:hint="default" w:ascii="Times New Roman" w:hAnsi="Times New Roman" w:cs="Times New Roman"/>
                      <w:color w:val="auto"/>
                      <w:sz w:val="21"/>
                      <w:szCs w:val="21"/>
                    </w:rPr>
                  </w:pPr>
                </w:p>
              </w:tc>
            </w:tr>
            <w:tr w14:paraId="000EF1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88" w:type="pct"/>
                  <w:shd w:val="clear" w:color="auto" w:fill="auto"/>
                  <w:vAlign w:val="center"/>
                </w:tcPr>
                <w:p w14:paraId="794083C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复合车间风机</w:t>
                  </w:r>
                </w:p>
              </w:tc>
              <w:tc>
                <w:tcPr>
                  <w:tcW w:w="670" w:type="pct"/>
                  <w:shd w:val="clear" w:color="auto" w:fill="auto"/>
                  <w:vAlign w:val="center"/>
                </w:tcPr>
                <w:p w14:paraId="561B7E8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回收车间南侧</w:t>
                  </w:r>
                </w:p>
              </w:tc>
              <w:tc>
                <w:tcPr>
                  <w:tcW w:w="392" w:type="pct"/>
                  <w:shd w:val="clear" w:color="auto" w:fill="auto"/>
                  <w:vAlign w:val="center"/>
                </w:tcPr>
                <w:p w14:paraId="1577269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837" w:type="pct"/>
                  <w:shd w:val="clear" w:color="auto" w:fill="auto"/>
                  <w:vAlign w:val="center"/>
                </w:tcPr>
                <w:p w14:paraId="7504042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85</w:t>
                  </w:r>
                </w:p>
              </w:tc>
              <w:tc>
                <w:tcPr>
                  <w:tcW w:w="1115" w:type="pct"/>
                  <w:vMerge w:val="continue"/>
                  <w:shd w:val="clear" w:color="auto" w:fill="auto"/>
                  <w:vAlign w:val="center"/>
                </w:tcPr>
                <w:p w14:paraId="4E92BB82">
                  <w:pPr>
                    <w:spacing w:line="240" w:lineRule="auto"/>
                    <w:ind w:firstLine="0" w:firstLineChars="0"/>
                    <w:jc w:val="center"/>
                    <w:rPr>
                      <w:rFonts w:hint="default" w:ascii="Times New Roman" w:hAnsi="Times New Roman" w:cs="Times New Roman"/>
                      <w:color w:val="auto"/>
                      <w:sz w:val="21"/>
                      <w:szCs w:val="21"/>
                    </w:rPr>
                  </w:pPr>
                </w:p>
              </w:tc>
              <w:tc>
                <w:tcPr>
                  <w:tcW w:w="329" w:type="pct"/>
                  <w:shd w:val="clear" w:color="auto" w:fill="auto"/>
                  <w:vAlign w:val="center"/>
                </w:tcPr>
                <w:p w14:paraId="25AFD0F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61.69</w:t>
                  </w:r>
                </w:p>
              </w:tc>
              <w:tc>
                <w:tcPr>
                  <w:tcW w:w="329" w:type="pct"/>
                  <w:shd w:val="clear" w:color="auto" w:fill="auto"/>
                  <w:vAlign w:val="center"/>
                </w:tcPr>
                <w:p w14:paraId="6816DA8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95.42</w:t>
                  </w:r>
                </w:p>
              </w:tc>
              <w:tc>
                <w:tcPr>
                  <w:tcW w:w="329" w:type="pct"/>
                  <w:shd w:val="clear" w:color="auto" w:fill="auto"/>
                  <w:vAlign w:val="center"/>
                </w:tcPr>
                <w:p w14:paraId="2AE1B18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05" w:type="pct"/>
                  <w:vMerge w:val="continue"/>
                  <w:shd w:val="clear" w:color="auto" w:fill="auto"/>
                  <w:vAlign w:val="center"/>
                </w:tcPr>
                <w:p w14:paraId="7E36536E">
                  <w:pPr>
                    <w:spacing w:line="240" w:lineRule="auto"/>
                    <w:ind w:firstLine="0" w:firstLineChars="0"/>
                    <w:jc w:val="center"/>
                    <w:rPr>
                      <w:rFonts w:hint="default" w:ascii="Times New Roman" w:hAnsi="Times New Roman" w:cs="Times New Roman"/>
                      <w:color w:val="auto"/>
                      <w:sz w:val="21"/>
                      <w:szCs w:val="21"/>
                    </w:rPr>
                  </w:pPr>
                </w:p>
              </w:tc>
            </w:tr>
            <w:tr w14:paraId="38EE61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88" w:type="pct"/>
                  <w:shd w:val="clear" w:color="auto" w:fill="auto"/>
                  <w:vAlign w:val="center"/>
                </w:tcPr>
                <w:p w14:paraId="750689B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回收车间风机</w:t>
                  </w:r>
                </w:p>
              </w:tc>
              <w:tc>
                <w:tcPr>
                  <w:tcW w:w="670" w:type="pct"/>
                  <w:shd w:val="clear" w:color="auto" w:fill="auto"/>
                  <w:vAlign w:val="center"/>
                </w:tcPr>
                <w:p w14:paraId="7068B9E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发泡车间东侧</w:t>
                  </w:r>
                </w:p>
              </w:tc>
              <w:tc>
                <w:tcPr>
                  <w:tcW w:w="392" w:type="pct"/>
                  <w:shd w:val="clear" w:color="auto" w:fill="auto"/>
                  <w:vAlign w:val="center"/>
                </w:tcPr>
                <w:p w14:paraId="60C8FA5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837" w:type="pct"/>
                  <w:shd w:val="clear" w:color="auto" w:fill="auto"/>
                  <w:vAlign w:val="center"/>
                </w:tcPr>
                <w:p w14:paraId="63281B1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85</w:t>
                  </w:r>
                </w:p>
              </w:tc>
              <w:tc>
                <w:tcPr>
                  <w:tcW w:w="1115" w:type="pct"/>
                  <w:vMerge w:val="continue"/>
                  <w:shd w:val="clear" w:color="auto" w:fill="auto"/>
                  <w:vAlign w:val="center"/>
                </w:tcPr>
                <w:p w14:paraId="4D806B42">
                  <w:pPr>
                    <w:spacing w:line="240" w:lineRule="auto"/>
                    <w:ind w:firstLine="0" w:firstLineChars="0"/>
                    <w:jc w:val="center"/>
                    <w:rPr>
                      <w:rFonts w:hint="default" w:ascii="Times New Roman" w:hAnsi="Times New Roman" w:cs="Times New Roman"/>
                      <w:color w:val="auto"/>
                      <w:sz w:val="21"/>
                      <w:szCs w:val="21"/>
                    </w:rPr>
                  </w:pPr>
                </w:p>
              </w:tc>
              <w:tc>
                <w:tcPr>
                  <w:tcW w:w="329" w:type="pct"/>
                  <w:shd w:val="clear" w:color="auto" w:fill="auto"/>
                  <w:vAlign w:val="center"/>
                </w:tcPr>
                <w:p w14:paraId="3C5E3A0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13.11</w:t>
                  </w:r>
                </w:p>
              </w:tc>
              <w:tc>
                <w:tcPr>
                  <w:tcW w:w="329" w:type="pct"/>
                  <w:shd w:val="clear" w:color="auto" w:fill="auto"/>
                  <w:vAlign w:val="center"/>
                </w:tcPr>
                <w:p w14:paraId="7D7E436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87.18</w:t>
                  </w:r>
                </w:p>
              </w:tc>
              <w:tc>
                <w:tcPr>
                  <w:tcW w:w="329" w:type="pct"/>
                  <w:shd w:val="clear" w:color="auto" w:fill="auto"/>
                  <w:vAlign w:val="center"/>
                </w:tcPr>
                <w:p w14:paraId="1FD4630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05" w:type="pct"/>
                  <w:vMerge w:val="continue"/>
                  <w:shd w:val="clear" w:color="auto" w:fill="auto"/>
                  <w:vAlign w:val="center"/>
                </w:tcPr>
                <w:p w14:paraId="5C89A0DA">
                  <w:pPr>
                    <w:spacing w:line="240" w:lineRule="auto"/>
                    <w:ind w:firstLine="0" w:firstLineChars="0"/>
                    <w:jc w:val="center"/>
                    <w:rPr>
                      <w:rFonts w:hint="default" w:ascii="Times New Roman" w:hAnsi="Times New Roman" w:cs="Times New Roman"/>
                      <w:color w:val="auto"/>
                      <w:sz w:val="21"/>
                      <w:szCs w:val="21"/>
                    </w:rPr>
                  </w:pPr>
                </w:p>
              </w:tc>
            </w:tr>
          </w:tbl>
          <w:p w14:paraId="4556F686">
            <w:pPr>
              <w:ind w:firstLine="0" w:firstLineChars="0"/>
              <w:rPr>
                <w:rFonts w:hint="default" w:ascii="Times New Roman" w:hAnsi="Times New Roman" w:cs="Times New Roman"/>
                <w:color w:val="auto"/>
              </w:rPr>
            </w:pPr>
          </w:p>
        </w:tc>
      </w:tr>
    </w:tbl>
    <w:p w14:paraId="27A51339">
      <w:pPr>
        <w:ind w:firstLine="480"/>
        <w:rPr>
          <w:rFonts w:hint="default" w:ascii="Times New Roman" w:hAnsi="Times New Roman" w:cs="Times New Roman"/>
          <w:color w:val="auto"/>
        </w:rPr>
        <w:sectPr>
          <w:pgSz w:w="16838" w:h="11906" w:orient="landscape"/>
          <w:pgMar w:top="1531" w:right="1701" w:bottom="1531" w:left="1701"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
        <w:gridCol w:w="8838"/>
      </w:tblGrid>
      <w:tr w14:paraId="18BD3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 w:type="dxa"/>
          </w:tcPr>
          <w:p w14:paraId="0414B538">
            <w:pPr>
              <w:ind w:firstLine="480"/>
              <w:rPr>
                <w:rFonts w:hint="default" w:ascii="Times New Roman" w:hAnsi="Times New Roman" w:cs="Times New Roman"/>
                <w:color w:val="auto"/>
              </w:rPr>
            </w:pPr>
          </w:p>
        </w:tc>
        <w:tc>
          <w:tcPr>
            <w:tcW w:w="8838" w:type="dxa"/>
          </w:tcPr>
          <w:p w14:paraId="3582068B">
            <w:pPr>
              <w:numPr>
                <w:ilvl w:val="0"/>
                <w:numId w:val="5"/>
              </w:numPr>
              <w:adjustRightInd/>
              <w:ind w:firstLine="480"/>
              <w:rPr>
                <w:rFonts w:hint="default" w:ascii="Times New Roman" w:hAnsi="Times New Roman" w:cs="Times New Roman"/>
                <w:color w:val="auto"/>
              </w:rPr>
            </w:pPr>
            <w:r>
              <w:rPr>
                <w:rFonts w:hint="default" w:ascii="Times New Roman" w:hAnsi="Times New Roman" w:cs="Times New Roman"/>
                <w:color w:val="auto"/>
              </w:rPr>
              <w:t>噪声降噪措施</w:t>
            </w:r>
          </w:p>
          <w:p w14:paraId="22214EF5">
            <w:pPr>
              <w:ind w:firstLine="480"/>
              <w:rPr>
                <w:rFonts w:hint="default" w:ascii="Times New Roman" w:hAnsi="Times New Roman" w:cs="Times New Roman"/>
                <w:color w:val="auto"/>
              </w:rPr>
            </w:pPr>
            <w:r>
              <w:rPr>
                <w:rFonts w:hint="default" w:ascii="Times New Roman" w:hAnsi="Times New Roman" w:cs="Times New Roman"/>
                <w:color w:val="auto"/>
              </w:rPr>
              <w:t>①已采用符合国家标准的机械设备，从声源上降低噪声值；</w:t>
            </w:r>
          </w:p>
          <w:p w14:paraId="13392024">
            <w:pPr>
              <w:ind w:firstLine="480"/>
              <w:rPr>
                <w:rFonts w:hint="default" w:ascii="Times New Roman" w:hAnsi="Times New Roman" w:cs="Times New Roman"/>
                <w:color w:val="auto"/>
              </w:rPr>
            </w:pPr>
            <w:r>
              <w:rPr>
                <w:rFonts w:hint="default" w:ascii="Times New Roman" w:hAnsi="Times New Roman" w:cs="Times New Roman"/>
                <w:color w:val="auto"/>
              </w:rPr>
              <w:t>②生产设备合理布局，噪声源强较高的设备尽量远离厂区边界，加大噪声的距离衰减;</w:t>
            </w:r>
          </w:p>
          <w:p w14:paraId="12D3976C">
            <w:pPr>
              <w:ind w:firstLine="480"/>
              <w:rPr>
                <w:rFonts w:hint="default" w:ascii="Times New Roman" w:hAnsi="Times New Roman" w:cs="Times New Roman"/>
                <w:color w:val="auto"/>
              </w:rPr>
            </w:pPr>
            <w:r>
              <w:rPr>
                <w:rFonts w:hint="default" w:ascii="Times New Roman" w:hAnsi="Times New Roman" w:cs="Times New Roman"/>
                <w:color w:val="auto"/>
              </w:rPr>
              <w:t>③发泡机、冲床等均采用隔声、基础减振措施，不同工序设备尽量错峰开启使用；风机采取基础减振、隔声罩措施；管道接口采用隔音材料包裹；</w:t>
            </w:r>
          </w:p>
          <w:p w14:paraId="25A2D936">
            <w:pPr>
              <w:ind w:firstLine="480"/>
              <w:rPr>
                <w:rFonts w:hint="default" w:ascii="Times New Roman" w:hAnsi="Times New Roman" w:cs="Times New Roman"/>
                <w:color w:val="auto"/>
              </w:rPr>
            </w:pPr>
            <w:r>
              <w:rPr>
                <w:rFonts w:hint="default" w:ascii="Times New Roman" w:hAnsi="Times New Roman" w:cs="Times New Roman"/>
                <w:color w:val="auto"/>
              </w:rPr>
              <w:t>④对于车辆运输产生的间歇性噪声，评价要求加强车辆运输管理，合理安排运输时间，车辆进行限速；</w:t>
            </w:r>
          </w:p>
          <w:p w14:paraId="27DB4917">
            <w:pPr>
              <w:ind w:firstLine="480"/>
              <w:rPr>
                <w:rFonts w:hint="default" w:ascii="Times New Roman" w:hAnsi="Times New Roman" w:cs="Times New Roman"/>
                <w:color w:val="auto"/>
              </w:rPr>
            </w:pPr>
            <w:r>
              <w:rPr>
                <w:rFonts w:hint="default" w:ascii="Times New Roman" w:hAnsi="Times New Roman" w:cs="Times New Roman"/>
                <w:color w:val="auto"/>
              </w:rPr>
              <w:t>⑤加强设备的维护，确保设备处于良好的运转状态，杜绝因设备不正常运转时产生的高噪声现象。</w:t>
            </w:r>
          </w:p>
          <w:p w14:paraId="2A09484B">
            <w:pPr>
              <w:ind w:firstLine="480"/>
              <w:rPr>
                <w:rFonts w:hint="default" w:ascii="Times New Roman" w:hAnsi="Times New Roman" w:cs="Times New Roman"/>
                <w:color w:val="auto"/>
              </w:rPr>
            </w:pPr>
            <w:r>
              <w:rPr>
                <w:rFonts w:hint="default" w:ascii="Times New Roman" w:hAnsi="Times New Roman" w:cs="Times New Roman"/>
                <w:color w:val="auto"/>
              </w:rPr>
              <w:t>综上，项目可有效降低设施设备对厂界声环境的影响，其措施可行。</w:t>
            </w:r>
          </w:p>
          <w:p w14:paraId="5B51C1F3">
            <w:pPr>
              <w:adjustRightInd/>
              <w:snapToGrid/>
              <w:ind w:left="480" w:leftChars="200" w:firstLine="0" w:firstLineChars="0"/>
              <w:rPr>
                <w:rFonts w:hint="default" w:ascii="Times New Roman" w:hAnsi="Times New Roman" w:cs="Times New Roman"/>
                <w:b/>
                <w:bCs/>
                <w:snapToGrid w:val="0"/>
                <w:color w:val="auto"/>
                <w:kern w:val="0"/>
                <w:sz w:val="21"/>
                <w:szCs w:val="21"/>
              </w:rPr>
            </w:pPr>
            <w:r>
              <w:rPr>
                <w:rFonts w:hint="default" w:ascii="Times New Roman" w:hAnsi="Times New Roman" w:cs="Times New Roman"/>
                <w:color w:val="auto"/>
              </w:rPr>
              <w:t>（3）噪声预测结果</w:t>
            </w:r>
          </w:p>
          <w:p w14:paraId="3BE2D07A">
            <w:pPr>
              <w:spacing w:line="240" w:lineRule="auto"/>
              <w:ind w:firstLine="0" w:firstLineChars="0"/>
              <w:jc w:val="center"/>
              <w:rPr>
                <w:rFonts w:hint="default" w:ascii="Times New Roman" w:hAnsi="Times New Roman" w:cs="Times New Roman"/>
                <w:b/>
                <w:bCs/>
                <w:snapToGrid w:val="0"/>
                <w:color w:val="auto"/>
                <w:kern w:val="0"/>
              </w:rPr>
            </w:pPr>
            <w:r>
              <w:rPr>
                <w:rFonts w:hint="default" w:ascii="Times New Roman" w:hAnsi="Times New Roman" w:cs="Times New Roman"/>
                <w:b/>
                <w:bCs/>
                <w:snapToGrid w:val="0"/>
                <w:color w:val="auto"/>
                <w:kern w:val="0"/>
              </w:rPr>
              <w:t>表4-8  噪声预测结果表</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467"/>
              <w:gridCol w:w="2514"/>
              <w:gridCol w:w="2638"/>
            </w:tblGrid>
            <w:tr w14:paraId="51F15F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11" w:type="pct"/>
                  <w:vMerge w:val="restart"/>
                  <w:tcBorders>
                    <w:tl2br w:val="nil"/>
                    <w:tr2bl w:val="nil"/>
                  </w:tcBorders>
                  <w:shd w:val="clear" w:color="auto" w:fill="auto"/>
                  <w:vAlign w:val="center"/>
                </w:tcPr>
                <w:p w14:paraId="283B3495">
                  <w:pPr>
                    <w:widowControl/>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预测点</w:t>
                  </w:r>
                </w:p>
              </w:tc>
              <w:tc>
                <w:tcPr>
                  <w:tcW w:w="1458" w:type="pct"/>
                  <w:tcBorders>
                    <w:tl2br w:val="nil"/>
                    <w:tr2bl w:val="nil"/>
                  </w:tcBorders>
                  <w:shd w:val="clear" w:color="auto" w:fill="auto"/>
                  <w:vAlign w:val="center"/>
                </w:tcPr>
                <w:p w14:paraId="78D9BCA4">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贡献值（dB（A））</w:t>
                  </w:r>
                </w:p>
              </w:tc>
              <w:tc>
                <w:tcPr>
                  <w:tcW w:w="1530" w:type="pct"/>
                  <w:tcBorders>
                    <w:tl2br w:val="nil"/>
                    <w:tr2bl w:val="nil"/>
                  </w:tcBorders>
                  <w:shd w:val="clear" w:color="auto" w:fill="auto"/>
                  <w:vAlign w:val="center"/>
                </w:tcPr>
                <w:p w14:paraId="7574D5C6">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评价标准（dB（A））</w:t>
                  </w:r>
                </w:p>
              </w:tc>
            </w:tr>
            <w:tr w14:paraId="6E6D4B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11" w:type="pct"/>
                  <w:vMerge w:val="continue"/>
                  <w:tcBorders>
                    <w:tl2br w:val="nil"/>
                    <w:tr2bl w:val="nil"/>
                  </w:tcBorders>
                  <w:vAlign w:val="center"/>
                </w:tcPr>
                <w:p w14:paraId="2DB1E350">
                  <w:pPr>
                    <w:widowControl/>
                    <w:spacing w:line="240" w:lineRule="auto"/>
                    <w:ind w:firstLine="0" w:firstLineChars="0"/>
                    <w:jc w:val="center"/>
                    <w:rPr>
                      <w:rFonts w:hint="default" w:ascii="Times New Roman" w:hAnsi="Times New Roman" w:cs="Times New Roman"/>
                      <w:b/>
                      <w:bCs/>
                      <w:color w:val="auto"/>
                      <w:sz w:val="21"/>
                      <w:szCs w:val="21"/>
                    </w:rPr>
                  </w:pPr>
                </w:p>
              </w:tc>
              <w:tc>
                <w:tcPr>
                  <w:tcW w:w="1458" w:type="pct"/>
                  <w:tcBorders>
                    <w:tl2br w:val="nil"/>
                    <w:tr2bl w:val="nil"/>
                  </w:tcBorders>
                  <w:vAlign w:val="center"/>
                </w:tcPr>
                <w:p w14:paraId="1AF8E762">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昼间</w:t>
                  </w:r>
                </w:p>
              </w:tc>
              <w:tc>
                <w:tcPr>
                  <w:tcW w:w="1530" w:type="pct"/>
                  <w:tcBorders>
                    <w:tl2br w:val="nil"/>
                    <w:tr2bl w:val="nil"/>
                  </w:tcBorders>
                  <w:vAlign w:val="center"/>
                </w:tcPr>
                <w:p w14:paraId="4E6B8B7B">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昼间</w:t>
                  </w:r>
                </w:p>
              </w:tc>
            </w:tr>
            <w:tr w14:paraId="22E65D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11" w:type="pct"/>
                  <w:tcBorders>
                    <w:tl2br w:val="nil"/>
                    <w:tr2bl w:val="nil"/>
                  </w:tcBorders>
                  <w:vAlign w:val="center"/>
                </w:tcPr>
                <w:p w14:paraId="1E61BAE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东厂界</w:t>
                  </w:r>
                </w:p>
              </w:tc>
              <w:tc>
                <w:tcPr>
                  <w:tcW w:w="1458" w:type="pct"/>
                  <w:tcBorders>
                    <w:tl2br w:val="nil"/>
                    <w:tr2bl w:val="nil"/>
                  </w:tcBorders>
                  <w:vAlign w:val="center"/>
                </w:tcPr>
                <w:p w14:paraId="17D2100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56</w:t>
                  </w:r>
                </w:p>
              </w:tc>
              <w:tc>
                <w:tcPr>
                  <w:tcW w:w="1530" w:type="pct"/>
                  <w:vMerge w:val="restart"/>
                  <w:tcBorders>
                    <w:tl2br w:val="nil"/>
                    <w:tr2bl w:val="nil"/>
                  </w:tcBorders>
                  <w:vAlign w:val="center"/>
                </w:tcPr>
                <w:p w14:paraId="7E43356C">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60</w:t>
                  </w:r>
                </w:p>
              </w:tc>
            </w:tr>
            <w:tr w14:paraId="763EF0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11" w:type="pct"/>
                  <w:tcBorders>
                    <w:tl2br w:val="nil"/>
                    <w:tr2bl w:val="nil"/>
                  </w:tcBorders>
                  <w:vAlign w:val="center"/>
                </w:tcPr>
                <w:p w14:paraId="4462F6F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南厂界</w:t>
                  </w:r>
                </w:p>
              </w:tc>
              <w:tc>
                <w:tcPr>
                  <w:tcW w:w="1458" w:type="pct"/>
                  <w:tcBorders>
                    <w:tl2br w:val="nil"/>
                    <w:tr2bl w:val="nil"/>
                  </w:tcBorders>
                  <w:vAlign w:val="center"/>
                </w:tcPr>
                <w:p w14:paraId="4D9D80D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53</w:t>
                  </w:r>
                </w:p>
              </w:tc>
              <w:tc>
                <w:tcPr>
                  <w:tcW w:w="1530" w:type="pct"/>
                  <w:vMerge w:val="continue"/>
                  <w:tcBorders>
                    <w:tl2br w:val="nil"/>
                    <w:tr2bl w:val="nil"/>
                  </w:tcBorders>
                  <w:vAlign w:val="center"/>
                </w:tcPr>
                <w:p w14:paraId="6BA3CC95">
                  <w:pPr>
                    <w:widowControl/>
                    <w:spacing w:line="240" w:lineRule="auto"/>
                    <w:ind w:firstLine="0" w:firstLineChars="0"/>
                    <w:jc w:val="center"/>
                    <w:rPr>
                      <w:rFonts w:hint="default" w:ascii="Times New Roman" w:hAnsi="Times New Roman" w:cs="Times New Roman"/>
                      <w:color w:val="auto"/>
                      <w:kern w:val="0"/>
                      <w:sz w:val="21"/>
                      <w:szCs w:val="21"/>
                    </w:rPr>
                  </w:pPr>
                </w:p>
              </w:tc>
            </w:tr>
            <w:tr w14:paraId="1CFC26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11" w:type="pct"/>
                  <w:tcBorders>
                    <w:tl2br w:val="nil"/>
                    <w:tr2bl w:val="nil"/>
                  </w:tcBorders>
                  <w:vAlign w:val="center"/>
                </w:tcPr>
                <w:p w14:paraId="5843000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西厂界</w:t>
                  </w:r>
                </w:p>
              </w:tc>
              <w:tc>
                <w:tcPr>
                  <w:tcW w:w="1458" w:type="pct"/>
                  <w:tcBorders>
                    <w:tl2br w:val="nil"/>
                    <w:tr2bl w:val="nil"/>
                  </w:tcBorders>
                  <w:vAlign w:val="center"/>
                </w:tcPr>
                <w:p w14:paraId="544B73B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28</w:t>
                  </w:r>
                </w:p>
              </w:tc>
              <w:tc>
                <w:tcPr>
                  <w:tcW w:w="1530" w:type="pct"/>
                  <w:vMerge w:val="continue"/>
                  <w:tcBorders>
                    <w:tl2br w:val="nil"/>
                    <w:tr2bl w:val="nil"/>
                  </w:tcBorders>
                  <w:vAlign w:val="center"/>
                </w:tcPr>
                <w:p w14:paraId="308A7FC1">
                  <w:pPr>
                    <w:widowControl/>
                    <w:spacing w:line="240" w:lineRule="auto"/>
                    <w:ind w:firstLine="0" w:firstLineChars="0"/>
                    <w:jc w:val="center"/>
                    <w:rPr>
                      <w:rFonts w:hint="default" w:ascii="Times New Roman" w:hAnsi="Times New Roman" w:cs="Times New Roman"/>
                      <w:color w:val="auto"/>
                      <w:kern w:val="0"/>
                      <w:sz w:val="21"/>
                      <w:szCs w:val="21"/>
                    </w:rPr>
                  </w:pPr>
                </w:p>
              </w:tc>
            </w:tr>
            <w:tr w14:paraId="3599C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11" w:type="pct"/>
                  <w:tcBorders>
                    <w:tl2br w:val="nil"/>
                    <w:tr2bl w:val="nil"/>
                  </w:tcBorders>
                  <w:vAlign w:val="center"/>
                </w:tcPr>
                <w:p w14:paraId="1FA8106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北厂界</w:t>
                  </w:r>
                </w:p>
              </w:tc>
              <w:tc>
                <w:tcPr>
                  <w:tcW w:w="1458" w:type="pct"/>
                  <w:tcBorders>
                    <w:tl2br w:val="nil"/>
                    <w:tr2bl w:val="nil"/>
                  </w:tcBorders>
                  <w:vAlign w:val="center"/>
                </w:tcPr>
                <w:p w14:paraId="1F210FD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59</w:t>
                  </w:r>
                </w:p>
              </w:tc>
              <w:tc>
                <w:tcPr>
                  <w:tcW w:w="1530" w:type="pct"/>
                  <w:vMerge w:val="continue"/>
                  <w:tcBorders>
                    <w:tl2br w:val="nil"/>
                    <w:tr2bl w:val="nil"/>
                  </w:tcBorders>
                  <w:vAlign w:val="center"/>
                </w:tcPr>
                <w:p w14:paraId="59886E31">
                  <w:pPr>
                    <w:widowControl/>
                    <w:spacing w:line="240" w:lineRule="auto"/>
                    <w:ind w:firstLine="0" w:firstLineChars="0"/>
                    <w:jc w:val="center"/>
                    <w:rPr>
                      <w:rFonts w:hint="default" w:ascii="Times New Roman" w:hAnsi="Times New Roman" w:cs="Times New Roman"/>
                      <w:color w:val="auto"/>
                      <w:kern w:val="0"/>
                      <w:sz w:val="21"/>
                      <w:szCs w:val="21"/>
                    </w:rPr>
                  </w:pPr>
                </w:p>
              </w:tc>
            </w:tr>
          </w:tbl>
          <w:p w14:paraId="29797FD8">
            <w:pPr>
              <w:adjustRightInd/>
              <w:snapToGrid/>
              <w:ind w:firstLine="480"/>
              <w:rPr>
                <w:rFonts w:hint="default" w:ascii="Times New Roman" w:hAnsi="Times New Roman" w:cs="Times New Roman"/>
                <w:bCs/>
                <w:color w:val="auto"/>
              </w:rPr>
            </w:pPr>
            <w:r>
              <w:rPr>
                <w:rFonts w:hint="default" w:ascii="Times New Roman" w:hAnsi="Times New Roman" w:cs="Times New Roman"/>
                <w:color w:val="auto"/>
              </w:rPr>
              <w:t>由上表可看出，本项目设备噪声通过基础减振及车间隔声等降噪措施后，厂界噪声贡献值可满足《工业企业厂界环境噪声排放标准》（GB12348-2008）2类标准要求。</w:t>
            </w:r>
          </w:p>
          <w:p w14:paraId="7AFFDC53">
            <w:pPr>
              <w:adjustRightInd/>
              <w:snapToGrid/>
              <w:ind w:firstLine="480"/>
              <w:rPr>
                <w:rFonts w:hint="default" w:ascii="Times New Roman" w:hAnsi="Times New Roman" w:cs="Times New Roman"/>
                <w:color w:val="auto"/>
                <w:szCs w:val="20"/>
              </w:rPr>
            </w:pPr>
            <w:r>
              <w:rPr>
                <w:rFonts w:hint="default" w:ascii="Times New Roman" w:hAnsi="Times New Roman" w:cs="Times New Roman"/>
                <w:color w:val="auto"/>
              </w:rPr>
              <w:t>（4）监测要求</w:t>
            </w:r>
          </w:p>
          <w:p w14:paraId="4057154F">
            <w:pPr>
              <w:ind w:firstLine="480"/>
              <w:rPr>
                <w:rFonts w:hint="default" w:ascii="Times New Roman" w:hAnsi="Times New Roman" w:cs="Times New Roman"/>
                <w:color w:val="auto"/>
              </w:rPr>
            </w:pPr>
            <w:r>
              <w:rPr>
                <w:rFonts w:hint="default" w:ascii="Times New Roman" w:hAnsi="Times New Roman" w:cs="Times New Roman"/>
                <w:color w:val="auto"/>
              </w:rPr>
              <w:t>依据《排污单位自行监测技术指南 总则》（HJ819-2017），对厂界进行监测。如发现噪声超标，应及时整改，以降低对周边环境影响。本项目噪声监测计划见表4-8。</w:t>
            </w:r>
          </w:p>
          <w:p w14:paraId="43F1FD9D">
            <w:pPr>
              <w:spacing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表4-9   运营期噪声监测计划</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1112"/>
              <w:gridCol w:w="1400"/>
              <w:gridCol w:w="1301"/>
              <w:gridCol w:w="3765"/>
            </w:tblGrid>
            <w:tr w14:paraId="12760B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4" w:type="pct"/>
                  <w:tcBorders>
                    <w:tl2br w:val="nil"/>
                    <w:tr2bl w:val="nil"/>
                  </w:tcBorders>
                  <w:vAlign w:val="center"/>
                </w:tcPr>
                <w:p w14:paraId="09939F34">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lang w:bidi="ar"/>
                    </w:rPr>
                    <w:t>类别</w:t>
                  </w:r>
                </w:p>
              </w:tc>
              <w:tc>
                <w:tcPr>
                  <w:tcW w:w="645" w:type="pct"/>
                  <w:tcBorders>
                    <w:tl2br w:val="nil"/>
                    <w:tr2bl w:val="nil"/>
                  </w:tcBorders>
                  <w:vAlign w:val="center"/>
                </w:tcPr>
                <w:p w14:paraId="0B2A4328">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lang w:bidi="ar"/>
                    </w:rPr>
                    <w:t>监测项目</w:t>
                  </w:r>
                </w:p>
              </w:tc>
              <w:tc>
                <w:tcPr>
                  <w:tcW w:w="812" w:type="pct"/>
                  <w:tcBorders>
                    <w:tl2br w:val="nil"/>
                    <w:tr2bl w:val="nil"/>
                  </w:tcBorders>
                  <w:vAlign w:val="center"/>
                </w:tcPr>
                <w:p w14:paraId="04ECDBE5">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lang w:bidi="ar"/>
                    </w:rPr>
                    <w:t>监测点位置</w:t>
                  </w:r>
                </w:p>
              </w:tc>
              <w:tc>
                <w:tcPr>
                  <w:tcW w:w="755" w:type="pct"/>
                  <w:tcBorders>
                    <w:tl2br w:val="nil"/>
                    <w:tr2bl w:val="nil"/>
                  </w:tcBorders>
                  <w:vAlign w:val="center"/>
                </w:tcPr>
                <w:p w14:paraId="447C8443">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lang w:bidi="ar"/>
                    </w:rPr>
                    <w:t>频率</w:t>
                  </w:r>
                </w:p>
              </w:tc>
              <w:tc>
                <w:tcPr>
                  <w:tcW w:w="2182" w:type="pct"/>
                  <w:tcBorders>
                    <w:tl2br w:val="nil"/>
                    <w:tr2bl w:val="nil"/>
                  </w:tcBorders>
                  <w:vAlign w:val="center"/>
                </w:tcPr>
                <w:p w14:paraId="0C214235">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lang w:bidi="ar"/>
                    </w:rPr>
                    <w:t>控制指标</w:t>
                  </w:r>
                </w:p>
              </w:tc>
            </w:tr>
            <w:tr w14:paraId="422195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4" w:type="pct"/>
                  <w:tcBorders>
                    <w:tl2br w:val="nil"/>
                    <w:tr2bl w:val="nil"/>
                  </w:tcBorders>
                  <w:vAlign w:val="center"/>
                </w:tcPr>
                <w:p w14:paraId="1CD596B2">
                  <w:pPr>
                    <w:spacing w:line="240" w:lineRule="auto"/>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噪声</w:t>
                  </w:r>
                </w:p>
              </w:tc>
              <w:tc>
                <w:tcPr>
                  <w:tcW w:w="645" w:type="pct"/>
                  <w:tcBorders>
                    <w:tl2br w:val="nil"/>
                    <w:tr2bl w:val="nil"/>
                  </w:tcBorders>
                  <w:vAlign w:val="center"/>
                </w:tcPr>
                <w:p w14:paraId="71B1C3E4">
                  <w:pPr>
                    <w:spacing w:line="240" w:lineRule="auto"/>
                    <w:ind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Leq</w:t>
                  </w:r>
                </w:p>
              </w:tc>
              <w:tc>
                <w:tcPr>
                  <w:tcW w:w="812" w:type="pct"/>
                  <w:tcBorders>
                    <w:tl2br w:val="nil"/>
                    <w:tr2bl w:val="nil"/>
                  </w:tcBorders>
                  <w:vAlign w:val="center"/>
                </w:tcPr>
                <w:p w14:paraId="21F6D69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厂界四周</w:t>
                  </w:r>
                </w:p>
              </w:tc>
              <w:tc>
                <w:tcPr>
                  <w:tcW w:w="755" w:type="pct"/>
                  <w:tcBorders>
                    <w:tl2br w:val="nil"/>
                    <w:tr2bl w:val="nil"/>
                  </w:tcBorders>
                  <w:vAlign w:val="center"/>
                </w:tcPr>
                <w:p w14:paraId="695CB21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1次/季度</w:t>
                  </w:r>
                </w:p>
              </w:tc>
              <w:tc>
                <w:tcPr>
                  <w:tcW w:w="2182" w:type="pct"/>
                  <w:tcBorders>
                    <w:tl2br w:val="nil"/>
                    <w:tr2bl w:val="nil"/>
                  </w:tcBorders>
                  <w:vAlign w:val="center"/>
                </w:tcPr>
                <w:p w14:paraId="32851C5D">
                  <w:pPr>
                    <w:widowControl/>
                    <w:spacing w:before="60" w:line="259" w:lineRule="auto"/>
                    <w:ind w:right="113" w:firstLine="0" w:firstLineChars="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《工业企业厂界环境噪声排放标准》（GB12348-2008）2类标准要求</w:t>
                  </w:r>
                </w:p>
              </w:tc>
            </w:tr>
            <w:tr w14:paraId="3115CF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tcBorders>
                    <w:tl2br w:val="nil"/>
                    <w:tr2bl w:val="nil"/>
                  </w:tcBorders>
                  <w:vAlign w:val="center"/>
                </w:tcPr>
                <w:p w14:paraId="480560A7">
                  <w:pPr>
                    <w:widowControl/>
                    <w:spacing w:before="60" w:line="259" w:lineRule="auto"/>
                    <w:ind w:right="113" w:firstLine="0" w:firstLineChars="0"/>
                    <w:jc w:val="left"/>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备注：本项目夜间不生产，故不进行夜间监测</w:t>
                  </w:r>
                </w:p>
              </w:tc>
            </w:tr>
          </w:tbl>
          <w:p w14:paraId="49824577">
            <w:pPr>
              <w:adjustRightInd/>
              <w:snapToGrid/>
              <w:ind w:firstLine="482"/>
              <w:rPr>
                <w:rFonts w:hint="default" w:ascii="Times New Roman" w:hAnsi="Times New Roman" w:cs="Times New Roman"/>
                <w:b/>
                <w:color w:val="auto"/>
              </w:rPr>
            </w:pPr>
            <w:r>
              <w:rPr>
                <w:rFonts w:hint="default" w:ascii="Times New Roman" w:hAnsi="Times New Roman" w:cs="Times New Roman"/>
                <w:b/>
                <w:color w:val="auto"/>
              </w:rPr>
              <w:t>4、固体废弃物</w:t>
            </w:r>
          </w:p>
          <w:p w14:paraId="61714D9B">
            <w:pPr>
              <w:widowControl/>
              <w:adjustRightInd/>
              <w:snapToGrid/>
              <w:ind w:firstLine="480"/>
              <w:jc w:val="left"/>
              <w:rPr>
                <w:rFonts w:hint="default" w:ascii="Times New Roman" w:hAnsi="Times New Roman" w:cs="Times New Roman"/>
                <w:color w:val="auto"/>
              </w:rPr>
            </w:pPr>
            <w:r>
              <w:rPr>
                <w:rFonts w:hint="default" w:ascii="Times New Roman" w:hAnsi="Times New Roman" w:cs="Times New Roman"/>
                <w:color w:val="auto"/>
              </w:rPr>
              <w:t>本项目固体废物主要为职工生活垃圾、废活性炭及废机油、废机油桶、废含油抹布、手套等。</w:t>
            </w:r>
          </w:p>
          <w:p w14:paraId="01384EF2">
            <w:pPr>
              <w:widowControl/>
              <w:adjustRightInd/>
              <w:snapToGrid/>
              <w:ind w:firstLine="480"/>
              <w:jc w:val="left"/>
              <w:rPr>
                <w:rFonts w:hint="default" w:ascii="Times New Roman" w:hAnsi="Times New Roman" w:cs="Times New Roman"/>
                <w:color w:val="auto"/>
              </w:rPr>
            </w:pPr>
            <w:r>
              <w:rPr>
                <w:rFonts w:hint="default" w:ascii="Times New Roman" w:hAnsi="Times New Roman" w:cs="Times New Roman"/>
                <w:color w:val="auto"/>
              </w:rPr>
              <w:t>（1）生活垃圾</w:t>
            </w:r>
          </w:p>
          <w:p w14:paraId="33907AF7">
            <w:pPr>
              <w:adjustRightInd/>
              <w:snapToGrid/>
              <w:ind w:firstLine="480"/>
              <w:rPr>
                <w:rFonts w:hint="default" w:ascii="Times New Roman" w:hAnsi="Times New Roman" w:cs="Times New Roman"/>
                <w:color w:val="auto"/>
              </w:rPr>
            </w:pPr>
            <w:r>
              <w:rPr>
                <w:rFonts w:hint="default" w:ascii="Times New Roman" w:hAnsi="Times New Roman" w:cs="Times New Roman"/>
                <w:color w:val="auto"/>
              </w:rPr>
              <w:t>本项目共有职工60人，生活垃圾以每人每天0.5kg计，则生活垃圾产生量为8.4t/a。生活垃圾由环卫部门统一收集处理。</w:t>
            </w:r>
          </w:p>
          <w:p w14:paraId="22772D37">
            <w:pPr>
              <w:ind w:firstLine="480"/>
              <w:rPr>
                <w:rFonts w:hint="default" w:ascii="Times New Roman" w:hAnsi="Times New Roman" w:cs="Times New Roman"/>
                <w:color w:val="auto"/>
              </w:rPr>
            </w:pPr>
            <w:r>
              <w:rPr>
                <w:rFonts w:hint="default" w:ascii="Times New Roman" w:hAnsi="Times New Roman" w:cs="Times New Roman"/>
                <w:color w:val="auto"/>
              </w:rPr>
              <w:t>（2）废活性炭</w:t>
            </w:r>
          </w:p>
          <w:p w14:paraId="337AF3C9">
            <w:pPr>
              <w:widowControl/>
              <w:adjustRightInd/>
              <w:snapToGrid/>
              <w:ind w:firstLine="480"/>
              <w:jc w:val="left"/>
              <w:rPr>
                <w:rFonts w:hint="default" w:ascii="Times New Roman" w:hAnsi="Times New Roman" w:cs="Times New Roman"/>
                <w:color w:val="auto"/>
                <w:kern w:val="0"/>
                <w:lang w:bidi="ar"/>
              </w:rPr>
            </w:pPr>
            <w:r>
              <w:rPr>
                <w:rFonts w:hint="default" w:ascii="Times New Roman" w:hAnsi="Times New Roman" w:cs="Times New Roman"/>
                <w:color w:val="auto"/>
                <w:kern w:val="0"/>
                <w:lang w:bidi="ar"/>
              </w:rPr>
              <w:t>本项目采用“两级活性炭吸附装置”的方式处理有机废气，活性炭拟采用碘值≥600mg/g蜂窝活性炭，产生的废活性炭属于危险废物（代码900-039-49）。经计算，活性炭吸附装置吸附的有机废气为1.</w:t>
            </w:r>
            <w:r>
              <w:rPr>
                <w:rFonts w:hint="default" w:ascii="Times New Roman" w:hAnsi="Times New Roman" w:cs="Times New Roman"/>
                <w:color w:val="auto"/>
                <w:kern w:val="0"/>
                <w:lang w:val="en-US" w:eastAsia="zh-CN" w:bidi="ar"/>
              </w:rPr>
              <w:t>560</w:t>
            </w:r>
            <w:r>
              <w:rPr>
                <w:rFonts w:hint="default" w:ascii="Times New Roman" w:hAnsi="Times New Roman" w:cs="Times New Roman"/>
                <w:color w:val="auto"/>
                <w:kern w:val="0"/>
                <w:lang w:bidi="ar"/>
              </w:rPr>
              <w:t>t/a，1吨活性炭可吸附250~260kg有机废气，本次按250kg计，则本项目活性炭用量约为</w:t>
            </w:r>
            <w:r>
              <w:rPr>
                <w:rFonts w:hint="default" w:ascii="Times New Roman" w:hAnsi="Times New Roman" w:cs="Times New Roman"/>
                <w:color w:val="auto"/>
                <w:kern w:val="0"/>
                <w:lang w:val="en-US" w:eastAsia="zh-CN" w:bidi="ar"/>
              </w:rPr>
              <w:t>6.24</w:t>
            </w:r>
            <w:r>
              <w:rPr>
                <w:rFonts w:hint="default" w:ascii="Times New Roman" w:hAnsi="Times New Roman" w:cs="Times New Roman"/>
                <w:color w:val="auto"/>
                <w:kern w:val="0"/>
                <w:lang w:bidi="ar"/>
              </w:rPr>
              <w:t>t/a，则废活性炭产生量为</w:t>
            </w:r>
            <w:r>
              <w:rPr>
                <w:rFonts w:hint="default" w:ascii="Times New Roman" w:hAnsi="Times New Roman" w:cs="Times New Roman"/>
                <w:color w:val="auto"/>
                <w:kern w:val="0"/>
                <w:lang w:val="en-US" w:eastAsia="zh-CN" w:bidi="ar"/>
              </w:rPr>
              <w:t>7.8</w:t>
            </w:r>
            <w:r>
              <w:rPr>
                <w:rFonts w:hint="default" w:ascii="Times New Roman" w:hAnsi="Times New Roman" w:cs="Times New Roman"/>
                <w:color w:val="auto"/>
                <w:kern w:val="0"/>
                <w:lang w:bidi="ar"/>
              </w:rPr>
              <w:t>t，定期更换后暂存于危废贮存库密封保存，定期交由有危废处置资质公司进行处置。</w:t>
            </w:r>
          </w:p>
          <w:p w14:paraId="4CCDC543">
            <w:pPr>
              <w:ind w:firstLine="480"/>
              <w:rPr>
                <w:rFonts w:hint="default" w:ascii="Times New Roman" w:hAnsi="Times New Roman" w:cs="Times New Roman"/>
                <w:color w:val="auto"/>
              </w:rPr>
            </w:pPr>
            <w:r>
              <w:rPr>
                <w:rFonts w:hint="default" w:ascii="Times New Roman" w:hAnsi="Times New Roman" w:cs="Times New Roman"/>
                <w:color w:val="auto"/>
              </w:rPr>
              <w:t>根据建设单位提供资料，本项目采用的蜂窝活性炭规格为100×100×50mm，发泡车间、深加工车间所用活性炭吸附装置均为6个抽屉（2个1m×0.6m，4个1m×0.5m），初始装填量为60.2kg，复合车间、回收车间所用活性炭吸附装置均为8个抽屉（1m×0.5m），初始装填量为70kg，则本项目初始装填量共为260.4kg。</w:t>
            </w:r>
            <w:r>
              <w:rPr>
                <w:rFonts w:hint="default" w:ascii="Times New Roman" w:hAnsi="Times New Roman" w:cs="Times New Roman"/>
                <w:color w:val="auto"/>
                <w:kern w:val="0"/>
                <w:lang w:bidi="ar"/>
              </w:rPr>
              <w:t>本环评建议定期更换活性炭，以保证设备的处理效率达标。</w:t>
            </w:r>
          </w:p>
          <w:p w14:paraId="1688AA6C">
            <w:pPr>
              <w:ind w:firstLine="480"/>
              <w:rPr>
                <w:rFonts w:hint="default" w:ascii="Times New Roman" w:hAnsi="Times New Roman" w:cs="Times New Roman"/>
                <w:color w:val="auto"/>
              </w:rPr>
            </w:pPr>
            <w:r>
              <w:rPr>
                <w:rFonts w:hint="default" w:ascii="Times New Roman" w:hAnsi="Times New Roman" w:cs="Times New Roman"/>
                <w:color w:val="auto"/>
              </w:rPr>
              <w:t>（3）废机油</w:t>
            </w:r>
          </w:p>
          <w:p w14:paraId="082CDFC5">
            <w:pPr>
              <w:ind w:firstLine="480"/>
              <w:rPr>
                <w:rFonts w:hint="default" w:ascii="Times New Roman" w:hAnsi="Times New Roman" w:cs="Times New Roman"/>
                <w:color w:val="auto"/>
                <w:kern w:val="0"/>
              </w:rPr>
            </w:pPr>
            <w:r>
              <w:rPr>
                <w:rFonts w:hint="default" w:ascii="Times New Roman" w:hAnsi="Times New Roman" w:cs="Times New Roman"/>
                <w:color w:val="auto"/>
                <w:kern w:val="0"/>
              </w:rPr>
              <w:t>本项目设备维修废机油（代码900-214-08）产生量约为0.04t/a，暂存于危废贮存库，定期委托有资质单位处置。机油使用过程中会产生废机油桶（代码900-249-08），每桶按2.5kg计算，则项目产生废包装桶共约4个/a，0.01t/a。</w:t>
            </w:r>
          </w:p>
          <w:p w14:paraId="094256BA">
            <w:pPr>
              <w:ind w:firstLine="480"/>
              <w:rPr>
                <w:rFonts w:hint="default" w:ascii="Times New Roman" w:hAnsi="Times New Roman" w:cs="Times New Roman"/>
                <w:color w:val="auto"/>
                <w:kern w:val="0"/>
              </w:rPr>
            </w:pPr>
            <w:r>
              <w:rPr>
                <w:rFonts w:hint="default" w:ascii="Times New Roman" w:hAnsi="Times New Roman" w:cs="Times New Roman"/>
                <w:color w:val="auto"/>
                <w:kern w:val="0"/>
              </w:rPr>
              <w:t>废含油抹布、手套（代码900-041-49），产生量约为0.01t/a。</w:t>
            </w:r>
          </w:p>
          <w:p w14:paraId="2541C27C">
            <w:pPr>
              <w:ind w:firstLine="480"/>
              <w:rPr>
                <w:rFonts w:hint="default" w:ascii="Times New Roman" w:hAnsi="Times New Roman" w:cs="Times New Roman"/>
                <w:color w:val="auto"/>
                <w:kern w:val="0"/>
              </w:rPr>
            </w:pPr>
            <w:r>
              <w:rPr>
                <w:rFonts w:hint="default" w:ascii="Times New Roman" w:hAnsi="Times New Roman" w:cs="Times New Roman"/>
                <w:color w:val="auto"/>
                <w:kern w:val="0"/>
              </w:rPr>
              <w:t>废机油、废机油桶、废含油抹布、手套暂存于危废贮存库，定期交由有危废处置资质公司进行处置。</w:t>
            </w:r>
          </w:p>
          <w:p w14:paraId="2ACA88F9">
            <w:pPr>
              <w:ind w:firstLine="480"/>
              <w:rPr>
                <w:rFonts w:hint="default" w:ascii="Times New Roman" w:hAnsi="Times New Roman" w:cs="Times New Roman"/>
                <w:color w:val="auto"/>
              </w:rPr>
            </w:pPr>
            <w:r>
              <w:rPr>
                <w:rFonts w:hint="default" w:ascii="Times New Roman" w:hAnsi="Times New Roman" w:cs="Times New Roman"/>
                <w:color w:val="auto"/>
              </w:rPr>
              <w:t>（4）废油脂</w:t>
            </w:r>
          </w:p>
          <w:p w14:paraId="1A1E0176">
            <w:pPr>
              <w:ind w:firstLine="480"/>
              <w:rPr>
                <w:rFonts w:hint="default" w:ascii="Times New Roman" w:hAnsi="Times New Roman" w:cs="Times New Roman"/>
                <w:color w:val="auto"/>
              </w:rPr>
            </w:pPr>
            <w:r>
              <w:rPr>
                <w:rFonts w:hint="default" w:ascii="Times New Roman" w:hAnsi="Times New Roman" w:cs="Times New Roman"/>
                <w:color w:val="auto"/>
              </w:rPr>
              <w:t>本项目废油脂（代码900-002-S61）占食堂年耗油量的20%，即产生量为0.084t/a，废油脂收集后交由资质单位处置。</w:t>
            </w:r>
          </w:p>
          <w:p w14:paraId="559AAC52">
            <w:pPr>
              <w:ind w:firstLine="480"/>
              <w:rPr>
                <w:rFonts w:hint="default" w:ascii="Times New Roman" w:hAnsi="Times New Roman" w:cs="Times New Roman"/>
                <w:color w:val="auto"/>
              </w:rPr>
            </w:pPr>
            <w:r>
              <w:rPr>
                <w:rFonts w:hint="default" w:ascii="Times New Roman" w:hAnsi="Times New Roman" w:cs="Times New Roman"/>
                <w:color w:val="auto"/>
              </w:rPr>
              <w:t>（5）化粪池污泥</w:t>
            </w:r>
          </w:p>
          <w:p w14:paraId="0EE67DEB">
            <w:pPr>
              <w:ind w:firstLine="480"/>
              <w:rPr>
                <w:rFonts w:hint="default" w:ascii="Times New Roman" w:hAnsi="Times New Roman" w:cs="Times New Roman"/>
                <w:color w:val="auto"/>
              </w:rPr>
            </w:pPr>
            <w:r>
              <w:rPr>
                <w:rFonts w:hint="default" w:ascii="Times New Roman" w:hAnsi="Times New Roman" w:cs="Times New Roman"/>
                <w:color w:val="auto"/>
              </w:rPr>
              <w:t>化粪池污泥（代码900-002-S64）为一般固废，污泥产生量为0.6（kg/t·污水），本项目生活污水产生量为1117.44t/a，则污泥产生量为0.67t/a，定期清掏肥田。</w:t>
            </w:r>
          </w:p>
          <w:p w14:paraId="37FA3A0A">
            <w:pPr>
              <w:keepNext/>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表4-10  项目固废产排情况</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0"/>
              <w:gridCol w:w="1772"/>
              <w:gridCol w:w="918"/>
              <w:gridCol w:w="1294"/>
              <w:gridCol w:w="1855"/>
              <w:gridCol w:w="1323"/>
            </w:tblGrid>
            <w:tr w14:paraId="156BAF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vAlign w:val="center"/>
                </w:tcPr>
                <w:p w14:paraId="47272A0B">
                  <w:pPr>
                    <w:keepNext/>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1027" w:type="pct"/>
                  <w:tcBorders>
                    <w:tl2br w:val="nil"/>
                    <w:tr2bl w:val="nil"/>
                  </w:tcBorders>
                  <w:vAlign w:val="center"/>
                </w:tcPr>
                <w:p w14:paraId="1C76BFCB">
                  <w:pPr>
                    <w:keepNext/>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属性</w:t>
                  </w:r>
                </w:p>
              </w:tc>
              <w:tc>
                <w:tcPr>
                  <w:tcW w:w="532" w:type="pct"/>
                  <w:tcBorders>
                    <w:tl2br w:val="nil"/>
                    <w:tr2bl w:val="nil"/>
                  </w:tcBorders>
                  <w:vAlign w:val="center"/>
                </w:tcPr>
                <w:p w14:paraId="0ED57D45">
                  <w:pPr>
                    <w:keepNext/>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750" w:type="pct"/>
                  <w:tcBorders>
                    <w:tl2br w:val="nil"/>
                    <w:tr2bl w:val="nil"/>
                  </w:tcBorders>
                  <w:vAlign w:val="center"/>
                </w:tcPr>
                <w:p w14:paraId="33947DB9">
                  <w:pPr>
                    <w:keepNext/>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贮存方式</w:t>
                  </w:r>
                </w:p>
              </w:tc>
              <w:tc>
                <w:tcPr>
                  <w:tcW w:w="1075" w:type="pct"/>
                  <w:tcBorders>
                    <w:tl2br w:val="nil"/>
                    <w:tr2bl w:val="nil"/>
                  </w:tcBorders>
                  <w:vAlign w:val="center"/>
                </w:tcPr>
                <w:p w14:paraId="62024413">
                  <w:pPr>
                    <w:keepNext/>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利用处置方式和去向</w:t>
                  </w:r>
                </w:p>
              </w:tc>
              <w:tc>
                <w:tcPr>
                  <w:tcW w:w="767" w:type="pct"/>
                  <w:tcBorders>
                    <w:tl2br w:val="nil"/>
                    <w:tr2bl w:val="nil"/>
                  </w:tcBorders>
                  <w:vAlign w:val="center"/>
                </w:tcPr>
                <w:p w14:paraId="5915B4F9">
                  <w:pPr>
                    <w:keepNext/>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利用或处置量t/a</w:t>
                  </w:r>
                </w:p>
              </w:tc>
            </w:tr>
            <w:tr w14:paraId="78E96A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vAlign w:val="center"/>
                </w:tcPr>
                <w:p w14:paraId="27E0FAD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1027" w:type="pct"/>
                  <w:tcBorders>
                    <w:tl2br w:val="nil"/>
                    <w:tr2bl w:val="nil"/>
                  </w:tcBorders>
                  <w:vAlign w:val="center"/>
                </w:tcPr>
                <w:p w14:paraId="560974C4">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532" w:type="pct"/>
                  <w:tcBorders>
                    <w:tl2br w:val="nil"/>
                    <w:tr2bl w:val="nil"/>
                  </w:tcBorders>
                  <w:vAlign w:val="center"/>
                </w:tcPr>
                <w:p w14:paraId="1118C097">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8.4</w:t>
                  </w:r>
                </w:p>
              </w:tc>
              <w:tc>
                <w:tcPr>
                  <w:tcW w:w="750" w:type="pct"/>
                  <w:tcBorders>
                    <w:tl2br w:val="nil"/>
                    <w:tr2bl w:val="nil"/>
                  </w:tcBorders>
                  <w:vAlign w:val="center"/>
                </w:tcPr>
                <w:p w14:paraId="4CABD765">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垃圾桶收集</w:t>
                  </w:r>
                </w:p>
              </w:tc>
              <w:tc>
                <w:tcPr>
                  <w:tcW w:w="1075" w:type="pct"/>
                  <w:tcBorders>
                    <w:tl2br w:val="nil"/>
                    <w:tr2bl w:val="nil"/>
                  </w:tcBorders>
                  <w:vAlign w:val="center"/>
                </w:tcPr>
                <w:p w14:paraId="404BEAA3">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环卫部门清运</w:t>
                  </w:r>
                </w:p>
              </w:tc>
              <w:tc>
                <w:tcPr>
                  <w:tcW w:w="767" w:type="pct"/>
                  <w:tcBorders>
                    <w:tl2br w:val="nil"/>
                    <w:tr2bl w:val="nil"/>
                  </w:tcBorders>
                  <w:vAlign w:val="center"/>
                </w:tcPr>
                <w:p w14:paraId="0BF84E5F">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8.4</w:t>
                  </w:r>
                </w:p>
              </w:tc>
            </w:tr>
            <w:tr w14:paraId="0F8EB7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vAlign w:val="center"/>
                </w:tcPr>
                <w:p w14:paraId="489DAA5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废油脂</w:t>
                  </w:r>
                </w:p>
              </w:tc>
              <w:tc>
                <w:tcPr>
                  <w:tcW w:w="1027" w:type="pct"/>
                  <w:tcBorders>
                    <w:tl2br w:val="nil"/>
                    <w:tr2bl w:val="nil"/>
                  </w:tcBorders>
                  <w:vAlign w:val="center"/>
                </w:tcPr>
                <w:p w14:paraId="5E46E214">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p w14:paraId="55247EFE">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900-002-S61</w:t>
                  </w:r>
                </w:p>
              </w:tc>
              <w:tc>
                <w:tcPr>
                  <w:tcW w:w="532" w:type="pct"/>
                  <w:tcBorders>
                    <w:tl2br w:val="nil"/>
                    <w:tr2bl w:val="nil"/>
                  </w:tcBorders>
                  <w:vAlign w:val="center"/>
                </w:tcPr>
                <w:p w14:paraId="4F548DF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0.084</w:t>
                  </w:r>
                </w:p>
              </w:tc>
              <w:tc>
                <w:tcPr>
                  <w:tcW w:w="1825" w:type="pct"/>
                  <w:gridSpan w:val="2"/>
                  <w:tcBorders>
                    <w:tl2br w:val="nil"/>
                    <w:tr2bl w:val="nil"/>
                  </w:tcBorders>
                  <w:vAlign w:val="center"/>
                </w:tcPr>
                <w:p w14:paraId="11519D17">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收集后交由资质单位处置</w:t>
                  </w:r>
                </w:p>
              </w:tc>
              <w:tc>
                <w:tcPr>
                  <w:tcW w:w="767" w:type="pct"/>
                  <w:tcBorders>
                    <w:tl2br w:val="nil"/>
                    <w:tr2bl w:val="nil"/>
                  </w:tcBorders>
                  <w:vAlign w:val="center"/>
                </w:tcPr>
                <w:p w14:paraId="0159B54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0.084</w:t>
                  </w:r>
                </w:p>
              </w:tc>
            </w:tr>
            <w:tr w14:paraId="23C0B2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vAlign w:val="center"/>
                </w:tcPr>
                <w:p w14:paraId="001E149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化粪池污泥</w:t>
                  </w:r>
                </w:p>
              </w:tc>
              <w:tc>
                <w:tcPr>
                  <w:tcW w:w="1027" w:type="pct"/>
                  <w:tcBorders>
                    <w:tl2br w:val="nil"/>
                    <w:tr2bl w:val="nil"/>
                  </w:tcBorders>
                  <w:vAlign w:val="center"/>
                </w:tcPr>
                <w:p w14:paraId="2C25B2D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p w14:paraId="6D4DD4A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900-002-S64</w:t>
                  </w:r>
                </w:p>
              </w:tc>
              <w:tc>
                <w:tcPr>
                  <w:tcW w:w="532" w:type="pct"/>
                  <w:tcBorders>
                    <w:tl2br w:val="nil"/>
                    <w:tr2bl w:val="nil"/>
                  </w:tcBorders>
                  <w:vAlign w:val="center"/>
                </w:tcPr>
                <w:p w14:paraId="56A31A03">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0.67</w:t>
                  </w:r>
                </w:p>
              </w:tc>
              <w:tc>
                <w:tcPr>
                  <w:tcW w:w="1825" w:type="pct"/>
                  <w:gridSpan w:val="2"/>
                  <w:tcBorders>
                    <w:tl2br w:val="nil"/>
                    <w:tr2bl w:val="nil"/>
                  </w:tcBorders>
                  <w:vAlign w:val="center"/>
                </w:tcPr>
                <w:p w14:paraId="120916EA">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定期清掏肥田</w:t>
                  </w:r>
                </w:p>
              </w:tc>
              <w:tc>
                <w:tcPr>
                  <w:tcW w:w="767" w:type="pct"/>
                  <w:tcBorders>
                    <w:tl2br w:val="nil"/>
                    <w:tr2bl w:val="nil"/>
                  </w:tcBorders>
                  <w:vAlign w:val="center"/>
                </w:tcPr>
                <w:p w14:paraId="181BFB49">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0.67</w:t>
                  </w:r>
                </w:p>
              </w:tc>
            </w:tr>
            <w:tr w14:paraId="711B0C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vAlign w:val="center"/>
                </w:tcPr>
                <w:p w14:paraId="0362CF93">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w:t>
                  </w:r>
                </w:p>
              </w:tc>
              <w:tc>
                <w:tcPr>
                  <w:tcW w:w="1027" w:type="pct"/>
                  <w:tcBorders>
                    <w:tl2br w:val="nil"/>
                    <w:tr2bl w:val="nil"/>
                  </w:tcBorders>
                  <w:vAlign w:val="center"/>
                </w:tcPr>
                <w:p w14:paraId="3721DFC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危险废物900-214-08</w:t>
                  </w:r>
                </w:p>
              </w:tc>
              <w:tc>
                <w:tcPr>
                  <w:tcW w:w="532" w:type="pct"/>
                  <w:tcBorders>
                    <w:tl2br w:val="nil"/>
                    <w:tr2bl w:val="nil"/>
                  </w:tcBorders>
                  <w:vAlign w:val="center"/>
                </w:tcPr>
                <w:p w14:paraId="2601E980">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0.04</w:t>
                  </w:r>
                </w:p>
              </w:tc>
              <w:tc>
                <w:tcPr>
                  <w:tcW w:w="750" w:type="pct"/>
                  <w:vMerge w:val="restart"/>
                  <w:tcBorders>
                    <w:tl2br w:val="nil"/>
                    <w:tr2bl w:val="nil"/>
                  </w:tcBorders>
                  <w:shd w:val="clear" w:color="auto" w:fill="auto"/>
                  <w:vAlign w:val="center"/>
                </w:tcPr>
                <w:p w14:paraId="2A64F846">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危废贮存库暂存</w:t>
                  </w:r>
                </w:p>
              </w:tc>
              <w:tc>
                <w:tcPr>
                  <w:tcW w:w="1075" w:type="pct"/>
                  <w:vMerge w:val="restart"/>
                  <w:tcBorders>
                    <w:tl2br w:val="nil"/>
                    <w:tr2bl w:val="nil"/>
                  </w:tcBorders>
                  <w:shd w:val="clear" w:color="auto" w:fill="auto"/>
                  <w:vAlign w:val="center"/>
                </w:tcPr>
                <w:p w14:paraId="5B38BB9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定期委托有资质单位处置</w:t>
                  </w:r>
                </w:p>
              </w:tc>
              <w:tc>
                <w:tcPr>
                  <w:tcW w:w="767" w:type="pct"/>
                  <w:tcBorders>
                    <w:tl2br w:val="nil"/>
                    <w:tr2bl w:val="nil"/>
                  </w:tcBorders>
                  <w:vAlign w:val="center"/>
                </w:tcPr>
                <w:p w14:paraId="26C96D77">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0.04</w:t>
                  </w:r>
                </w:p>
              </w:tc>
            </w:tr>
            <w:tr w14:paraId="0B9D91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vAlign w:val="center"/>
                </w:tcPr>
                <w:p w14:paraId="71D8A5FF">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废机油桶</w:t>
                  </w:r>
                </w:p>
              </w:tc>
              <w:tc>
                <w:tcPr>
                  <w:tcW w:w="1027" w:type="pct"/>
                  <w:tcBorders>
                    <w:tl2br w:val="nil"/>
                    <w:tr2bl w:val="nil"/>
                  </w:tcBorders>
                  <w:vAlign w:val="center"/>
                </w:tcPr>
                <w:p w14:paraId="7C437AE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危险废物900-249-08</w:t>
                  </w:r>
                </w:p>
              </w:tc>
              <w:tc>
                <w:tcPr>
                  <w:tcW w:w="532" w:type="pct"/>
                  <w:tcBorders>
                    <w:tl2br w:val="nil"/>
                    <w:tr2bl w:val="nil"/>
                  </w:tcBorders>
                  <w:vAlign w:val="center"/>
                </w:tcPr>
                <w:p w14:paraId="6A5422A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0.01</w:t>
                  </w:r>
                </w:p>
              </w:tc>
              <w:tc>
                <w:tcPr>
                  <w:tcW w:w="750" w:type="pct"/>
                  <w:vMerge w:val="continue"/>
                  <w:tcBorders>
                    <w:tl2br w:val="nil"/>
                    <w:tr2bl w:val="nil"/>
                  </w:tcBorders>
                  <w:vAlign w:val="center"/>
                </w:tcPr>
                <w:p w14:paraId="5C75388B">
                  <w:pPr>
                    <w:autoSpaceDE w:val="0"/>
                    <w:autoSpaceDN w:val="0"/>
                    <w:spacing w:line="240" w:lineRule="auto"/>
                    <w:ind w:firstLine="0" w:firstLineChars="0"/>
                    <w:jc w:val="center"/>
                    <w:rPr>
                      <w:rFonts w:hint="default" w:ascii="Times New Roman" w:hAnsi="Times New Roman" w:cs="Times New Roman"/>
                      <w:color w:val="auto"/>
                      <w:sz w:val="21"/>
                      <w:szCs w:val="21"/>
                    </w:rPr>
                  </w:pPr>
                </w:p>
              </w:tc>
              <w:tc>
                <w:tcPr>
                  <w:tcW w:w="1075" w:type="pct"/>
                  <w:vMerge w:val="continue"/>
                  <w:tcBorders>
                    <w:tl2br w:val="nil"/>
                    <w:tr2bl w:val="nil"/>
                  </w:tcBorders>
                  <w:vAlign w:val="center"/>
                </w:tcPr>
                <w:p w14:paraId="05255E3A">
                  <w:pPr>
                    <w:autoSpaceDE w:val="0"/>
                    <w:autoSpaceDN w:val="0"/>
                    <w:spacing w:line="240" w:lineRule="auto"/>
                    <w:ind w:firstLine="0" w:firstLineChars="0"/>
                    <w:jc w:val="center"/>
                    <w:rPr>
                      <w:rFonts w:hint="default" w:ascii="Times New Roman" w:hAnsi="Times New Roman" w:cs="Times New Roman"/>
                      <w:color w:val="auto"/>
                      <w:sz w:val="21"/>
                      <w:szCs w:val="21"/>
                    </w:rPr>
                  </w:pPr>
                </w:p>
              </w:tc>
              <w:tc>
                <w:tcPr>
                  <w:tcW w:w="767" w:type="pct"/>
                  <w:tcBorders>
                    <w:tl2br w:val="nil"/>
                    <w:tr2bl w:val="nil"/>
                  </w:tcBorders>
                  <w:vAlign w:val="center"/>
                </w:tcPr>
                <w:p w14:paraId="386DF38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0.01</w:t>
                  </w:r>
                </w:p>
              </w:tc>
            </w:tr>
            <w:tr w14:paraId="2AA0B1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vAlign w:val="center"/>
                </w:tcPr>
                <w:p w14:paraId="7E5F23E2">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废含油抹布、手套</w:t>
                  </w:r>
                </w:p>
              </w:tc>
              <w:tc>
                <w:tcPr>
                  <w:tcW w:w="1027" w:type="pct"/>
                  <w:tcBorders>
                    <w:tl2br w:val="nil"/>
                    <w:tr2bl w:val="nil"/>
                  </w:tcBorders>
                  <w:vAlign w:val="center"/>
                </w:tcPr>
                <w:p w14:paraId="0A38BB1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危险废物900-041-49</w:t>
                  </w:r>
                </w:p>
              </w:tc>
              <w:tc>
                <w:tcPr>
                  <w:tcW w:w="532" w:type="pct"/>
                  <w:tcBorders>
                    <w:tl2br w:val="nil"/>
                    <w:tr2bl w:val="nil"/>
                  </w:tcBorders>
                  <w:vAlign w:val="center"/>
                </w:tcPr>
                <w:p w14:paraId="6B9ED77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0.01</w:t>
                  </w:r>
                </w:p>
              </w:tc>
              <w:tc>
                <w:tcPr>
                  <w:tcW w:w="750" w:type="pct"/>
                  <w:vMerge w:val="continue"/>
                  <w:tcBorders>
                    <w:tl2br w:val="nil"/>
                    <w:tr2bl w:val="nil"/>
                  </w:tcBorders>
                  <w:vAlign w:val="center"/>
                </w:tcPr>
                <w:p w14:paraId="0663B8E9">
                  <w:pPr>
                    <w:autoSpaceDE w:val="0"/>
                    <w:autoSpaceDN w:val="0"/>
                    <w:spacing w:line="240" w:lineRule="auto"/>
                    <w:ind w:firstLine="0" w:firstLineChars="0"/>
                    <w:jc w:val="center"/>
                    <w:rPr>
                      <w:rFonts w:hint="default" w:ascii="Times New Roman" w:hAnsi="Times New Roman" w:cs="Times New Roman"/>
                      <w:color w:val="auto"/>
                      <w:sz w:val="21"/>
                      <w:szCs w:val="21"/>
                    </w:rPr>
                  </w:pPr>
                </w:p>
              </w:tc>
              <w:tc>
                <w:tcPr>
                  <w:tcW w:w="1075" w:type="pct"/>
                  <w:vMerge w:val="continue"/>
                  <w:tcBorders>
                    <w:tl2br w:val="nil"/>
                    <w:tr2bl w:val="nil"/>
                  </w:tcBorders>
                  <w:vAlign w:val="center"/>
                </w:tcPr>
                <w:p w14:paraId="2B2B273B">
                  <w:pPr>
                    <w:autoSpaceDE w:val="0"/>
                    <w:autoSpaceDN w:val="0"/>
                    <w:spacing w:line="240" w:lineRule="auto"/>
                    <w:ind w:firstLine="0" w:firstLineChars="0"/>
                    <w:jc w:val="center"/>
                    <w:rPr>
                      <w:rFonts w:hint="default" w:ascii="Times New Roman" w:hAnsi="Times New Roman" w:cs="Times New Roman"/>
                      <w:color w:val="auto"/>
                      <w:sz w:val="21"/>
                      <w:szCs w:val="21"/>
                    </w:rPr>
                  </w:pPr>
                </w:p>
              </w:tc>
              <w:tc>
                <w:tcPr>
                  <w:tcW w:w="767" w:type="pct"/>
                  <w:tcBorders>
                    <w:tl2br w:val="nil"/>
                    <w:tr2bl w:val="nil"/>
                  </w:tcBorders>
                  <w:vAlign w:val="center"/>
                </w:tcPr>
                <w:p w14:paraId="104B2476">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0.01</w:t>
                  </w:r>
                </w:p>
              </w:tc>
            </w:tr>
            <w:tr w14:paraId="2F924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 w:type="pct"/>
                  <w:tcBorders>
                    <w:tl2br w:val="nil"/>
                    <w:tr2bl w:val="nil"/>
                  </w:tcBorders>
                  <w:vAlign w:val="center"/>
                </w:tcPr>
                <w:p w14:paraId="7D1FBA1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1027" w:type="pct"/>
                  <w:tcBorders>
                    <w:tl2br w:val="nil"/>
                    <w:tr2bl w:val="nil"/>
                  </w:tcBorders>
                  <w:vAlign w:val="center"/>
                </w:tcPr>
                <w:p w14:paraId="48671CD9">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危险废物900-039-49</w:t>
                  </w:r>
                </w:p>
              </w:tc>
              <w:tc>
                <w:tcPr>
                  <w:tcW w:w="532" w:type="pct"/>
                  <w:tcBorders>
                    <w:tl2br w:val="nil"/>
                    <w:tr2bl w:val="nil"/>
                  </w:tcBorders>
                  <w:vAlign w:val="center"/>
                </w:tcPr>
                <w:p w14:paraId="3C07BFE5">
                  <w:pPr>
                    <w:autoSpaceDE w:val="0"/>
                    <w:autoSpaceDN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7.8</w:t>
                  </w:r>
                </w:p>
              </w:tc>
              <w:tc>
                <w:tcPr>
                  <w:tcW w:w="750" w:type="pct"/>
                  <w:vMerge w:val="continue"/>
                  <w:tcBorders>
                    <w:tl2br w:val="nil"/>
                    <w:tr2bl w:val="nil"/>
                  </w:tcBorders>
                  <w:vAlign w:val="center"/>
                </w:tcPr>
                <w:p w14:paraId="5B11E4E3">
                  <w:pPr>
                    <w:autoSpaceDE w:val="0"/>
                    <w:autoSpaceDN w:val="0"/>
                    <w:spacing w:line="240" w:lineRule="auto"/>
                    <w:ind w:firstLine="0" w:firstLineChars="0"/>
                    <w:jc w:val="center"/>
                    <w:rPr>
                      <w:rFonts w:hint="default" w:ascii="Times New Roman" w:hAnsi="Times New Roman" w:cs="Times New Roman"/>
                      <w:color w:val="auto"/>
                      <w:sz w:val="21"/>
                      <w:szCs w:val="21"/>
                    </w:rPr>
                  </w:pPr>
                </w:p>
              </w:tc>
              <w:tc>
                <w:tcPr>
                  <w:tcW w:w="1075" w:type="pct"/>
                  <w:vMerge w:val="continue"/>
                  <w:tcBorders>
                    <w:tl2br w:val="nil"/>
                    <w:tr2bl w:val="nil"/>
                  </w:tcBorders>
                  <w:vAlign w:val="center"/>
                </w:tcPr>
                <w:p w14:paraId="7ABC9686">
                  <w:pPr>
                    <w:autoSpaceDE w:val="0"/>
                    <w:autoSpaceDN w:val="0"/>
                    <w:spacing w:line="240" w:lineRule="auto"/>
                    <w:ind w:firstLine="0" w:firstLineChars="0"/>
                    <w:jc w:val="center"/>
                    <w:rPr>
                      <w:rFonts w:hint="default" w:ascii="Times New Roman" w:hAnsi="Times New Roman" w:cs="Times New Roman"/>
                      <w:color w:val="auto"/>
                      <w:sz w:val="21"/>
                      <w:szCs w:val="21"/>
                    </w:rPr>
                  </w:pPr>
                </w:p>
              </w:tc>
              <w:tc>
                <w:tcPr>
                  <w:tcW w:w="767" w:type="pct"/>
                  <w:tcBorders>
                    <w:tl2br w:val="nil"/>
                    <w:tr2bl w:val="nil"/>
                  </w:tcBorders>
                  <w:vAlign w:val="center"/>
                </w:tcPr>
                <w:p w14:paraId="7E14446D">
                  <w:pPr>
                    <w:autoSpaceDE w:val="0"/>
                    <w:autoSpaceDN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7.8</w:t>
                  </w:r>
                </w:p>
              </w:tc>
            </w:tr>
          </w:tbl>
          <w:p w14:paraId="17D1CAFA">
            <w:pPr>
              <w:adjustRightInd/>
              <w:snapToGrid/>
              <w:ind w:firstLine="480"/>
              <w:rPr>
                <w:rFonts w:hint="default" w:ascii="Times New Roman" w:hAnsi="Times New Roman" w:cs="Times New Roman"/>
                <w:b/>
                <w:bCs/>
                <w:color w:val="auto"/>
              </w:rPr>
            </w:pPr>
            <w:r>
              <w:rPr>
                <w:rFonts w:hint="default" w:ascii="Times New Roman" w:hAnsi="Times New Roman" w:cs="Times New Roman"/>
                <w:color w:val="auto"/>
              </w:rPr>
              <w:t>（5）</w:t>
            </w:r>
            <w:r>
              <w:rPr>
                <w:rFonts w:hint="default" w:ascii="Times New Roman" w:hAnsi="Times New Roman" w:cs="Times New Roman"/>
                <w:color w:val="auto"/>
                <w:kern w:val="21"/>
              </w:rPr>
              <w:t>环境管理要求</w:t>
            </w:r>
          </w:p>
          <w:p w14:paraId="631F5227">
            <w:pPr>
              <w:widowControl/>
              <w:ind w:firstLine="480"/>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①一般固废</w:t>
            </w:r>
          </w:p>
          <w:p w14:paraId="2D6AEA1F">
            <w:pPr>
              <w:widowControl/>
              <w:ind w:firstLine="480"/>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一般工业固体废物应执行</w:t>
            </w:r>
            <w:r>
              <w:rPr>
                <w:rFonts w:hint="default" w:ascii="Times New Roman" w:hAnsi="Times New Roman" w:cs="Times New Roman"/>
                <w:color w:val="auto"/>
                <w:kern w:val="0"/>
              </w:rPr>
              <w:t>《</w:t>
            </w:r>
            <w:r>
              <w:rPr>
                <w:rFonts w:hint="default" w:ascii="Times New Roman" w:hAnsi="Times New Roman" w:cs="Times New Roman"/>
                <w:color w:val="auto"/>
                <w:kern w:val="24"/>
              </w:rPr>
              <w:t>一般工业固体废物贮存和填埋污染控制标准</w:t>
            </w:r>
            <w:r>
              <w:rPr>
                <w:rFonts w:hint="default" w:ascii="Times New Roman" w:hAnsi="Times New Roman" w:cs="Times New Roman"/>
                <w:color w:val="auto"/>
                <w:kern w:val="0"/>
              </w:rPr>
              <w:t>》（GB 18599-2020）</w:t>
            </w:r>
            <w:r>
              <w:rPr>
                <w:rFonts w:hint="default" w:ascii="Times New Roman" w:hAnsi="Times New Roman" w:cs="Times New Roman"/>
                <w:color w:val="auto"/>
                <w:kern w:val="0"/>
                <w:szCs w:val="20"/>
              </w:rPr>
              <w:t>和《中华人民共和国固体废物污染环境防治法》中的有关规定，各类废物分类收集，定点堆放在厂区内专设区域，</w:t>
            </w:r>
            <w:r>
              <w:rPr>
                <w:rFonts w:hint="default" w:ascii="Times New Roman" w:hAnsi="Times New Roman" w:cs="Times New Roman"/>
                <w:color w:val="auto"/>
                <w:kern w:val="0"/>
                <w:szCs w:val="21"/>
              </w:rPr>
              <w:t>贮存场所应防风、防雨、防晒，</w:t>
            </w:r>
            <w:r>
              <w:rPr>
                <w:rFonts w:hint="default" w:ascii="Times New Roman" w:hAnsi="Times New Roman" w:cs="Times New Roman"/>
                <w:color w:val="auto"/>
                <w:kern w:val="0"/>
                <w:szCs w:val="20"/>
              </w:rPr>
              <w:t>定期外运处理。</w:t>
            </w:r>
          </w:p>
          <w:p w14:paraId="0CEB10D1">
            <w:pPr>
              <w:ind w:firstLine="480"/>
              <w:rPr>
                <w:rFonts w:hint="default" w:ascii="Times New Roman" w:hAnsi="Times New Roman" w:cs="Times New Roman"/>
                <w:color w:val="auto"/>
              </w:rPr>
            </w:pPr>
            <w:r>
              <w:rPr>
                <w:rFonts w:hint="default" w:ascii="Times New Roman" w:hAnsi="Times New Roman" w:cs="Times New Roman"/>
                <w:color w:val="auto"/>
              </w:rPr>
              <w:t>②危险废物</w:t>
            </w:r>
          </w:p>
          <w:p w14:paraId="588FC11D">
            <w:pPr>
              <w:ind w:firstLine="480"/>
              <w:rPr>
                <w:rFonts w:hint="default" w:ascii="Times New Roman" w:hAnsi="Times New Roman" w:cs="Times New Roman"/>
                <w:color w:val="auto"/>
              </w:rPr>
            </w:pPr>
            <w:r>
              <w:rPr>
                <w:rFonts w:hint="default" w:ascii="Times New Roman" w:hAnsi="Times New Roman" w:cs="Times New Roman"/>
                <w:color w:val="auto"/>
              </w:rPr>
              <w:t>本项目于厂区西侧新建</w:t>
            </w:r>
            <w:r>
              <w:rPr>
                <w:rFonts w:hint="default" w:ascii="Times New Roman" w:hAnsi="Times New Roman" w:cs="Times New Roman"/>
                <w:color w:val="auto"/>
                <w:szCs w:val="22"/>
              </w:rPr>
              <w:t>1座危废贮存库（20m</w:t>
            </w:r>
            <w:r>
              <w:rPr>
                <w:rFonts w:hint="default" w:ascii="Times New Roman" w:hAnsi="Times New Roman" w:cs="Times New Roman"/>
                <w:color w:val="auto"/>
                <w:szCs w:val="22"/>
                <w:vertAlign w:val="superscript"/>
              </w:rPr>
              <w:t>2</w:t>
            </w:r>
            <w:r>
              <w:rPr>
                <w:rFonts w:hint="default" w:ascii="Times New Roman" w:hAnsi="Times New Roman" w:cs="Times New Roman"/>
                <w:color w:val="auto"/>
                <w:szCs w:val="22"/>
              </w:rPr>
              <w:t>）</w:t>
            </w:r>
            <w:r>
              <w:rPr>
                <w:rFonts w:hint="default" w:ascii="Times New Roman" w:hAnsi="Times New Roman" w:cs="Times New Roman"/>
                <w:color w:val="auto"/>
              </w:rPr>
              <w:t>，要求设置防渗托盘、危险废物标识标签、防渗地面、危废贮存库标识标牌、危废台账，并要求签订危废处置协议。</w:t>
            </w:r>
          </w:p>
          <w:p w14:paraId="682028D3">
            <w:pPr>
              <w:ind w:firstLine="480"/>
              <w:rPr>
                <w:rFonts w:hint="default" w:ascii="Times New Roman" w:hAnsi="Times New Roman" w:cs="Times New Roman"/>
                <w:color w:val="auto"/>
              </w:rPr>
            </w:pPr>
            <w:r>
              <w:rPr>
                <w:rFonts w:hint="default" w:ascii="Times New Roman" w:hAnsi="Times New Roman" w:cs="Times New Roman"/>
                <w:color w:val="auto"/>
              </w:rPr>
              <w:t>根据《危险废物贮存污染控制标准》（GB18597-2023）、《危险废物识别标志设置技术规范》（HJ 1276-2022）、《危险废物转移联单管理办法》（国家环境保护总局令第 5 号）中的规定，环评对本项目中危险废物的收集、运输、转移及储存提出以下要求：</w:t>
            </w:r>
          </w:p>
          <w:p w14:paraId="0E86E52F">
            <w:pPr>
              <w:ind w:firstLine="480"/>
              <w:rPr>
                <w:rFonts w:hint="default" w:ascii="Times New Roman" w:hAnsi="Times New Roman" w:cs="Times New Roman"/>
                <w:color w:val="auto"/>
              </w:rPr>
            </w:pPr>
            <w:r>
              <w:rPr>
                <w:rFonts w:hint="default" w:ascii="Times New Roman" w:hAnsi="Times New Roman" w:cs="Times New Roman"/>
                <w:color w:val="auto"/>
              </w:rPr>
              <w:t>①必须设置专用的危废收集容器，产生的危废随时放置在容器中，绝不能和其他废物一起混合收集，贮存危险废物时应按危险废物的种类和特性进行分区贮存，每个贮存区域之间宜设置挡墙间隔，并应设置防雨、防火、防雷、防扬尘装置。</w:t>
            </w:r>
          </w:p>
          <w:p w14:paraId="2A043424">
            <w:pPr>
              <w:ind w:firstLine="480"/>
              <w:rPr>
                <w:rFonts w:hint="default" w:ascii="Times New Roman" w:hAnsi="Times New Roman" w:cs="Times New Roman"/>
                <w:color w:val="auto"/>
              </w:rPr>
            </w:pPr>
            <w:r>
              <w:rPr>
                <w:rFonts w:hint="default" w:ascii="Times New Roman" w:hAnsi="Times New Roman" w:cs="Times New Roman"/>
                <w:color w:val="auto"/>
              </w:rPr>
              <w:t>②对于危废的收集及贮存，应根据危险废物的成分，用符合国家标准的耐腐蚀、不易破损、变形和老化的容器贮存，并按规定在贮存危废容器上贴上标签，详细注明危废的名称、重量、成分、特性以及发生泄漏、扩散污染事故时的应急措施和补救办法。</w:t>
            </w:r>
          </w:p>
          <w:p w14:paraId="3BC1D6B7">
            <w:pPr>
              <w:ind w:firstLine="480"/>
              <w:rPr>
                <w:rFonts w:hint="default" w:ascii="Times New Roman" w:hAnsi="Times New Roman" w:cs="Times New Roman"/>
                <w:color w:val="auto"/>
              </w:rPr>
            </w:pPr>
            <w:r>
              <w:rPr>
                <w:rFonts w:hint="default" w:ascii="Times New Roman" w:hAnsi="Times New Roman" w:cs="Times New Roman"/>
                <w:color w:val="auto"/>
              </w:rPr>
              <w:t>③危险废物的收集和转运过程中，应采取相应安全防护和污染防治措施，包括防爆、防火、防中毒、防感染、防泄露、防飞扬、防雨或其它防止污染环境的措施。</w:t>
            </w:r>
          </w:p>
          <w:p w14:paraId="1C6E297D">
            <w:pPr>
              <w:ind w:firstLine="480"/>
              <w:rPr>
                <w:rFonts w:hint="default" w:ascii="Times New Roman" w:hAnsi="Times New Roman" w:cs="Times New Roman"/>
                <w:color w:val="auto"/>
              </w:rPr>
            </w:pPr>
            <w:r>
              <w:rPr>
                <w:rFonts w:hint="default" w:ascii="Times New Roman" w:hAnsi="Times New Roman" w:cs="Times New Roman"/>
                <w:color w:val="auto"/>
              </w:rPr>
              <w:t>④地面与裙脚要用坚固、防渗、防腐材料建造，并建有隔离设施和防风、防晒、防雨设施，基础防渗层用2mm的高密度聚乙烯材料组成，表面用耐腐蚀材料硬化，衬层上建有渗滤液收集清除系统、径流导出系统、雨水收集池。储存间内清理出来的泄漏物也属于危险废物，必须按照危险废物处理原则处理。</w:t>
            </w:r>
          </w:p>
          <w:p w14:paraId="6947AC99">
            <w:pPr>
              <w:ind w:firstLine="480"/>
              <w:rPr>
                <w:rFonts w:hint="default" w:ascii="Times New Roman" w:hAnsi="Times New Roman" w:cs="Times New Roman"/>
                <w:color w:val="auto"/>
              </w:rPr>
            </w:pPr>
            <w:r>
              <w:rPr>
                <w:rFonts w:hint="default" w:ascii="Times New Roman" w:hAnsi="Times New Roman" w:cs="Times New Roman"/>
                <w:color w:val="auto"/>
              </w:rPr>
              <w:t>⑤公司应设置专门的危废贮存库管理人员，主要负责危险废物的收集、贮存及处置，根据危险废物产生、贮存、利用、处置等环节的动态流向，如实建立各环节的危险废物管理台账并保存，记录危险废物的名称、来源、数量、特性和包装容器的类别、入库日期、存放库位、出库日期及接受单位名称。</w:t>
            </w:r>
          </w:p>
          <w:p w14:paraId="7D69A022">
            <w:pPr>
              <w:ind w:firstLine="480"/>
              <w:rPr>
                <w:rFonts w:hint="default" w:ascii="Times New Roman" w:hAnsi="Times New Roman" w:cs="Times New Roman"/>
                <w:color w:val="auto"/>
              </w:rPr>
            </w:pPr>
            <w:r>
              <w:rPr>
                <w:rFonts w:hint="default" w:ascii="Times New Roman" w:hAnsi="Times New Roman" w:cs="Times New Roman"/>
                <w:color w:val="auto"/>
              </w:rPr>
              <w:t>⑥危险废物标识要求：</w:t>
            </w:r>
          </w:p>
          <w:p w14:paraId="2358C063">
            <w:pPr>
              <w:ind w:firstLine="480"/>
              <w:rPr>
                <w:rFonts w:hint="default" w:ascii="Times New Roman" w:hAnsi="Times New Roman" w:cs="Times New Roman"/>
                <w:color w:val="auto"/>
              </w:rPr>
            </w:pPr>
            <w:r>
              <w:rPr>
                <w:rFonts w:hint="default" w:ascii="Times New Roman" w:hAnsi="Times New Roman" w:cs="Times New Roman"/>
                <w:color w:val="auto"/>
              </w:rPr>
              <w:t>A、危险废物标签应以醒目的字样标注“危险废物”；危险废物贮存分区标志应以醒目的方式标注“危险废物贮存分区标志”字样。</w:t>
            </w:r>
          </w:p>
          <w:p w14:paraId="4CB2CF9A">
            <w:pPr>
              <w:ind w:firstLine="480"/>
              <w:rPr>
                <w:rFonts w:hint="default" w:ascii="Times New Roman" w:hAnsi="Times New Roman" w:cs="Times New Roman"/>
                <w:color w:val="auto"/>
              </w:rPr>
            </w:pPr>
            <w:r>
              <w:rPr>
                <w:rFonts w:hint="default" w:ascii="Times New Roman" w:hAnsi="Times New Roman" w:cs="Times New Roman"/>
                <w:color w:val="auto"/>
              </w:rPr>
              <w:t>B、危险废物标签应包含废物名称、废物类别、废物代码、废物形态、危险特性、主要成分、有害成分、注意事项、产生/收集单位名称、联系人、联系方式、产生日期、废物重量和备注。危险废物贮存分区标志应包含但不限于设施内部所有贮存分区的平面分布、各分区存放的危降废物信息、本贮存分区的具体位置、环境应急物资所在位置以及进出口位置和方向。</w:t>
            </w:r>
          </w:p>
          <w:p w14:paraId="05CE5B9D">
            <w:pPr>
              <w:ind w:firstLine="480"/>
              <w:rPr>
                <w:rFonts w:hint="default" w:ascii="Times New Roman" w:hAnsi="Times New Roman" w:cs="Times New Roman"/>
                <w:color w:val="auto"/>
              </w:rPr>
            </w:pPr>
            <w:r>
              <w:rPr>
                <w:rFonts w:hint="default" w:ascii="Times New Roman" w:hAnsi="Times New Roman" w:cs="Times New Roman"/>
                <w:color w:val="auto"/>
              </w:rPr>
              <w:t>C、危险废物标签宜设置危险废物数字识别码和二维码。</w:t>
            </w:r>
          </w:p>
          <w:p w14:paraId="33CCD97F">
            <w:pPr>
              <w:ind w:firstLine="480"/>
              <w:rPr>
                <w:rFonts w:hint="default" w:ascii="Times New Roman" w:hAnsi="Times New Roman" w:cs="Times New Roman"/>
                <w:color w:val="auto"/>
              </w:rPr>
            </w:pPr>
            <w:r>
              <w:rPr>
                <w:rFonts w:hint="default" w:ascii="Times New Roman" w:hAnsi="Times New Roman" w:cs="Times New Roman"/>
                <w:color w:val="auto"/>
              </w:rPr>
              <w:t>D、危险废物贮存分区标志的信息应随着设施内废物贮存情况的变化及时调整。</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autofit"/>
              <w:tblCellMar>
                <w:top w:w="0" w:type="dxa"/>
                <w:left w:w="108" w:type="dxa"/>
                <w:bottom w:w="0" w:type="dxa"/>
                <w:right w:w="108" w:type="dxa"/>
              </w:tblCellMar>
            </w:tblPr>
            <w:tblGrid>
              <w:gridCol w:w="2900"/>
              <w:gridCol w:w="2871"/>
              <w:gridCol w:w="2841"/>
            </w:tblGrid>
            <w:tr w14:paraId="062F5ED3">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1666" w:type="pct"/>
                  <w:tcBorders>
                    <w:bottom w:val="nil"/>
                    <w:tl2br w:val="nil"/>
                    <w:tr2bl w:val="nil"/>
                  </w:tcBorders>
                  <w:vAlign w:val="center"/>
                </w:tcPr>
                <w:p w14:paraId="502F323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1696085" cy="1286510"/>
                        <wp:effectExtent l="0" t="0" r="18415" b="8890"/>
                        <wp:docPr id="14" name="图片 14" descr="1714978282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714978282318"/>
                                <pic:cNvPicPr>
                                  <a:picLocks noChangeAspect="1"/>
                                </pic:cNvPicPr>
                              </pic:nvPicPr>
                              <pic:blipFill>
                                <a:blip r:embed="rId23"/>
                                <a:stretch>
                                  <a:fillRect/>
                                </a:stretch>
                              </pic:blipFill>
                              <pic:spPr>
                                <a:xfrm>
                                  <a:off x="0" y="0"/>
                                  <a:ext cx="1696085" cy="1286510"/>
                                </a:xfrm>
                                <a:prstGeom prst="rect">
                                  <a:avLst/>
                                </a:prstGeom>
                              </pic:spPr>
                            </pic:pic>
                          </a:graphicData>
                        </a:graphic>
                      </wp:inline>
                    </w:drawing>
                  </w:r>
                </w:p>
              </w:tc>
              <w:tc>
                <w:tcPr>
                  <w:tcW w:w="1666" w:type="pct"/>
                  <w:tcBorders>
                    <w:bottom w:val="nil"/>
                    <w:tl2br w:val="nil"/>
                    <w:tr2bl w:val="nil"/>
                  </w:tcBorders>
                  <w:vAlign w:val="center"/>
                </w:tcPr>
                <w:p w14:paraId="3FB0AC3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1685290" cy="1623060"/>
                        <wp:effectExtent l="0" t="0" r="10160" b="15240"/>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24"/>
                                <a:stretch>
                                  <a:fillRect/>
                                </a:stretch>
                              </pic:blipFill>
                              <pic:spPr>
                                <a:xfrm>
                                  <a:off x="0" y="0"/>
                                  <a:ext cx="1685290" cy="1623060"/>
                                </a:xfrm>
                                <a:prstGeom prst="rect">
                                  <a:avLst/>
                                </a:prstGeom>
                                <a:noFill/>
                                <a:ln>
                                  <a:noFill/>
                                </a:ln>
                              </pic:spPr>
                            </pic:pic>
                          </a:graphicData>
                        </a:graphic>
                      </wp:inline>
                    </w:drawing>
                  </w:r>
                </w:p>
              </w:tc>
              <w:tc>
                <w:tcPr>
                  <w:tcW w:w="1667" w:type="pct"/>
                  <w:tcBorders>
                    <w:bottom w:val="nil"/>
                    <w:tl2br w:val="nil"/>
                    <w:tr2bl w:val="nil"/>
                  </w:tcBorders>
                  <w:vAlign w:val="center"/>
                </w:tcPr>
                <w:p w14:paraId="69242AA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1667510" cy="1660525"/>
                        <wp:effectExtent l="0" t="0" r="8890" b="15875"/>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pic:cNvPicPr>
                              </pic:nvPicPr>
                              <pic:blipFill>
                                <a:blip r:embed="rId25"/>
                                <a:stretch>
                                  <a:fillRect/>
                                </a:stretch>
                              </pic:blipFill>
                              <pic:spPr>
                                <a:xfrm>
                                  <a:off x="0" y="0"/>
                                  <a:ext cx="1667510" cy="1660525"/>
                                </a:xfrm>
                                <a:prstGeom prst="rect">
                                  <a:avLst/>
                                </a:prstGeom>
                                <a:noFill/>
                                <a:ln>
                                  <a:noFill/>
                                </a:ln>
                              </pic:spPr>
                            </pic:pic>
                          </a:graphicData>
                        </a:graphic>
                      </wp:inline>
                    </w:drawing>
                  </w:r>
                </w:p>
              </w:tc>
            </w:tr>
            <w:tr w14:paraId="3B30B989">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1666" w:type="pct"/>
                  <w:tcBorders>
                    <w:top w:val="nil"/>
                  </w:tcBorders>
                  <w:vAlign w:val="center"/>
                </w:tcPr>
                <w:p w14:paraId="33CFD116">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危险废物贮存场所标志</w:t>
                  </w:r>
                </w:p>
              </w:tc>
              <w:tc>
                <w:tcPr>
                  <w:tcW w:w="1666" w:type="pct"/>
                  <w:tcBorders>
                    <w:top w:val="nil"/>
                  </w:tcBorders>
                  <w:vAlign w:val="center"/>
                </w:tcPr>
                <w:p w14:paraId="4D996CE5">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危险废物贮存分区标志</w:t>
                  </w:r>
                </w:p>
              </w:tc>
              <w:tc>
                <w:tcPr>
                  <w:tcW w:w="1667" w:type="pct"/>
                  <w:tcBorders>
                    <w:top w:val="nil"/>
                  </w:tcBorders>
                  <w:vAlign w:val="center"/>
                </w:tcPr>
                <w:p w14:paraId="607A3E35">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危险废物标签标识</w:t>
                  </w:r>
                </w:p>
              </w:tc>
            </w:tr>
          </w:tbl>
          <w:p w14:paraId="77040249">
            <w:pPr>
              <w:ind w:firstLine="480"/>
              <w:rPr>
                <w:rFonts w:hint="default" w:ascii="Times New Roman" w:hAnsi="Times New Roman" w:cs="Times New Roman"/>
                <w:color w:val="auto"/>
              </w:rPr>
            </w:pPr>
            <w:r>
              <w:rPr>
                <w:rFonts w:hint="default" w:ascii="Times New Roman" w:hAnsi="Times New Roman" w:cs="Times New Roman"/>
                <w:color w:val="auto"/>
              </w:rPr>
              <w:t>本项目固废得到了合理处置，满足《一般工业固体废物贮存和填埋污染控制标准》（GB 18599-2020）和《危险废物贮存污染控制标准》（GB18597-2023）要求，对周边环境影响较小。</w:t>
            </w:r>
          </w:p>
          <w:p w14:paraId="2E35D8C6">
            <w:pPr>
              <w:ind w:firstLine="482"/>
              <w:rPr>
                <w:rFonts w:hint="default" w:ascii="Times New Roman" w:hAnsi="Times New Roman" w:cs="Times New Roman"/>
                <w:b/>
                <w:bCs/>
                <w:color w:val="auto"/>
              </w:rPr>
            </w:pPr>
            <w:r>
              <w:rPr>
                <w:rFonts w:hint="default" w:ascii="Times New Roman" w:hAnsi="Times New Roman" w:cs="Times New Roman"/>
                <w:b/>
                <w:bCs/>
                <w:color w:val="auto"/>
              </w:rPr>
              <w:t>5、地下水、土壤环境影响及保护措施</w:t>
            </w:r>
          </w:p>
          <w:p w14:paraId="2201B293">
            <w:pPr>
              <w:adjustRightInd/>
              <w:snapToGrid/>
              <w:ind w:firstLine="480" w:firstLineChars="0"/>
              <w:rPr>
                <w:rFonts w:hint="default" w:ascii="Times New Roman" w:hAnsi="Times New Roman" w:cs="Times New Roman"/>
                <w:color w:val="auto"/>
                <w:kern w:val="0"/>
              </w:rPr>
            </w:pPr>
            <w:r>
              <w:rPr>
                <w:rFonts w:hint="default" w:ascii="Times New Roman" w:hAnsi="Times New Roman" w:cs="Times New Roman"/>
                <w:color w:val="auto"/>
                <w:kern w:val="0"/>
              </w:rPr>
              <w:t>本项目对地下水环境影响主要为厂区设备更换的废机油等泄漏后下渗，造成地下水环境污染，主要污染物为石油烃。为减小对地下水环境影响，环评提出以下防控措施：</w:t>
            </w:r>
          </w:p>
          <w:p w14:paraId="2C1B4638">
            <w:pPr>
              <w:adjustRightInd/>
              <w:snapToGrid/>
              <w:ind w:firstLine="480"/>
              <w:rPr>
                <w:rFonts w:hint="default" w:ascii="Times New Roman" w:hAnsi="Times New Roman" w:cs="Times New Roman"/>
                <w:color w:val="auto"/>
                <w:kern w:val="0"/>
              </w:rPr>
            </w:pPr>
            <w:r>
              <w:rPr>
                <w:rFonts w:hint="default" w:ascii="Times New Roman" w:hAnsi="Times New Roman" w:cs="Times New Roman"/>
                <w:color w:val="auto"/>
                <w:kern w:val="0"/>
              </w:rPr>
              <w:t>危废贮存库地面进行防渗处理，加强物料及危废管理，严禁废机油随意丢弃。</w:t>
            </w:r>
            <w:r>
              <w:rPr>
                <w:rFonts w:hint="default" w:ascii="Times New Roman" w:hAnsi="Times New Roman" w:cs="Times New Roman"/>
                <w:color w:val="auto"/>
              </w:rPr>
              <w:t>项目除绿化外场地均进行了水泥硬化，生产过程中不产生有毒有害物质，在采取危险废物贮存间地面防腐等措施后，项目建设对区域土壤环境影响较小。</w:t>
            </w:r>
          </w:p>
          <w:p w14:paraId="41A1E91F">
            <w:pPr>
              <w:adjustRightInd/>
              <w:snapToGrid/>
              <w:ind w:firstLine="480" w:firstLineChars="0"/>
              <w:rPr>
                <w:rFonts w:hint="default" w:ascii="Times New Roman" w:hAnsi="Times New Roman" w:cs="Times New Roman"/>
                <w:color w:val="auto"/>
              </w:rPr>
            </w:pPr>
            <w:r>
              <w:rPr>
                <w:rFonts w:hint="default" w:ascii="Times New Roman" w:hAnsi="Times New Roman" w:cs="Times New Roman"/>
                <w:color w:val="auto"/>
                <w:kern w:val="0"/>
              </w:rPr>
              <w:t>采取上述措施处理后发生泄漏的可能性较小，因此本项目对地下水环境影响较小。</w:t>
            </w:r>
          </w:p>
          <w:p w14:paraId="04453526">
            <w:pPr>
              <w:adjustRightInd/>
              <w:snapToGrid/>
              <w:ind w:firstLine="480" w:firstLineChars="0"/>
              <w:rPr>
                <w:rFonts w:hint="default" w:ascii="Times New Roman" w:hAnsi="Times New Roman" w:cs="Times New Roman"/>
                <w:b/>
                <w:bCs/>
                <w:color w:val="auto"/>
              </w:rPr>
            </w:pPr>
            <w:r>
              <w:rPr>
                <w:rFonts w:hint="default" w:ascii="Times New Roman" w:hAnsi="Times New Roman" w:cs="Times New Roman"/>
                <w:b/>
                <w:bCs/>
                <w:color w:val="auto"/>
              </w:rPr>
              <w:t>6、生态环境</w:t>
            </w:r>
          </w:p>
          <w:p w14:paraId="102AB0EA">
            <w:pPr>
              <w:ind w:firstLine="480"/>
              <w:rPr>
                <w:rFonts w:hint="default" w:ascii="Times New Roman" w:hAnsi="Times New Roman" w:cs="Times New Roman"/>
                <w:color w:val="auto"/>
              </w:rPr>
            </w:pPr>
            <w:r>
              <w:rPr>
                <w:rFonts w:hint="default" w:ascii="Times New Roman" w:hAnsi="Times New Roman" w:cs="Times New Roman"/>
                <w:color w:val="auto"/>
              </w:rPr>
              <w:t>本项目在现有厂房内建设，不涉及新增用地，故本次评价不做生态环境影响分析。</w:t>
            </w:r>
          </w:p>
          <w:p w14:paraId="5CE4E129">
            <w:pPr>
              <w:adjustRightInd/>
              <w:snapToGrid/>
              <w:ind w:firstLine="480" w:firstLineChars="0"/>
              <w:rPr>
                <w:rFonts w:hint="default" w:ascii="Times New Roman" w:hAnsi="Times New Roman" w:cs="Times New Roman"/>
                <w:b/>
                <w:bCs/>
                <w:color w:val="auto"/>
              </w:rPr>
            </w:pPr>
            <w:r>
              <w:rPr>
                <w:rFonts w:hint="default" w:ascii="Times New Roman" w:hAnsi="Times New Roman" w:cs="Times New Roman"/>
                <w:b/>
                <w:bCs/>
                <w:color w:val="auto"/>
              </w:rPr>
              <w:t>7、环境风险分析</w:t>
            </w:r>
          </w:p>
          <w:p w14:paraId="15C2BCAD">
            <w:pPr>
              <w:ind w:firstLine="480"/>
              <w:rPr>
                <w:rFonts w:hint="default" w:ascii="Times New Roman" w:hAnsi="Times New Roman" w:cs="Times New Roman"/>
                <w:color w:val="auto"/>
              </w:rPr>
            </w:pPr>
            <w:r>
              <w:rPr>
                <w:rFonts w:hint="default" w:ascii="Times New Roman" w:hAnsi="Times New Roman" w:cs="Times New Roman"/>
                <w:color w:val="auto"/>
              </w:rPr>
              <w:t>（1）风险物质识别</w:t>
            </w:r>
          </w:p>
          <w:p w14:paraId="131BFB5D">
            <w:pPr>
              <w:ind w:firstLine="480"/>
              <w:rPr>
                <w:rFonts w:hint="default" w:ascii="Times New Roman" w:hAnsi="Times New Roman" w:cs="Times New Roman"/>
                <w:b/>
                <w:bCs/>
                <w:color w:val="auto"/>
              </w:rPr>
            </w:pPr>
            <w:r>
              <w:rPr>
                <w:rFonts w:hint="default" w:ascii="Times New Roman" w:hAnsi="Times New Roman" w:cs="Times New Roman"/>
                <w:color w:val="auto"/>
              </w:rPr>
              <w:t>根据《建设项目环境风险评价技术导则》（HJ169-2018）附录B，对本项目使用的原辅料进行识别，属于风险物质的为丁烷、甲醇、废机油，存储位置为气房、厨房及危废贮存库。本项目所用机油随用随买，不在厂区进行存储。</w:t>
            </w:r>
          </w:p>
          <w:p w14:paraId="4F77AF11">
            <w:pPr>
              <w:spacing w:line="240" w:lineRule="auto"/>
              <w:ind w:firstLine="0" w:firstLineChars="0"/>
              <w:jc w:val="center"/>
              <w:rPr>
                <w:rFonts w:hint="default" w:ascii="Times New Roman" w:hAnsi="Times New Roman" w:cs="Times New Roman"/>
                <w:b/>
                <w:color w:val="auto"/>
              </w:rPr>
            </w:pPr>
            <w:r>
              <w:rPr>
                <w:rFonts w:hint="default" w:ascii="Times New Roman" w:hAnsi="Times New Roman" w:cs="Times New Roman"/>
                <w:b/>
                <w:color w:val="auto"/>
              </w:rPr>
              <w:t>表4-11  风险物质存在量一览表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1824"/>
              <w:gridCol w:w="1658"/>
              <w:gridCol w:w="1658"/>
              <w:gridCol w:w="1658"/>
            </w:tblGrid>
            <w:tr w14:paraId="189381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pct"/>
                  <w:vAlign w:val="center"/>
                </w:tcPr>
                <w:p w14:paraId="1E0C8BF1">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1057" w:type="pct"/>
                  <w:vAlign w:val="center"/>
                </w:tcPr>
                <w:p w14:paraId="198D6B92">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使用量（t/a）</w:t>
                  </w:r>
                </w:p>
              </w:tc>
              <w:tc>
                <w:tcPr>
                  <w:tcW w:w="961" w:type="pct"/>
                  <w:vAlign w:val="center"/>
                </w:tcPr>
                <w:p w14:paraId="46990F3B">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最大贮存量（t）</w:t>
                  </w:r>
                </w:p>
              </w:tc>
              <w:tc>
                <w:tcPr>
                  <w:tcW w:w="961" w:type="pct"/>
                  <w:vAlign w:val="center"/>
                </w:tcPr>
                <w:p w14:paraId="0E05F5C7">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临界量（t）</w:t>
                  </w:r>
                </w:p>
              </w:tc>
              <w:tc>
                <w:tcPr>
                  <w:tcW w:w="961" w:type="pct"/>
                  <w:vAlign w:val="center"/>
                </w:tcPr>
                <w:p w14:paraId="1F0DD27B">
                  <w:pPr>
                    <w:autoSpaceDE w:val="0"/>
                    <w:autoSpaceDN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Q值</w:t>
                  </w:r>
                </w:p>
              </w:tc>
            </w:tr>
            <w:tr w14:paraId="55BF4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pct"/>
                  <w:vAlign w:val="center"/>
                </w:tcPr>
                <w:p w14:paraId="37ACA95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w:t>
                  </w:r>
                </w:p>
              </w:tc>
              <w:tc>
                <w:tcPr>
                  <w:tcW w:w="1057" w:type="pct"/>
                  <w:vAlign w:val="center"/>
                </w:tcPr>
                <w:p w14:paraId="1E4B7DE7">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0.04</w:t>
                  </w:r>
                </w:p>
              </w:tc>
              <w:tc>
                <w:tcPr>
                  <w:tcW w:w="961" w:type="pct"/>
                  <w:vAlign w:val="center"/>
                </w:tcPr>
                <w:p w14:paraId="7B1C9021">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0.04</w:t>
                  </w:r>
                </w:p>
              </w:tc>
              <w:tc>
                <w:tcPr>
                  <w:tcW w:w="961" w:type="pct"/>
                  <w:vAlign w:val="center"/>
                </w:tcPr>
                <w:p w14:paraId="4CA4EE8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w:t>
                  </w:r>
                </w:p>
              </w:tc>
              <w:tc>
                <w:tcPr>
                  <w:tcW w:w="961" w:type="pct"/>
                  <w:vAlign w:val="center"/>
                </w:tcPr>
                <w:p w14:paraId="1F83026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0.0008</w:t>
                  </w:r>
                </w:p>
              </w:tc>
            </w:tr>
            <w:tr w14:paraId="41542F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pct"/>
                  <w:vAlign w:val="center"/>
                </w:tcPr>
                <w:p w14:paraId="712DA344">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丁烷</w:t>
                  </w:r>
                </w:p>
              </w:tc>
              <w:tc>
                <w:tcPr>
                  <w:tcW w:w="1824" w:type="dxa"/>
                  <w:vAlign w:val="center"/>
                </w:tcPr>
                <w:p w14:paraId="3D925A57">
                  <w:pPr>
                    <w:pStyle w:val="11"/>
                    <w:spacing w:line="240" w:lineRule="auto"/>
                    <w:ind w:firstLine="0" w:firstLineChars="0"/>
                    <w:jc w:val="center"/>
                    <w:rPr>
                      <w:rFonts w:hint="default" w:ascii="Times New Roman" w:hAnsi="Times New Roman" w:cs="Times New Roman"/>
                      <w:color w:val="auto"/>
                      <w:sz w:val="21"/>
                    </w:rPr>
                  </w:pPr>
                  <w:r>
                    <w:rPr>
                      <w:rFonts w:hint="default" w:ascii="Times New Roman" w:hAnsi="Times New Roman" w:cs="Times New Roman"/>
                      <w:color w:val="auto"/>
                      <w:kern w:val="0"/>
                      <w:sz w:val="21"/>
                    </w:rPr>
                    <w:t>1.2</w:t>
                  </w:r>
                </w:p>
              </w:tc>
              <w:tc>
                <w:tcPr>
                  <w:tcW w:w="1658" w:type="dxa"/>
                  <w:vAlign w:val="center"/>
                </w:tcPr>
                <w:p w14:paraId="5AD19D5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0.2</w:t>
                  </w:r>
                </w:p>
              </w:tc>
              <w:tc>
                <w:tcPr>
                  <w:tcW w:w="961" w:type="pct"/>
                  <w:vAlign w:val="center"/>
                </w:tcPr>
                <w:p w14:paraId="0DAD6EBD">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961" w:type="pct"/>
                  <w:vAlign w:val="center"/>
                </w:tcPr>
                <w:p w14:paraId="64F6458C">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0.02</w:t>
                  </w:r>
                </w:p>
              </w:tc>
            </w:tr>
            <w:tr w14:paraId="548460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6" w:type="pct"/>
                  <w:vAlign w:val="center"/>
                </w:tcPr>
                <w:p w14:paraId="6AF7A449">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甲醇</w:t>
                  </w:r>
                </w:p>
              </w:tc>
              <w:tc>
                <w:tcPr>
                  <w:tcW w:w="1057" w:type="pct"/>
                  <w:vAlign w:val="center"/>
                </w:tcPr>
                <w:p w14:paraId="15EF8080">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3.792</w:t>
                  </w:r>
                </w:p>
              </w:tc>
              <w:tc>
                <w:tcPr>
                  <w:tcW w:w="961" w:type="pct"/>
                  <w:vAlign w:val="center"/>
                </w:tcPr>
                <w:p w14:paraId="2F08C54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0.316</w:t>
                  </w:r>
                </w:p>
              </w:tc>
              <w:tc>
                <w:tcPr>
                  <w:tcW w:w="961" w:type="pct"/>
                  <w:vAlign w:val="center"/>
                </w:tcPr>
                <w:p w14:paraId="7AE59F6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961" w:type="pct"/>
                  <w:vAlign w:val="center"/>
                </w:tcPr>
                <w:p w14:paraId="256E3B56">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0.0316</w:t>
                  </w:r>
                </w:p>
              </w:tc>
            </w:tr>
          </w:tbl>
          <w:p w14:paraId="750A98F2">
            <w:pPr>
              <w:ind w:firstLine="480"/>
              <w:rPr>
                <w:rFonts w:hint="default" w:ascii="Times New Roman" w:hAnsi="Times New Roman" w:cs="Times New Roman"/>
                <w:color w:val="auto"/>
              </w:rPr>
            </w:pPr>
            <w:r>
              <w:rPr>
                <w:rFonts w:hint="default" w:ascii="Times New Roman" w:hAnsi="Times New Roman" w:cs="Times New Roman"/>
                <w:color w:val="auto"/>
              </w:rPr>
              <w:t>（2）影响途径</w:t>
            </w:r>
          </w:p>
          <w:p w14:paraId="420E8115">
            <w:pPr>
              <w:ind w:firstLine="480"/>
              <w:rPr>
                <w:rFonts w:hint="default" w:ascii="Times New Roman" w:hAnsi="Times New Roman" w:cs="Times New Roman"/>
                <w:color w:val="auto"/>
              </w:rPr>
            </w:pPr>
            <w:r>
              <w:rPr>
                <w:rFonts w:hint="default" w:ascii="Times New Roman" w:hAnsi="Times New Roman" w:cs="Times New Roman"/>
                <w:color w:val="auto"/>
              </w:rPr>
              <w:t>厂内的废机油发生泄漏事故时，物料可通过垂直下渗进入土壤、地下水，对土壤、地下水环境造成污染。厂区内丁烷、甲醇、废机油发生火灾事故时不完全燃烧会产生CO，对下风向环境空气造成影响。</w:t>
            </w:r>
          </w:p>
          <w:p w14:paraId="2287C74F">
            <w:pPr>
              <w:ind w:firstLine="480"/>
              <w:rPr>
                <w:rFonts w:hint="default" w:ascii="Times New Roman" w:hAnsi="Times New Roman" w:cs="Times New Roman"/>
                <w:color w:val="auto"/>
              </w:rPr>
            </w:pPr>
            <w:r>
              <w:rPr>
                <w:rFonts w:hint="default" w:ascii="Times New Roman" w:hAnsi="Times New Roman" w:cs="Times New Roman"/>
                <w:color w:val="auto"/>
              </w:rPr>
              <w:t>（3）环境风险防范措施</w:t>
            </w:r>
          </w:p>
          <w:p w14:paraId="3300DE73">
            <w:pPr>
              <w:ind w:firstLine="480"/>
              <w:rPr>
                <w:rFonts w:hint="default" w:ascii="Times New Roman" w:hAnsi="Times New Roman" w:cs="Times New Roman"/>
                <w:color w:val="auto"/>
                <w:kern w:val="0"/>
              </w:rPr>
            </w:pPr>
            <w:r>
              <w:rPr>
                <w:rFonts w:hint="default" w:ascii="Times New Roman" w:hAnsi="Times New Roman" w:cs="Times New Roman"/>
                <w:color w:val="auto"/>
                <w:kern w:val="0"/>
              </w:rPr>
              <w:t>①项目已对风险物质按有关消防规范分类贮存，以降低事故发生。</w:t>
            </w:r>
          </w:p>
          <w:p w14:paraId="2464DDDF">
            <w:pPr>
              <w:ind w:firstLine="480"/>
              <w:rPr>
                <w:rFonts w:hint="default" w:ascii="Times New Roman" w:hAnsi="Times New Roman" w:cs="Times New Roman"/>
                <w:color w:val="auto"/>
                <w:kern w:val="0"/>
              </w:rPr>
            </w:pPr>
            <w:r>
              <w:rPr>
                <w:rFonts w:hint="default" w:ascii="Times New Roman" w:hAnsi="Times New Roman" w:cs="Times New Roman"/>
                <w:color w:val="auto"/>
                <w:kern w:val="0"/>
              </w:rPr>
              <w:t>易燃物贮存区要形成相对独立区，储存区内应有“禁止吸烟和使用明火”的告示牌。</w:t>
            </w:r>
          </w:p>
          <w:p w14:paraId="6D92B679">
            <w:pPr>
              <w:ind w:firstLine="480"/>
              <w:rPr>
                <w:rFonts w:hint="default" w:ascii="Times New Roman" w:hAnsi="Times New Roman" w:cs="Times New Roman"/>
                <w:color w:val="auto"/>
                <w:kern w:val="0"/>
              </w:rPr>
            </w:pPr>
            <w:r>
              <w:rPr>
                <w:rFonts w:hint="default" w:ascii="Times New Roman" w:hAnsi="Times New Roman" w:cs="Times New Roman"/>
                <w:color w:val="auto"/>
                <w:kern w:val="0"/>
              </w:rPr>
              <w:t>②丁烷气房与其它设施保持足够距离，气房内严禁烟火、严禁闲杂人员出入逗留。丁烷气房内避免阳光直射，要保证运输道路畅通，在其附近设有消防栓和干粉或二氧化碳灭火器。</w:t>
            </w:r>
          </w:p>
          <w:p w14:paraId="513CDC5E">
            <w:pPr>
              <w:ind w:firstLine="480"/>
              <w:rPr>
                <w:rFonts w:hint="default" w:ascii="Times New Roman" w:hAnsi="Times New Roman" w:cs="Times New Roman"/>
                <w:color w:val="auto"/>
                <w:kern w:val="0"/>
              </w:rPr>
            </w:pPr>
            <w:r>
              <w:rPr>
                <w:rFonts w:hint="default" w:ascii="Times New Roman" w:hAnsi="Times New Roman" w:cs="Times New Roman"/>
                <w:color w:val="auto"/>
                <w:kern w:val="0"/>
              </w:rPr>
              <w:t>丁烷瓶应装设专用的回火防止器、减压器，对于工作地点不固定，移动较多的，应装在专用小车上。严禁敲击、碰撞和施加强烈的震动，以免瓶内多孔性填料下沉而形成空洞，影响丁烷的储存。</w:t>
            </w:r>
          </w:p>
          <w:p w14:paraId="2ECC11F0">
            <w:pPr>
              <w:ind w:firstLine="480"/>
              <w:rPr>
                <w:rFonts w:hint="default" w:ascii="Times New Roman" w:hAnsi="Times New Roman" w:cs="Times New Roman"/>
                <w:color w:val="auto"/>
                <w:kern w:val="0"/>
              </w:rPr>
            </w:pPr>
            <w:r>
              <w:rPr>
                <w:rFonts w:hint="default" w:ascii="Times New Roman" w:hAnsi="Times New Roman" w:cs="Times New Roman"/>
                <w:color w:val="auto"/>
                <w:kern w:val="0"/>
              </w:rPr>
              <w:t>③危险废物贮存库按要求设置“三防措施”（防渗漏、防流失、防扬散），建立危险废物台账，如实记载产生危险废物的种类、数量、去向等信息，危险废物交接应认真执行《危险废物转移联单管理办法》和《危险废物转移联单制度》，明确危险废物的数量、性质及组分等。</w:t>
            </w:r>
          </w:p>
          <w:p w14:paraId="33A0CC31">
            <w:pPr>
              <w:ind w:firstLine="480"/>
              <w:rPr>
                <w:rFonts w:hint="default" w:ascii="Times New Roman" w:hAnsi="Times New Roman" w:cs="Times New Roman"/>
                <w:color w:val="auto"/>
                <w:kern w:val="0"/>
              </w:rPr>
            </w:pPr>
            <w:r>
              <w:rPr>
                <w:rFonts w:hint="default" w:ascii="Times New Roman" w:hAnsi="Times New Roman" w:cs="Times New Roman"/>
                <w:color w:val="auto"/>
                <w:kern w:val="0"/>
              </w:rPr>
              <w:t>④项目已配备消防器材和消防设施，消防器材设置在明显和便于取用的地点，周围不准堆放物品和杂物。消防设施、器材由专人管理，负责检查、维修、保养、更换和添置，保证完好有效，严禁圈占、埋压和挪用。</w:t>
            </w:r>
          </w:p>
          <w:p w14:paraId="7139CFA0">
            <w:pPr>
              <w:ind w:firstLine="480"/>
              <w:rPr>
                <w:rFonts w:hint="default" w:ascii="Times New Roman" w:hAnsi="Times New Roman" w:cs="Times New Roman"/>
                <w:color w:val="auto"/>
                <w:kern w:val="0"/>
              </w:rPr>
            </w:pPr>
            <w:r>
              <w:rPr>
                <w:rFonts w:hint="default" w:ascii="Times New Roman" w:hAnsi="Times New Roman" w:cs="Times New Roman"/>
                <w:color w:val="auto"/>
                <w:kern w:val="0"/>
              </w:rPr>
              <w:t>⑤定期进行电路、电气检查，消除安全隐患。出现火灾时应及时将可燃物品搬离，远离火源。加强消防设施的日常管理，确保事故时消防设施能够正常使用，针对可能出现的火灾事故进行消防演练。</w:t>
            </w:r>
          </w:p>
          <w:p w14:paraId="503C5622">
            <w:pPr>
              <w:ind w:firstLine="480"/>
              <w:rPr>
                <w:rFonts w:hint="default" w:ascii="Times New Roman" w:hAnsi="Times New Roman" w:cs="Times New Roman"/>
                <w:color w:val="auto"/>
                <w:kern w:val="0"/>
              </w:rPr>
            </w:pPr>
            <w:r>
              <w:rPr>
                <w:rFonts w:hint="default" w:ascii="Times New Roman" w:hAnsi="Times New Roman" w:cs="Times New Roman"/>
                <w:color w:val="auto"/>
                <w:kern w:val="0"/>
              </w:rPr>
              <w:t>⑥环评要求建设单位认真做好风险物质运输、储存及使用中的管理工作，运输车辆必须使用专用运输车，使用专业的驾驶人员，在车体明显位置设置醒目的警告标牌；运输途中注意交通安全，选择最优、最安全的运输线路；操作工人要具备有关危险品的基础知识，严格遵守操作规程，严禁火源等，尽可能地避免环境风险事故的发生。一旦发生泄漏，应立即采取封闭、隔离等措施。</w:t>
            </w:r>
          </w:p>
          <w:p w14:paraId="736A11A0">
            <w:pPr>
              <w:ind w:firstLine="480"/>
              <w:rPr>
                <w:rFonts w:hint="default" w:ascii="Times New Roman" w:hAnsi="Times New Roman" w:cs="Times New Roman"/>
                <w:color w:val="auto"/>
                <w:kern w:val="0"/>
              </w:rPr>
            </w:pPr>
            <w:r>
              <w:rPr>
                <w:rFonts w:hint="default" w:ascii="Times New Roman" w:hAnsi="Times New Roman" w:cs="Times New Roman"/>
                <w:color w:val="auto"/>
                <w:kern w:val="0"/>
              </w:rPr>
              <w:t>（4）风险评价结论</w:t>
            </w:r>
          </w:p>
          <w:p w14:paraId="7C7CBDC2">
            <w:pPr>
              <w:ind w:firstLine="480"/>
              <w:rPr>
                <w:rFonts w:hint="default" w:ascii="Times New Roman" w:hAnsi="Times New Roman" w:cs="Times New Roman"/>
                <w:color w:val="auto"/>
              </w:rPr>
            </w:pPr>
            <w:r>
              <w:rPr>
                <w:rFonts w:hint="default" w:ascii="Times New Roman" w:hAnsi="Times New Roman" w:cs="Times New Roman"/>
                <w:color w:val="auto"/>
              </w:rPr>
              <w:t>本项目采取以上环境风险防范措施可以有效控制环境风险事故和减少对环境造成的影响，本项目环境风险可防控。</w:t>
            </w:r>
          </w:p>
          <w:p w14:paraId="3CAF6377">
            <w:pPr>
              <w:adjustRightInd/>
              <w:snapToGrid/>
              <w:ind w:firstLine="723" w:firstLineChars="300"/>
              <w:rPr>
                <w:rFonts w:hint="default" w:ascii="Times New Roman" w:hAnsi="Times New Roman" w:cs="Times New Roman"/>
                <w:b/>
                <w:color w:val="auto"/>
              </w:rPr>
            </w:pPr>
            <w:r>
              <w:rPr>
                <w:rFonts w:hint="default" w:ascii="Times New Roman" w:hAnsi="Times New Roman" w:cs="Times New Roman"/>
                <w:b/>
                <w:color w:val="auto"/>
              </w:rPr>
              <w:t>8、环保投资估算</w:t>
            </w:r>
          </w:p>
          <w:p w14:paraId="373376A2">
            <w:pPr>
              <w:adjustRightInd/>
              <w:snapToGrid/>
              <w:ind w:firstLine="480"/>
              <w:rPr>
                <w:rFonts w:hint="default" w:ascii="Times New Roman" w:hAnsi="Times New Roman" w:cs="Times New Roman"/>
                <w:b/>
                <w:color w:val="auto"/>
                <w:sz w:val="21"/>
                <w:szCs w:val="21"/>
              </w:rPr>
            </w:pPr>
            <w:r>
              <w:rPr>
                <w:rFonts w:hint="default" w:ascii="Times New Roman" w:hAnsi="Times New Roman" w:cs="Times New Roman"/>
                <w:color w:val="auto"/>
              </w:rPr>
              <w:t>项目总投资100万元，其中环保投资32万元，占总投资额的32%。项目具体的环保投资见表4-12。</w:t>
            </w:r>
          </w:p>
          <w:p w14:paraId="3055630E">
            <w:pPr>
              <w:spacing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rPr>
              <w:t>表4-12  环境保护投资估算一览表</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554"/>
              <w:gridCol w:w="303"/>
              <w:gridCol w:w="1326"/>
              <w:gridCol w:w="3362"/>
              <w:gridCol w:w="1355"/>
            </w:tblGrid>
            <w:tr w14:paraId="26AE7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tcBorders>
                    <w:tl2br w:val="nil"/>
                    <w:tr2bl w:val="nil"/>
                  </w:tcBorders>
                  <w:vAlign w:val="center"/>
                </w:tcPr>
                <w:p w14:paraId="770555BD">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类别</w:t>
                  </w:r>
                </w:p>
              </w:tc>
              <w:tc>
                <w:tcPr>
                  <w:tcW w:w="3796" w:type="pct"/>
                  <w:gridSpan w:val="4"/>
                  <w:tcBorders>
                    <w:tl2br w:val="nil"/>
                    <w:tr2bl w:val="nil"/>
                  </w:tcBorders>
                  <w:vAlign w:val="center"/>
                </w:tcPr>
                <w:p w14:paraId="7181D0ED">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环保设施</w:t>
                  </w:r>
                </w:p>
              </w:tc>
              <w:tc>
                <w:tcPr>
                  <w:tcW w:w="786" w:type="pct"/>
                  <w:tcBorders>
                    <w:tl2br w:val="nil"/>
                    <w:tr2bl w:val="nil"/>
                  </w:tcBorders>
                  <w:vAlign w:val="center"/>
                </w:tcPr>
                <w:p w14:paraId="205B80F0">
                  <w:pPr>
                    <w:widowControl/>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投资（万元）</w:t>
                  </w:r>
                </w:p>
              </w:tc>
            </w:tr>
            <w:tr w14:paraId="73CF14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restart"/>
                  <w:tcBorders>
                    <w:tl2br w:val="nil"/>
                    <w:tr2bl w:val="nil"/>
                  </w:tcBorders>
                  <w:vAlign w:val="center"/>
                </w:tcPr>
                <w:p w14:paraId="1D588F9B">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废气</w:t>
                  </w:r>
                </w:p>
              </w:tc>
              <w:tc>
                <w:tcPr>
                  <w:tcW w:w="1077" w:type="pct"/>
                  <w:gridSpan w:val="2"/>
                  <w:tcBorders>
                    <w:tl2br w:val="nil"/>
                    <w:tr2bl w:val="nil"/>
                  </w:tcBorders>
                  <w:vAlign w:val="center"/>
                </w:tcPr>
                <w:p w14:paraId="4A125C7C">
                  <w:pPr>
                    <w:pStyle w:val="76"/>
                    <w:spacing w:line="240" w:lineRule="atLeast"/>
                    <w:rPr>
                      <w:rFonts w:hint="default" w:ascii="Times New Roman" w:hAnsi="Times New Roman" w:cs="Times New Roman"/>
                      <w:color w:val="auto"/>
                      <w:kern w:val="2"/>
                      <w:szCs w:val="21"/>
                    </w:rPr>
                  </w:pPr>
                  <w:r>
                    <w:rPr>
                      <w:rFonts w:hint="default" w:ascii="Times New Roman" w:hAnsi="Times New Roman" w:cs="Times New Roman"/>
                      <w:color w:val="auto"/>
                      <w:kern w:val="2"/>
                      <w:szCs w:val="21"/>
                    </w:rPr>
                    <w:t>发泡挤出废气</w:t>
                  </w:r>
                </w:p>
              </w:tc>
              <w:tc>
                <w:tcPr>
                  <w:tcW w:w="2719" w:type="pct"/>
                  <w:gridSpan w:val="2"/>
                  <w:tcBorders>
                    <w:tl2br w:val="nil"/>
                    <w:tr2bl w:val="nil"/>
                  </w:tcBorders>
                  <w:vAlign w:val="center"/>
                </w:tcPr>
                <w:p w14:paraId="21A6F519">
                  <w:pPr>
                    <w:spacing w:line="240" w:lineRule="auto"/>
                    <w:ind w:firstLine="0" w:firstLineChars="0"/>
                    <w:jc w:val="center"/>
                    <w:outlineLvl w:val="0"/>
                    <w:rPr>
                      <w:rFonts w:hint="default" w:ascii="Times New Roman" w:hAnsi="Times New Roman" w:cs="Times New Roman"/>
                      <w:bCs/>
                      <w:color w:val="auto"/>
                      <w:kern w:val="0"/>
                      <w:sz w:val="20"/>
                      <w:szCs w:val="20"/>
                      <w:lang w:bidi="ar"/>
                    </w:rPr>
                  </w:pPr>
                  <w:r>
                    <w:rPr>
                      <w:rFonts w:hint="default" w:ascii="Times New Roman" w:hAnsi="Times New Roman" w:cs="Times New Roman"/>
                      <w:bCs/>
                      <w:color w:val="auto"/>
                      <w:sz w:val="21"/>
                      <w:szCs w:val="21"/>
                    </w:rPr>
                    <w:t>二级活性炭吸附装置+15m高排气筒</w:t>
                  </w:r>
                </w:p>
              </w:tc>
              <w:tc>
                <w:tcPr>
                  <w:tcW w:w="786" w:type="pct"/>
                  <w:tcBorders>
                    <w:tl2br w:val="nil"/>
                    <w:tr2bl w:val="nil"/>
                  </w:tcBorders>
                  <w:vAlign w:val="center"/>
                </w:tcPr>
                <w:p w14:paraId="4DC01A03">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5.2</w:t>
                  </w:r>
                </w:p>
              </w:tc>
            </w:tr>
            <w:tr w14:paraId="3171A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continue"/>
                  <w:tcBorders>
                    <w:tl2br w:val="nil"/>
                    <w:tr2bl w:val="nil"/>
                  </w:tcBorders>
                  <w:vAlign w:val="center"/>
                </w:tcPr>
                <w:p w14:paraId="6E012DBF">
                  <w:pPr>
                    <w:widowControl/>
                    <w:spacing w:line="240" w:lineRule="auto"/>
                    <w:ind w:firstLine="0" w:firstLineChars="0"/>
                    <w:jc w:val="center"/>
                    <w:rPr>
                      <w:rFonts w:hint="default" w:ascii="Times New Roman" w:hAnsi="Times New Roman" w:cs="Times New Roman"/>
                      <w:color w:val="auto"/>
                      <w:kern w:val="0"/>
                      <w:sz w:val="21"/>
                      <w:szCs w:val="21"/>
                    </w:rPr>
                  </w:pPr>
                </w:p>
              </w:tc>
              <w:tc>
                <w:tcPr>
                  <w:tcW w:w="1077" w:type="pct"/>
                  <w:gridSpan w:val="2"/>
                  <w:tcBorders>
                    <w:tl2br w:val="nil"/>
                    <w:tr2bl w:val="nil"/>
                  </w:tcBorders>
                  <w:vAlign w:val="center"/>
                </w:tcPr>
                <w:p w14:paraId="41D04262">
                  <w:pPr>
                    <w:pStyle w:val="76"/>
                    <w:spacing w:line="240" w:lineRule="atLeast"/>
                    <w:rPr>
                      <w:rFonts w:hint="default" w:ascii="Times New Roman" w:hAnsi="Times New Roman" w:cs="Times New Roman"/>
                      <w:color w:val="auto"/>
                      <w:kern w:val="2"/>
                      <w:szCs w:val="21"/>
                    </w:rPr>
                  </w:pPr>
                  <w:r>
                    <w:rPr>
                      <w:rFonts w:hint="default" w:ascii="Times New Roman" w:hAnsi="Times New Roman" w:cs="Times New Roman"/>
                      <w:color w:val="auto"/>
                      <w:kern w:val="2"/>
                      <w:szCs w:val="21"/>
                    </w:rPr>
                    <w:t>复合废气</w:t>
                  </w:r>
                </w:p>
              </w:tc>
              <w:tc>
                <w:tcPr>
                  <w:tcW w:w="2719" w:type="pct"/>
                  <w:gridSpan w:val="2"/>
                  <w:tcBorders>
                    <w:tl2br w:val="nil"/>
                    <w:tr2bl w:val="nil"/>
                  </w:tcBorders>
                  <w:vAlign w:val="center"/>
                </w:tcPr>
                <w:p w14:paraId="674FD30C">
                  <w:pPr>
                    <w:spacing w:line="240" w:lineRule="auto"/>
                    <w:ind w:firstLine="0" w:firstLineChars="0"/>
                    <w:jc w:val="center"/>
                    <w:outlineLvl w:val="0"/>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二级活性炭吸附装置+15m高排气筒</w:t>
                  </w:r>
                </w:p>
              </w:tc>
              <w:tc>
                <w:tcPr>
                  <w:tcW w:w="786" w:type="pct"/>
                  <w:tcBorders>
                    <w:tl2br w:val="nil"/>
                    <w:tr2bl w:val="nil"/>
                  </w:tcBorders>
                  <w:vAlign w:val="center"/>
                </w:tcPr>
                <w:p w14:paraId="7DCEE7CE">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4.8</w:t>
                  </w:r>
                </w:p>
              </w:tc>
            </w:tr>
            <w:tr w14:paraId="3FB28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continue"/>
                  <w:tcBorders>
                    <w:tl2br w:val="nil"/>
                    <w:tr2bl w:val="nil"/>
                  </w:tcBorders>
                  <w:vAlign w:val="center"/>
                </w:tcPr>
                <w:p w14:paraId="44813267">
                  <w:pPr>
                    <w:widowControl/>
                    <w:spacing w:line="240" w:lineRule="auto"/>
                    <w:ind w:firstLine="0" w:firstLineChars="0"/>
                    <w:jc w:val="center"/>
                    <w:rPr>
                      <w:rFonts w:hint="default" w:ascii="Times New Roman" w:hAnsi="Times New Roman" w:cs="Times New Roman"/>
                      <w:color w:val="auto"/>
                      <w:kern w:val="0"/>
                      <w:sz w:val="21"/>
                      <w:szCs w:val="21"/>
                    </w:rPr>
                  </w:pPr>
                </w:p>
              </w:tc>
              <w:tc>
                <w:tcPr>
                  <w:tcW w:w="1077" w:type="pct"/>
                  <w:gridSpan w:val="2"/>
                  <w:tcBorders>
                    <w:tl2br w:val="nil"/>
                    <w:tr2bl w:val="nil"/>
                  </w:tcBorders>
                  <w:vAlign w:val="center"/>
                </w:tcPr>
                <w:p w14:paraId="2C7F3515">
                  <w:pPr>
                    <w:pStyle w:val="76"/>
                    <w:spacing w:line="240" w:lineRule="atLeast"/>
                    <w:rPr>
                      <w:rFonts w:hint="default" w:ascii="Times New Roman" w:hAnsi="Times New Roman" w:cs="Times New Roman"/>
                      <w:color w:val="auto"/>
                      <w:kern w:val="2"/>
                      <w:szCs w:val="21"/>
                    </w:rPr>
                  </w:pPr>
                  <w:r>
                    <w:rPr>
                      <w:rFonts w:hint="default" w:ascii="Times New Roman" w:hAnsi="Times New Roman" w:cs="Times New Roman"/>
                      <w:color w:val="auto"/>
                      <w:kern w:val="2"/>
                      <w:szCs w:val="21"/>
                    </w:rPr>
                    <w:t>造粒工序废气</w:t>
                  </w:r>
                </w:p>
              </w:tc>
              <w:tc>
                <w:tcPr>
                  <w:tcW w:w="2719" w:type="pct"/>
                  <w:gridSpan w:val="2"/>
                  <w:tcBorders>
                    <w:tl2br w:val="nil"/>
                    <w:tr2bl w:val="nil"/>
                  </w:tcBorders>
                  <w:vAlign w:val="center"/>
                </w:tcPr>
                <w:p w14:paraId="1D652164">
                  <w:pPr>
                    <w:spacing w:line="240" w:lineRule="auto"/>
                    <w:ind w:firstLine="0" w:firstLineChars="0"/>
                    <w:jc w:val="center"/>
                    <w:outlineLvl w:val="0"/>
                    <w:rPr>
                      <w:rFonts w:hint="default" w:ascii="Times New Roman" w:hAnsi="Times New Roman" w:cs="Times New Roman"/>
                      <w:bCs/>
                      <w:color w:val="auto"/>
                      <w:kern w:val="0"/>
                      <w:sz w:val="20"/>
                      <w:szCs w:val="20"/>
                      <w:lang w:bidi="ar"/>
                    </w:rPr>
                  </w:pPr>
                  <w:r>
                    <w:rPr>
                      <w:rFonts w:hint="default" w:ascii="Times New Roman" w:hAnsi="Times New Roman" w:cs="Times New Roman"/>
                      <w:bCs/>
                      <w:color w:val="auto"/>
                      <w:sz w:val="21"/>
                      <w:szCs w:val="21"/>
                    </w:rPr>
                    <w:t>二级活性炭吸附装置+15m高排气筒</w:t>
                  </w:r>
                </w:p>
              </w:tc>
              <w:tc>
                <w:tcPr>
                  <w:tcW w:w="786" w:type="pct"/>
                  <w:tcBorders>
                    <w:tl2br w:val="nil"/>
                    <w:tr2bl w:val="nil"/>
                  </w:tcBorders>
                  <w:vAlign w:val="center"/>
                </w:tcPr>
                <w:p w14:paraId="76871E1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4.2</w:t>
                  </w:r>
                </w:p>
              </w:tc>
            </w:tr>
            <w:tr w14:paraId="007812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continue"/>
                  <w:tcBorders>
                    <w:tl2br w:val="nil"/>
                    <w:tr2bl w:val="nil"/>
                  </w:tcBorders>
                  <w:vAlign w:val="center"/>
                </w:tcPr>
                <w:p w14:paraId="7592E131">
                  <w:pPr>
                    <w:widowControl/>
                    <w:spacing w:line="240" w:lineRule="auto"/>
                    <w:ind w:firstLine="0" w:firstLineChars="0"/>
                    <w:jc w:val="center"/>
                    <w:rPr>
                      <w:rFonts w:hint="default" w:ascii="Times New Roman" w:hAnsi="Times New Roman" w:cs="Times New Roman"/>
                      <w:color w:val="auto"/>
                      <w:kern w:val="0"/>
                      <w:sz w:val="21"/>
                      <w:szCs w:val="21"/>
                    </w:rPr>
                  </w:pPr>
                </w:p>
              </w:tc>
              <w:tc>
                <w:tcPr>
                  <w:tcW w:w="1077" w:type="pct"/>
                  <w:gridSpan w:val="2"/>
                  <w:tcBorders>
                    <w:tl2br w:val="nil"/>
                    <w:tr2bl w:val="nil"/>
                  </w:tcBorders>
                  <w:vAlign w:val="center"/>
                </w:tcPr>
                <w:p w14:paraId="0F2C305D">
                  <w:pPr>
                    <w:pStyle w:val="76"/>
                    <w:spacing w:line="240" w:lineRule="atLeast"/>
                    <w:rPr>
                      <w:rFonts w:hint="default" w:ascii="Times New Roman" w:hAnsi="Times New Roman" w:cs="Times New Roman"/>
                      <w:color w:val="auto"/>
                      <w:kern w:val="2"/>
                      <w:szCs w:val="21"/>
                    </w:rPr>
                  </w:pPr>
                  <w:r>
                    <w:rPr>
                      <w:rFonts w:hint="default" w:ascii="Times New Roman" w:hAnsi="Times New Roman" w:cs="Times New Roman"/>
                      <w:color w:val="auto"/>
                      <w:kern w:val="2"/>
                      <w:szCs w:val="21"/>
                    </w:rPr>
                    <w:t>粘合废气</w:t>
                  </w:r>
                </w:p>
              </w:tc>
              <w:tc>
                <w:tcPr>
                  <w:tcW w:w="2719" w:type="pct"/>
                  <w:gridSpan w:val="2"/>
                  <w:tcBorders>
                    <w:tl2br w:val="nil"/>
                    <w:tr2bl w:val="nil"/>
                  </w:tcBorders>
                  <w:vAlign w:val="center"/>
                </w:tcPr>
                <w:p w14:paraId="38590090">
                  <w:pPr>
                    <w:spacing w:line="240" w:lineRule="auto"/>
                    <w:ind w:firstLine="0" w:firstLineChars="0"/>
                    <w:jc w:val="center"/>
                    <w:outlineLvl w:val="0"/>
                    <w:rPr>
                      <w:rFonts w:hint="default" w:ascii="Times New Roman" w:hAnsi="Times New Roman" w:cs="Times New Roman"/>
                      <w:bCs/>
                      <w:color w:val="auto"/>
                      <w:kern w:val="0"/>
                      <w:sz w:val="20"/>
                      <w:szCs w:val="20"/>
                      <w:lang w:bidi="ar"/>
                    </w:rPr>
                  </w:pPr>
                  <w:r>
                    <w:rPr>
                      <w:rFonts w:hint="default" w:ascii="Times New Roman" w:hAnsi="Times New Roman" w:cs="Times New Roman"/>
                      <w:bCs/>
                      <w:color w:val="auto"/>
                      <w:sz w:val="21"/>
                      <w:szCs w:val="21"/>
                    </w:rPr>
                    <w:t>二级活性炭吸附装置+15m高排气筒</w:t>
                  </w:r>
                </w:p>
              </w:tc>
              <w:tc>
                <w:tcPr>
                  <w:tcW w:w="786" w:type="pct"/>
                  <w:tcBorders>
                    <w:tl2br w:val="nil"/>
                    <w:tr2bl w:val="nil"/>
                  </w:tcBorders>
                  <w:vAlign w:val="center"/>
                </w:tcPr>
                <w:p w14:paraId="6BAFCAED">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6.0</w:t>
                  </w:r>
                </w:p>
              </w:tc>
            </w:tr>
            <w:tr w14:paraId="2D1673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tcBorders>
                    <w:tl2br w:val="nil"/>
                    <w:tr2bl w:val="nil"/>
                  </w:tcBorders>
                  <w:vAlign w:val="center"/>
                </w:tcPr>
                <w:p w14:paraId="09C33617">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废水</w:t>
                  </w:r>
                </w:p>
              </w:tc>
              <w:tc>
                <w:tcPr>
                  <w:tcW w:w="1077" w:type="pct"/>
                  <w:gridSpan w:val="2"/>
                  <w:tcBorders>
                    <w:tl2br w:val="nil"/>
                    <w:tr2bl w:val="nil"/>
                  </w:tcBorders>
                  <w:vAlign w:val="center"/>
                </w:tcPr>
                <w:p w14:paraId="791DDBD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生活污水</w:t>
                  </w:r>
                </w:p>
              </w:tc>
              <w:tc>
                <w:tcPr>
                  <w:tcW w:w="2719" w:type="pct"/>
                  <w:gridSpan w:val="2"/>
                  <w:tcBorders>
                    <w:tl2br w:val="nil"/>
                    <w:tr2bl w:val="nil"/>
                  </w:tcBorders>
                  <w:vAlign w:val="center"/>
                </w:tcPr>
                <w:p w14:paraId="3392DFAF">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油水分离器+化粪池</w:t>
                  </w:r>
                </w:p>
              </w:tc>
              <w:tc>
                <w:tcPr>
                  <w:tcW w:w="786" w:type="pct"/>
                  <w:tcBorders>
                    <w:tl2br w:val="nil"/>
                    <w:tr2bl w:val="nil"/>
                  </w:tcBorders>
                  <w:vAlign w:val="center"/>
                </w:tcPr>
                <w:p w14:paraId="746CE7C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1.3</w:t>
                  </w:r>
                </w:p>
              </w:tc>
            </w:tr>
            <w:tr w14:paraId="1C7F2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tcBorders>
                    <w:tl2br w:val="nil"/>
                    <w:tr2bl w:val="nil"/>
                  </w:tcBorders>
                  <w:vAlign w:val="center"/>
                </w:tcPr>
                <w:p w14:paraId="662D269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噪声</w:t>
                  </w:r>
                </w:p>
              </w:tc>
              <w:tc>
                <w:tcPr>
                  <w:tcW w:w="3796" w:type="pct"/>
                  <w:gridSpan w:val="4"/>
                  <w:tcBorders>
                    <w:tl2br w:val="nil"/>
                    <w:tr2bl w:val="nil"/>
                  </w:tcBorders>
                  <w:vAlign w:val="center"/>
                </w:tcPr>
                <w:p w14:paraId="3C67345F">
                  <w:pPr>
                    <w:spacing w:line="240" w:lineRule="auto"/>
                    <w:ind w:firstLine="0" w:firstLineChars="0"/>
                    <w:jc w:val="center"/>
                    <w:outlineLvl w:val="0"/>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设备基础减振，风机增加隔声罩措施；管道接口采用隔音材料包裹</w:t>
                  </w:r>
                </w:p>
              </w:tc>
              <w:tc>
                <w:tcPr>
                  <w:tcW w:w="786" w:type="pct"/>
                  <w:tcBorders>
                    <w:tl2br w:val="nil"/>
                    <w:tr2bl w:val="nil"/>
                  </w:tcBorders>
                  <w:vAlign w:val="center"/>
                </w:tcPr>
                <w:p w14:paraId="2CE772CA">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3</w:t>
                  </w:r>
                </w:p>
              </w:tc>
            </w:tr>
            <w:tr w14:paraId="368F43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restart"/>
                  <w:tcBorders>
                    <w:tl2br w:val="nil"/>
                    <w:tr2bl w:val="nil"/>
                  </w:tcBorders>
                  <w:vAlign w:val="center"/>
                </w:tcPr>
                <w:p w14:paraId="355D93E2">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固体废物</w:t>
                  </w:r>
                </w:p>
              </w:tc>
              <w:tc>
                <w:tcPr>
                  <w:tcW w:w="901" w:type="pct"/>
                  <w:tcBorders>
                    <w:tl2br w:val="nil"/>
                    <w:tr2bl w:val="nil"/>
                  </w:tcBorders>
                  <w:vAlign w:val="center"/>
                </w:tcPr>
                <w:p w14:paraId="392BB5BC">
                  <w:pPr>
                    <w:spacing w:line="240" w:lineRule="auto"/>
                    <w:ind w:firstLine="0" w:firstLineChars="0"/>
                    <w:jc w:val="center"/>
                    <w:outlineLvl w:val="0"/>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生活垃圾</w:t>
                  </w:r>
                </w:p>
              </w:tc>
              <w:tc>
                <w:tcPr>
                  <w:tcW w:w="945" w:type="pct"/>
                  <w:gridSpan w:val="2"/>
                  <w:tcBorders>
                    <w:tl2br w:val="nil"/>
                    <w:tr2bl w:val="nil"/>
                  </w:tcBorders>
                  <w:vAlign w:val="center"/>
                </w:tcPr>
                <w:p w14:paraId="4E3D6794">
                  <w:pPr>
                    <w:spacing w:line="240" w:lineRule="auto"/>
                    <w:ind w:firstLine="0" w:firstLineChars="0"/>
                    <w:jc w:val="center"/>
                    <w:outlineLvl w:val="0"/>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生活垃圾</w:t>
                  </w:r>
                </w:p>
              </w:tc>
              <w:tc>
                <w:tcPr>
                  <w:tcW w:w="1950" w:type="pct"/>
                  <w:tcBorders>
                    <w:tl2br w:val="nil"/>
                    <w:tr2bl w:val="nil"/>
                  </w:tcBorders>
                  <w:vAlign w:val="center"/>
                </w:tcPr>
                <w:p w14:paraId="75527969">
                  <w:pPr>
                    <w:spacing w:line="240" w:lineRule="auto"/>
                    <w:ind w:firstLine="0" w:firstLineChars="0"/>
                    <w:jc w:val="center"/>
                    <w:outlineLvl w:val="0"/>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垃圾桶若干</w:t>
                  </w:r>
                </w:p>
              </w:tc>
              <w:tc>
                <w:tcPr>
                  <w:tcW w:w="786" w:type="pct"/>
                  <w:tcBorders>
                    <w:tl2br w:val="nil"/>
                    <w:tr2bl w:val="nil"/>
                  </w:tcBorders>
                  <w:vAlign w:val="center"/>
                </w:tcPr>
                <w:p w14:paraId="6CF46E3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p>
              </w:tc>
            </w:tr>
            <w:tr w14:paraId="0DC25A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7" w:type="pct"/>
                  <w:vMerge w:val="continue"/>
                  <w:tcBorders>
                    <w:tl2br w:val="nil"/>
                    <w:tr2bl w:val="nil"/>
                  </w:tcBorders>
                  <w:vAlign w:val="center"/>
                </w:tcPr>
                <w:p w14:paraId="224751B4">
                  <w:pPr>
                    <w:widowControl/>
                    <w:spacing w:line="240" w:lineRule="auto"/>
                    <w:ind w:firstLine="0" w:firstLineChars="0"/>
                    <w:jc w:val="center"/>
                    <w:rPr>
                      <w:rFonts w:hint="default" w:ascii="Times New Roman" w:hAnsi="Times New Roman" w:cs="Times New Roman"/>
                      <w:color w:val="auto"/>
                      <w:kern w:val="0"/>
                      <w:sz w:val="21"/>
                      <w:szCs w:val="21"/>
                    </w:rPr>
                  </w:pPr>
                </w:p>
              </w:tc>
              <w:tc>
                <w:tcPr>
                  <w:tcW w:w="901" w:type="pct"/>
                  <w:tcBorders>
                    <w:tl2br w:val="nil"/>
                    <w:tr2bl w:val="nil"/>
                  </w:tcBorders>
                  <w:vAlign w:val="center"/>
                </w:tcPr>
                <w:p w14:paraId="43C5763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危险废物</w:t>
                  </w:r>
                </w:p>
              </w:tc>
              <w:tc>
                <w:tcPr>
                  <w:tcW w:w="945" w:type="pct"/>
                  <w:gridSpan w:val="2"/>
                  <w:tcBorders>
                    <w:tl2br w:val="nil"/>
                    <w:tr2bl w:val="nil"/>
                  </w:tcBorders>
                  <w:vAlign w:val="center"/>
                </w:tcPr>
                <w:p w14:paraId="3BCF02C4">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废机油</w:t>
                  </w:r>
                </w:p>
              </w:tc>
              <w:tc>
                <w:tcPr>
                  <w:tcW w:w="1950" w:type="pct"/>
                  <w:tcBorders>
                    <w:tl2br w:val="nil"/>
                    <w:tr2bl w:val="nil"/>
                  </w:tcBorders>
                  <w:vAlign w:val="center"/>
                </w:tcPr>
                <w:p w14:paraId="28D565EB">
                  <w:pPr>
                    <w:spacing w:line="240" w:lineRule="auto"/>
                    <w:ind w:firstLine="0" w:firstLineChars="0"/>
                    <w:jc w:val="center"/>
                    <w:outlineLvl w:val="0"/>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危废贮存库</w:t>
                  </w:r>
                </w:p>
              </w:tc>
              <w:tc>
                <w:tcPr>
                  <w:tcW w:w="786" w:type="pct"/>
                  <w:tcBorders>
                    <w:tl2br w:val="nil"/>
                    <w:tr2bl w:val="nil"/>
                  </w:tcBorders>
                  <w:vAlign w:val="center"/>
                </w:tcPr>
                <w:p w14:paraId="0B1A2B5F">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1.5</w:t>
                  </w:r>
                </w:p>
              </w:tc>
            </w:tr>
            <w:tr w14:paraId="4D1AA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13" w:type="pct"/>
                  <w:gridSpan w:val="5"/>
                  <w:tcBorders>
                    <w:tl2br w:val="nil"/>
                    <w:tr2bl w:val="nil"/>
                  </w:tcBorders>
                  <w:shd w:val="clear" w:color="auto" w:fill="auto"/>
                  <w:vAlign w:val="center"/>
                </w:tcPr>
                <w:p w14:paraId="703E3915">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运行维护费用</w:t>
                  </w:r>
                </w:p>
              </w:tc>
              <w:tc>
                <w:tcPr>
                  <w:tcW w:w="786" w:type="pct"/>
                  <w:tcBorders>
                    <w:tl2br w:val="nil"/>
                    <w:tr2bl w:val="nil"/>
                  </w:tcBorders>
                  <w:vAlign w:val="center"/>
                </w:tcPr>
                <w:p w14:paraId="1433629B">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w:t>
                  </w:r>
                </w:p>
              </w:tc>
            </w:tr>
            <w:tr w14:paraId="53661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13" w:type="pct"/>
                  <w:gridSpan w:val="5"/>
                  <w:tcBorders>
                    <w:tl2br w:val="nil"/>
                    <w:tr2bl w:val="nil"/>
                  </w:tcBorders>
                  <w:shd w:val="clear" w:color="auto" w:fill="auto"/>
                  <w:vAlign w:val="center"/>
                </w:tcPr>
                <w:p w14:paraId="0576999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环境管理与监测费用</w:t>
                  </w:r>
                </w:p>
              </w:tc>
              <w:tc>
                <w:tcPr>
                  <w:tcW w:w="786" w:type="pct"/>
                  <w:tcBorders>
                    <w:tl2br w:val="nil"/>
                    <w:tr2bl w:val="nil"/>
                  </w:tcBorders>
                  <w:vAlign w:val="center"/>
                </w:tcPr>
                <w:p w14:paraId="59D643A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4</w:t>
                  </w:r>
                </w:p>
              </w:tc>
            </w:tr>
            <w:tr w14:paraId="2E30C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13" w:type="pct"/>
                  <w:gridSpan w:val="5"/>
                  <w:tcBorders>
                    <w:tl2br w:val="nil"/>
                    <w:tr2bl w:val="nil"/>
                  </w:tcBorders>
                  <w:vAlign w:val="center"/>
                </w:tcPr>
                <w:p w14:paraId="0FAAC32A">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合计</w:t>
                  </w:r>
                </w:p>
              </w:tc>
              <w:tc>
                <w:tcPr>
                  <w:tcW w:w="786" w:type="pct"/>
                  <w:tcBorders>
                    <w:tl2br w:val="nil"/>
                    <w:tr2bl w:val="nil"/>
                  </w:tcBorders>
                  <w:vAlign w:val="center"/>
                </w:tcPr>
                <w:p w14:paraId="2DC08C66">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32</w:t>
                  </w:r>
                </w:p>
              </w:tc>
            </w:tr>
          </w:tbl>
          <w:p w14:paraId="387434BC">
            <w:pPr>
              <w:ind w:firstLine="480"/>
              <w:rPr>
                <w:rFonts w:hint="default" w:ascii="Times New Roman" w:hAnsi="Times New Roman" w:cs="Times New Roman"/>
                <w:color w:val="auto"/>
              </w:rPr>
            </w:pPr>
          </w:p>
          <w:p w14:paraId="2B673567">
            <w:pPr>
              <w:pStyle w:val="2"/>
              <w:ind w:firstLine="640"/>
              <w:outlineLvl w:val="1"/>
              <w:rPr>
                <w:rFonts w:hint="default" w:ascii="Times New Roman" w:hAnsi="Times New Roman" w:cs="Times New Roman"/>
                <w:color w:val="auto"/>
              </w:rPr>
            </w:pPr>
          </w:p>
        </w:tc>
      </w:tr>
    </w:tbl>
    <w:p w14:paraId="6AF86CBE">
      <w:pPr>
        <w:ind w:firstLine="480"/>
        <w:rPr>
          <w:rFonts w:hint="default" w:ascii="Times New Roman" w:hAnsi="Times New Roman" w:cs="Times New Roman"/>
          <w:color w:val="auto"/>
        </w:rPr>
        <w:sectPr>
          <w:pgSz w:w="11906" w:h="16838"/>
          <w:pgMar w:top="1701" w:right="1531" w:bottom="1701" w:left="1531" w:header="851" w:footer="851" w:gutter="0"/>
          <w:cols w:space="720" w:num="1"/>
          <w:docGrid w:linePitch="312" w:charSpace="0"/>
        </w:sectPr>
      </w:pPr>
    </w:p>
    <w:p w14:paraId="3A92A6E4">
      <w:pPr>
        <w:pStyle w:val="23"/>
        <w:spacing w:line="240" w:lineRule="auto"/>
        <w:ind w:firstLine="0" w:firstLineChars="0"/>
        <w:jc w:val="center"/>
        <w:outlineLvl w:val="0"/>
        <w:rPr>
          <w:rFonts w:hint="default" w:ascii="Times New Roman" w:hAnsi="Times New Roman" w:eastAsia="黑体" w:cs="Times New Roman"/>
          <w:snapToGrid w:val="0"/>
          <w:color w:val="auto"/>
          <w:kern w:val="21"/>
          <w:sz w:val="30"/>
          <w:szCs w:val="30"/>
        </w:rPr>
      </w:pPr>
      <w:r>
        <w:rPr>
          <w:rFonts w:hint="default" w:ascii="Times New Roman" w:hAnsi="Times New Roman" w:eastAsia="黑体" w:cs="Times New Roman"/>
          <w:snapToGrid w:val="0"/>
          <w:color w:val="auto"/>
          <w:kern w:val="21"/>
          <w:sz w:val="30"/>
          <w:szCs w:val="30"/>
        </w:rPr>
        <w:t>五、</w:t>
      </w:r>
      <w:bookmarkStart w:id="5" w:name="_Hlk54167917"/>
      <w:r>
        <w:rPr>
          <w:rFonts w:hint="default" w:ascii="Times New Roman" w:hAnsi="Times New Roman" w:eastAsia="黑体" w:cs="Times New Roman"/>
          <w:snapToGrid w:val="0"/>
          <w:color w:val="auto"/>
          <w:kern w:val="21"/>
          <w:sz w:val="30"/>
          <w:szCs w:val="30"/>
        </w:rPr>
        <w:t>环境保护措施监督检查清单</w:t>
      </w:r>
      <w:bookmarkEnd w:id="5"/>
    </w:p>
    <w:tbl>
      <w:tblPr>
        <w:tblStyle w:val="28"/>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02"/>
        <w:gridCol w:w="1694"/>
        <w:gridCol w:w="1404"/>
        <w:gridCol w:w="2388"/>
        <w:gridCol w:w="2268"/>
      </w:tblGrid>
      <w:tr w14:paraId="67A405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9" w:type="pct"/>
            <w:tcBorders>
              <w:tl2br w:val="single" w:color="auto" w:sz="4" w:space="0"/>
            </w:tcBorders>
          </w:tcPr>
          <w:p w14:paraId="3031EF67">
            <w:pPr>
              <w:spacing w:line="240" w:lineRule="auto"/>
              <w:ind w:firstLine="422"/>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内容</w:t>
            </w:r>
          </w:p>
          <w:p w14:paraId="50816C43">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要素</w:t>
            </w:r>
          </w:p>
        </w:tc>
        <w:tc>
          <w:tcPr>
            <w:tcW w:w="935" w:type="pct"/>
            <w:vAlign w:val="center"/>
          </w:tcPr>
          <w:p w14:paraId="0DBF1405">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排放口（编号、</w:t>
            </w:r>
          </w:p>
          <w:p w14:paraId="04BC7AC1">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名称）/污染源</w:t>
            </w:r>
          </w:p>
        </w:tc>
        <w:tc>
          <w:tcPr>
            <w:tcW w:w="775" w:type="pct"/>
            <w:vAlign w:val="center"/>
          </w:tcPr>
          <w:p w14:paraId="68AD76DD">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污染物项目</w:t>
            </w:r>
          </w:p>
        </w:tc>
        <w:tc>
          <w:tcPr>
            <w:tcW w:w="1318" w:type="pct"/>
            <w:vAlign w:val="center"/>
          </w:tcPr>
          <w:p w14:paraId="049DCAC8">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环境保护措施</w:t>
            </w:r>
          </w:p>
        </w:tc>
        <w:tc>
          <w:tcPr>
            <w:tcW w:w="1251" w:type="pct"/>
            <w:vAlign w:val="center"/>
          </w:tcPr>
          <w:p w14:paraId="293680E4">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执行标准</w:t>
            </w:r>
          </w:p>
        </w:tc>
      </w:tr>
      <w:tr w14:paraId="002950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19" w:type="pct"/>
            <w:vMerge w:val="restart"/>
            <w:vAlign w:val="center"/>
          </w:tcPr>
          <w:p w14:paraId="4E8A7A59">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大气环境</w:t>
            </w:r>
          </w:p>
        </w:tc>
        <w:tc>
          <w:tcPr>
            <w:tcW w:w="935" w:type="pct"/>
            <w:vAlign w:val="center"/>
          </w:tcPr>
          <w:p w14:paraId="6C8C5C9D">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DA001</w:t>
            </w:r>
          </w:p>
        </w:tc>
        <w:tc>
          <w:tcPr>
            <w:tcW w:w="775" w:type="pct"/>
            <w:vMerge w:val="restart"/>
            <w:vAlign w:val="center"/>
          </w:tcPr>
          <w:p w14:paraId="5BA7D178">
            <w:pPr>
              <w:pStyle w:val="89"/>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1318" w:type="pct"/>
            <w:vAlign w:val="center"/>
          </w:tcPr>
          <w:p w14:paraId="521C525D">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1套二级活性炭吸附装置+15m高排气筒</w:t>
            </w:r>
          </w:p>
        </w:tc>
        <w:tc>
          <w:tcPr>
            <w:tcW w:w="1251" w:type="pct"/>
            <w:vMerge w:val="restart"/>
            <w:vAlign w:val="center"/>
          </w:tcPr>
          <w:p w14:paraId="00CC6AEC">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《合成树脂工业污染物排放标准》（GB31572-2015，含2024修改单）、《挥发性有机物无组织排放控制标准》（GB 37822-2019）</w:t>
            </w:r>
          </w:p>
        </w:tc>
      </w:tr>
      <w:tr w14:paraId="4C53F4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19" w:type="pct"/>
            <w:vMerge w:val="continue"/>
            <w:vAlign w:val="center"/>
          </w:tcPr>
          <w:p w14:paraId="04F5E862">
            <w:pPr>
              <w:spacing w:line="240" w:lineRule="auto"/>
              <w:ind w:firstLine="0" w:firstLineChars="0"/>
              <w:jc w:val="center"/>
              <w:rPr>
                <w:rFonts w:hint="default" w:ascii="Times New Roman" w:hAnsi="Times New Roman" w:cs="Times New Roman"/>
                <w:color w:val="auto"/>
              </w:rPr>
            </w:pPr>
          </w:p>
        </w:tc>
        <w:tc>
          <w:tcPr>
            <w:tcW w:w="935" w:type="pct"/>
            <w:vAlign w:val="center"/>
          </w:tcPr>
          <w:p w14:paraId="725D0DD4">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DA002</w:t>
            </w:r>
          </w:p>
        </w:tc>
        <w:tc>
          <w:tcPr>
            <w:tcW w:w="775" w:type="pct"/>
            <w:vMerge w:val="continue"/>
            <w:vAlign w:val="center"/>
          </w:tcPr>
          <w:p w14:paraId="4CFE2988">
            <w:pPr>
              <w:spacing w:line="240" w:lineRule="auto"/>
              <w:ind w:firstLine="0" w:firstLineChars="0"/>
              <w:jc w:val="center"/>
              <w:rPr>
                <w:rFonts w:hint="default" w:ascii="Times New Roman" w:hAnsi="Times New Roman" w:cs="Times New Roman"/>
                <w:color w:val="auto"/>
                <w:sz w:val="21"/>
                <w:szCs w:val="21"/>
              </w:rPr>
            </w:pPr>
          </w:p>
        </w:tc>
        <w:tc>
          <w:tcPr>
            <w:tcW w:w="1318" w:type="pct"/>
            <w:vAlign w:val="center"/>
          </w:tcPr>
          <w:p w14:paraId="49AE1E5C">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1套二级活性炭吸附装置+15m高排气筒</w:t>
            </w:r>
          </w:p>
        </w:tc>
        <w:tc>
          <w:tcPr>
            <w:tcW w:w="1251" w:type="pct"/>
            <w:vMerge w:val="continue"/>
            <w:vAlign w:val="center"/>
          </w:tcPr>
          <w:p w14:paraId="4CC3D453">
            <w:pPr>
              <w:spacing w:line="240" w:lineRule="auto"/>
              <w:ind w:firstLine="0" w:firstLineChars="0"/>
              <w:jc w:val="center"/>
              <w:rPr>
                <w:rFonts w:hint="default" w:ascii="Times New Roman" w:hAnsi="Times New Roman" w:cs="Times New Roman"/>
                <w:color w:val="auto"/>
                <w:sz w:val="21"/>
                <w:szCs w:val="21"/>
              </w:rPr>
            </w:pPr>
          </w:p>
        </w:tc>
      </w:tr>
      <w:tr w14:paraId="16FB8F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19" w:type="pct"/>
            <w:vMerge w:val="continue"/>
            <w:vAlign w:val="center"/>
          </w:tcPr>
          <w:p w14:paraId="3E73783E">
            <w:pPr>
              <w:spacing w:line="240" w:lineRule="auto"/>
              <w:ind w:firstLine="0" w:firstLineChars="0"/>
              <w:jc w:val="center"/>
              <w:rPr>
                <w:rFonts w:hint="default" w:ascii="Times New Roman" w:hAnsi="Times New Roman" w:cs="Times New Roman"/>
                <w:color w:val="auto"/>
                <w:sz w:val="21"/>
                <w:szCs w:val="21"/>
              </w:rPr>
            </w:pPr>
          </w:p>
        </w:tc>
        <w:tc>
          <w:tcPr>
            <w:tcW w:w="935" w:type="pct"/>
            <w:vAlign w:val="center"/>
          </w:tcPr>
          <w:p w14:paraId="7D8BFB8B">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DA003</w:t>
            </w:r>
          </w:p>
        </w:tc>
        <w:tc>
          <w:tcPr>
            <w:tcW w:w="775" w:type="pct"/>
            <w:vMerge w:val="continue"/>
            <w:vAlign w:val="center"/>
          </w:tcPr>
          <w:p w14:paraId="71B92D8C">
            <w:pPr>
              <w:spacing w:line="240" w:lineRule="auto"/>
              <w:ind w:firstLine="0" w:firstLineChars="0"/>
              <w:jc w:val="center"/>
              <w:rPr>
                <w:rFonts w:hint="default" w:ascii="Times New Roman" w:hAnsi="Times New Roman" w:cs="Times New Roman"/>
                <w:color w:val="auto"/>
                <w:sz w:val="21"/>
                <w:szCs w:val="21"/>
              </w:rPr>
            </w:pPr>
          </w:p>
        </w:tc>
        <w:tc>
          <w:tcPr>
            <w:tcW w:w="1318" w:type="pct"/>
            <w:vAlign w:val="center"/>
          </w:tcPr>
          <w:p w14:paraId="31883D31">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1套二级活性炭吸附装置+15m高排气筒</w:t>
            </w:r>
          </w:p>
        </w:tc>
        <w:tc>
          <w:tcPr>
            <w:tcW w:w="1251" w:type="pct"/>
            <w:vMerge w:val="continue"/>
            <w:vAlign w:val="center"/>
          </w:tcPr>
          <w:p w14:paraId="15BE9E7B">
            <w:pPr>
              <w:spacing w:line="240" w:lineRule="auto"/>
              <w:ind w:firstLine="0" w:firstLineChars="0"/>
              <w:jc w:val="center"/>
              <w:rPr>
                <w:rFonts w:hint="default" w:ascii="Times New Roman" w:hAnsi="Times New Roman" w:cs="Times New Roman"/>
                <w:color w:val="auto"/>
                <w:sz w:val="21"/>
                <w:szCs w:val="21"/>
              </w:rPr>
            </w:pPr>
          </w:p>
        </w:tc>
      </w:tr>
      <w:tr w14:paraId="5C96AC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19" w:type="pct"/>
            <w:vMerge w:val="continue"/>
            <w:vAlign w:val="center"/>
          </w:tcPr>
          <w:p w14:paraId="444AF866">
            <w:pPr>
              <w:spacing w:line="240" w:lineRule="auto"/>
              <w:ind w:firstLine="0" w:firstLineChars="0"/>
              <w:jc w:val="center"/>
              <w:rPr>
                <w:rFonts w:hint="default" w:ascii="Times New Roman" w:hAnsi="Times New Roman" w:cs="Times New Roman"/>
                <w:color w:val="auto"/>
                <w:sz w:val="21"/>
                <w:szCs w:val="21"/>
              </w:rPr>
            </w:pPr>
          </w:p>
        </w:tc>
        <w:tc>
          <w:tcPr>
            <w:tcW w:w="935" w:type="pct"/>
            <w:vAlign w:val="center"/>
          </w:tcPr>
          <w:p w14:paraId="0CAB61B5">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DA004</w:t>
            </w:r>
          </w:p>
        </w:tc>
        <w:tc>
          <w:tcPr>
            <w:tcW w:w="775" w:type="pct"/>
            <w:vMerge w:val="continue"/>
            <w:vAlign w:val="center"/>
          </w:tcPr>
          <w:p w14:paraId="59623CC6">
            <w:pPr>
              <w:spacing w:line="240" w:lineRule="auto"/>
              <w:ind w:firstLine="0" w:firstLineChars="0"/>
              <w:jc w:val="center"/>
              <w:rPr>
                <w:rFonts w:hint="default" w:ascii="Times New Roman" w:hAnsi="Times New Roman" w:cs="Times New Roman"/>
                <w:color w:val="auto"/>
                <w:sz w:val="21"/>
                <w:szCs w:val="21"/>
              </w:rPr>
            </w:pPr>
          </w:p>
        </w:tc>
        <w:tc>
          <w:tcPr>
            <w:tcW w:w="1318" w:type="pct"/>
            <w:vAlign w:val="center"/>
          </w:tcPr>
          <w:p w14:paraId="25AF2ADB">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1套二级活性炭吸附装置+15m高排气筒</w:t>
            </w:r>
          </w:p>
        </w:tc>
        <w:tc>
          <w:tcPr>
            <w:tcW w:w="1251" w:type="pct"/>
            <w:vMerge w:val="continue"/>
            <w:vAlign w:val="center"/>
          </w:tcPr>
          <w:p w14:paraId="4FDD2DDE">
            <w:pPr>
              <w:spacing w:line="240" w:lineRule="auto"/>
              <w:ind w:firstLine="0" w:firstLineChars="0"/>
              <w:jc w:val="center"/>
              <w:rPr>
                <w:rFonts w:hint="default" w:ascii="Times New Roman" w:hAnsi="Times New Roman" w:cs="Times New Roman"/>
                <w:color w:val="auto"/>
                <w:sz w:val="21"/>
                <w:szCs w:val="21"/>
              </w:rPr>
            </w:pPr>
          </w:p>
        </w:tc>
      </w:tr>
      <w:tr w14:paraId="601D9D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719" w:type="pct"/>
            <w:vMerge w:val="continue"/>
            <w:vAlign w:val="center"/>
          </w:tcPr>
          <w:p w14:paraId="3FFC89AC">
            <w:pPr>
              <w:spacing w:line="240" w:lineRule="auto"/>
              <w:ind w:firstLine="0" w:firstLineChars="0"/>
              <w:jc w:val="center"/>
              <w:rPr>
                <w:rFonts w:hint="default" w:ascii="Times New Roman" w:hAnsi="Times New Roman" w:cs="Times New Roman"/>
                <w:b/>
                <w:bCs/>
                <w:color w:val="auto"/>
                <w:sz w:val="21"/>
                <w:szCs w:val="21"/>
              </w:rPr>
            </w:pPr>
          </w:p>
        </w:tc>
        <w:tc>
          <w:tcPr>
            <w:tcW w:w="935" w:type="pct"/>
            <w:vAlign w:val="center"/>
          </w:tcPr>
          <w:p w14:paraId="5D2F61D3">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厂界无组织</w:t>
            </w:r>
          </w:p>
        </w:tc>
        <w:tc>
          <w:tcPr>
            <w:tcW w:w="775" w:type="pct"/>
            <w:vMerge w:val="continue"/>
            <w:vAlign w:val="center"/>
          </w:tcPr>
          <w:p w14:paraId="6548B183">
            <w:pPr>
              <w:pStyle w:val="89"/>
              <w:adjustRightInd w:val="0"/>
              <w:snapToGrid w:val="0"/>
              <w:jc w:val="center"/>
              <w:rPr>
                <w:rFonts w:hint="default" w:ascii="Times New Roman" w:hAnsi="Times New Roman" w:cs="Times New Roman"/>
                <w:color w:val="auto"/>
                <w:szCs w:val="21"/>
              </w:rPr>
            </w:pPr>
          </w:p>
        </w:tc>
        <w:tc>
          <w:tcPr>
            <w:tcW w:w="1318" w:type="pct"/>
            <w:vAlign w:val="center"/>
          </w:tcPr>
          <w:p w14:paraId="5F33D9C1">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自然通风</w:t>
            </w:r>
          </w:p>
        </w:tc>
        <w:tc>
          <w:tcPr>
            <w:tcW w:w="1251" w:type="pct"/>
            <w:vMerge w:val="continue"/>
            <w:vAlign w:val="center"/>
          </w:tcPr>
          <w:p w14:paraId="0C7CF14E">
            <w:pPr>
              <w:widowControl/>
              <w:spacing w:line="240" w:lineRule="auto"/>
              <w:ind w:firstLine="0" w:firstLineChars="0"/>
              <w:jc w:val="center"/>
              <w:rPr>
                <w:rFonts w:hint="default" w:ascii="Times New Roman" w:hAnsi="Times New Roman" w:cs="Times New Roman"/>
                <w:color w:val="auto"/>
                <w:sz w:val="21"/>
                <w:szCs w:val="21"/>
              </w:rPr>
            </w:pPr>
          </w:p>
        </w:tc>
      </w:tr>
      <w:tr w14:paraId="546CF2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719" w:type="pct"/>
            <w:vMerge w:val="continue"/>
            <w:vAlign w:val="center"/>
          </w:tcPr>
          <w:p w14:paraId="6610149C">
            <w:pPr>
              <w:spacing w:line="240" w:lineRule="auto"/>
              <w:ind w:firstLine="0" w:firstLineChars="0"/>
              <w:jc w:val="center"/>
              <w:rPr>
                <w:rFonts w:hint="default" w:ascii="Times New Roman" w:hAnsi="Times New Roman" w:cs="Times New Roman"/>
                <w:b/>
                <w:bCs/>
                <w:color w:val="auto"/>
                <w:sz w:val="21"/>
                <w:szCs w:val="21"/>
              </w:rPr>
            </w:pPr>
          </w:p>
        </w:tc>
        <w:tc>
          <w:tcPr>
            <w:tcW w:w="935" w:type="pct"/>
            <w:vAlign w:val="center"/>
          </w:tcPr>
          <w:p w14:paraId="49F9B3B0">
            <w:pPr>
              <w:widowControl/>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DA005</w:t>
            </w:r>
          </w:p>
        </w:tc>
        <w:tc>
          <w:tcPr>
            <w:tcW w:w="775" w:type="pct"/>
            <w:vAlign w:val="center"/>
          </w:tcPr>
          <w:p w14:paraId="0BB8AF80">
            <w:pPr>
              <w:pStyle w:val="89"/>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油烟</w:t>
            </w:r>
          </w:p>
        </w:tc>
        <w:tc>
          <w:tcPr>
            <w:tcW w:w="1318" w:type="pct"/>
            <w:vAlign w:val="center"/>
          </w:tcPr>
          <w:p w14:paraId="541114FE">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油烟净化器</w:t>
            </w:r>
          </w:p>
        </w:tc>
        <w:tc>
          <w:tcPr>
            <w:tcW w:w="1251" w:type="pct"/>
            <w:vAlign w:val="center"/>
          </w:tcPr>
          <w:p w14:paraId="65759BEE">
            <w:pPr>
              <w:widowControl/>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《饮食业油烟排放标准》（GB18483-2001）中表2标准限值</w:t>
            </w:r>
          </w:p>
        </w:tc>
      </w:tr>
      <w:tr w14:paraId="54C38D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9" w:type="pct"/>
            <w:vAlign w:val="center"/>
          </w:tcPr>
          <w:p w14:paraId="360C5A85">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地表水环境</w:t>
            </w:r>
          </w:p>
        </w:tc>
        <w:tc>
          <w:tcPr>
            <w:tcW w:w="935" w:type="pct"/>
            <w:vAlign w:val="center"/>
          </w:tcPr>
          <w:p w14:paraId="613E3C31">
            <w:pPr>
              <w:tabs>
                <w:tab w:val="left" w:pos="4536"/>
              </w:tabs>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生活污水</w:t>
            </w:r>
          </w:p>
        </w:tc>
        <w:tc>
          <w:tcPr>
            <w:tcW w:w="775" w:type="pct"/>
            <w:vAlign w:val="center"/>
          </w:tcPr>
          <w:p w14:paraId="016A7BEB">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-N、总磷、总氮、动植物油</w:t>
            </w:r>
          </w:p>
        </w:tc>
        <w:tc>
          <w:tcPr>
            <w:tcW w:w="1318" w:type="pct"/>
            <w:vAlign w:val="center"/>
          </w:tcPr>
          <w:p w14:paraId="63FC0A5C">
            <w:pPr>
              <w:tabs>
                <w:tab w:val="left" w:pos="4536"/>
              </w:tabs>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食堂废水经油水分离器处理后和生活污水进入厂区化粪池，处理后定期清掏肥田，不外排</w:t>
            </w:r>
          </w:p>
        </w:tc>
        <w:tc>
          <w:tcPr>
            <w:tcW w:w="1251" w:type="pct"/>
            <w:vAlign w:val="center"/>
          </w:tcPr>
          <w:p w14:paraId="2989C08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0D36B4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9" w:type="pct"/>
            <w:vAlign w:val="center"/>
          </w:tcPr>
          <w:p w14:paraId="030EBB74">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声环境</w:t>
            </w:r>
          </w:p>
        </w:tc>
        <w:tc>
          <w:tcPr>
            <w:tcW w:w="935" w:type="pct"/>
            <w:vAlign w:val="center"/>
          </w:tcPr>
          <w:p w14:paraId="01477409">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设备噪声</w:t>
            </w:r>
          </w:p>
        </w:tc>
        <w:tc>
          <w:tcPr>
            <w:tcW w:w="775" w:type="pct"/>
            <w:vAlign w:val="center"/>
          </w:tcPr>
          <w:p w14:paraId="5110F15B">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发泡机、复合机、冷却塔、风机等设备</w:t>
            </w:r>
          </w:p>
        </w:tc>
        <w:tc>
          <w:tcPr>
            <w:tcW w:w="1318" w:type="pct"/>
            <w:vAlign w:val="center"/>
          </w:tcPr>
          <w:p w14:paraId="34C5A7DB">
            <w:pPr>
              <w:tabs>
                <w:tab w:val="left" w:pos="4536"/>
              </w:tabs>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基础减振、周边墙体隔声、采用低噪声设备、风机安装隔声罩、管道接口采用隔音材料包裹</w:t>
            </w:r>
          </w:p>
        </w:tc>
        <w:tc>
          <w:tcPr>
            <w:tcW w:w="1251" w:type="pct"/>
            <w:vAlign w:val="center"/>
          </w:tcPr>
          <w:p w14:paraId="70EFA55E">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《工业企业厂界环境噪声排放标准》（GB12348-2008）2类</w:t>
            </w:r>
          </w:p>
        </w:tc>
      </w:tr>
      <w:tr w14:paraId="412407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9" w:type="pct"/>
            <w:vAlign w:val="center"/>
          </w:tcPr>
          <w:p w14:paraId="0B4265D9">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电磁辐射</w:t>
            </w:r>
          </w:p>
        </w:tc>
        <w:tc>
          <w:tcPr>
            <w:tcW w:w="935" w:type="pct"/>
            <w:vAlign w:val="center"/>
          </w:tcPr>
          <w:p w14:paraId="05284127">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c>
          <w:tcPr>
            <w:tcW w:w="775" w:type="pct"/>
            <w:vAlign w:val="center"/>
          </w:tcPr>
          <w:p w14:paraId="4589DD27">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c>
          <w:tcPr>
            <w:tcW w:w="1318" w:type="pct"/>
            <w:vAlign w:val="center"/>
          </w:tcPr>
          <w:p w14:paraId="1876A4E9">
            <w:pPr>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p>
        </w:tc>
        <w:tc>
          <w:tcPr>
            <w:tcW w:w="1251" w:type="pct"/>
            <w:vAlign w:val="center"/>
          </w:tcPr>
          <w:p w14:paraId="04B05997">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14:paraId="3F6B0E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19" w:type="pct"/>
            <w:vMerge w:val="restart"/>
            <w:vAlign w:val="center"/>
          </w:tcPr>
          <w:p w14:paraId="58B6D408">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固体废物</w:t>
            </w:r>
          </w:p>
        </w:tc>
        <w:tc>
          <w:tcPr>
            <w:tcW w:w="935" w:type="pct"/>
            <w:vMerge w:val="restart"/>
            <w:vAlign w:val="center"/>
          </w:tcPr>
          <w:p w14:paraId="7179666A">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一般固废</w:t>
            </w:r>
          </w:p>
        </w:tc>
        <w:tc>
          <w:tcPr>
            <w:tcW w:w="775" w:type="pct"/>
            <w:vAlign w:val="center"/>
          </w:tcPr>
          <w:p w14:paraId="34B2EA55">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1318" w:type="pct"/>
            <w:vAlign w:val="center"/>
          </w:tcPr>
          <w:p w14:paraId="63EFB68E">
            <w:pPr>
              <w:tabs>
                <w:tab w:val="left" w:pos="4536"/>
              </w:tabs>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垃圾桶分类收集</w:t>
            </w:r>
          </w:p>
        </w:tc>
        <w:tc>
          <w:tcPr>
            <w:tcW w:w="1251" w:type="pct"/>
            <w:vMerge w:val="restart"/>
            <w:vAlign w:val="center"/>
          </w:tcPr>
          <w:p w14:paraId="375355DC">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《一般工业固体废物贮存和填埋污染控制标准》（GB18599-2020）的相关规定</w:t>
            </w:r>
          </w:p>
        </w:tc>
      </w:tr>
      <w:tr w14:paraId="5FC00F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19" w:type="pct"/>
            <w:vMerge w:val="continue"/>
            <w:vAlign w:val="center"/>
          </w:tcPr>
          <w:p w14:paraId="44B39087">
            <w:pPr>
              <w:spacing w:line="240" w:lineRule="auto"/>
              <w:ind w:firstLine="0" w:firstLineChars="0"/>
              <w:jc w:val="center"/>
              <w:rPr>
                <w:rFonts w:hint="default" w:ascii="Times New Roman" w:hAnsi="Times New Roman" w:cs="Times New Roman"/>
                <w:b/>
                <w:bCs/>
                <w:color w:val="auto"/>
                <w:sz w:val="21"/>
                <w:szCs w:val="21"/>
              </w:rPr>
            </w:pPr>
          </w:p>
        </w:tc>
        <w:tc>
          <w:tcPr>
            <w:tcW w:w="935" w:type="pct"/>
            <w:vMerge w:val="continue"/>
            <w:vAlign w:val="center"/>
          </w:tcPr>
          <w:p w14:paraId="75EFE5F4">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775" w:type="pct"/>
            <w:vAlign w:val="center"/>
          </w:tcPr>
          <w:p w14:paraId="1C877758">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废油脂</w:t>
            </w:r>
          </w:p>
        </w:tc>
        <w:tc>
          <w:tcPr>
            <w:tcW w:w="1318" w:type="pct"/>
            <w:vAlign w:val="center"/>
          </w:tcPr>
          <w:p w14:paraId="079CDC7B">
            <w:pPr>
              <w:tabs>
                <w:tab w:val="left" w:pos="4536"/>
              </w:tabs>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定期交由资质单位回收处置</w:t>
            </w:r>
          </w:p>
        </w:tc>
        <w:tc>
          <w:tcPr>
            <w:tcW w:w="1251" w:type="pct"/>
            <w:vMerge w:val="continue"/>
            <w:vAlign w:val="center"/>
          </w:tcPr>
          <w:p w14:paraId="57AD5AD3">
            <w:pPr>
              <w:tabs>
                <w:tab w:val="left" w:pos="4536"/>
              </w:tabs>
              <w:spacing w:line="240" w:lineRule="auto"/>
              <w:ind w:firstLine="0" w:firstLineChars="0"/>
              <w:jc w:val="center"/>
              <w:rPr>
                <w:rFonts w:hint="default" w:ascii="Times New Roman" w:hAnsi="Times New Roman" w:cs="Times New Roman"/>
                <w:color w:val="auto"/>
                <w:sz w:val="21"/>
                <w:szCs w:val="21"/>
              </w:rPr>
            </w:pPr>
          </w:p>
        </w:tc>
      </w:tr>
      <w:tr w14:paraId="686979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19" w:type="pct"/>
            <w:vMerge w:val="continue"/>
            <w:vAlign w:val="center"/>
          </w:tcPr>
          <w:p w14:paraId="640675F6">
            <w:pPr>
              <w:spacing w:line="240" w:lineRule="auto"/>
              <w:ind w:firstLine="0" w:firstLineChars="0"/>
              <w:jc w:val="center"/>
              <w:rPr>
                <w:rFonts w:hint="default" w:ascii="Times New Roman" w:hAnsi="Times New Roman" w:cs="Times New Roman"/>
                <w:b/>
                <w:bCs/>
                <w:color w:val="auto"/>
                <w:sz w:val="21"/>
                <w:szCs w:val="21"/>
              </w:rPr>
            </w:pPr>
          </w:p>
        </w:tc>
        <w:tc>
          <w:tcPr>
            <w:tcW w:w="935" w:type="pct"/>
            <w:vMerge w:val="continue"/>
            <w:vAlign w:val="center"/>
          </w:tcPr>
          <w:p w14:paraId="3BC24069">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775" w:type="pct"/>
            <w:vAlign w:val="center"/>
          </w:tcPr>
          <w:p w14:paraId="7302E608">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化粪池污泥</w:t>
            </w:r>
          </w:p>
        </w:tc>
        <w:tc>
          <w:tcPr>
            <w:tcW w:w="1318" w:type="pct"/>
            <w:vAlign w:val="center"/>
          </w:tcPr>
          <w:p w14:paraId="3EB69ECD">
            <w:pPr>
              <w:tabs>
                <w:tab w:val="left" w:pos="4536"/>
              </w:tabs>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定期清掏肥田</w:t>
            </w:r>
          </w:p>
        </w:tc>
        <w:tc>
          <w:tcPr>
            <w:tcW w:w="1251" w:type="pct"/>
            <w:vMerge w:val="continue"/>
            <w:vAlign w:val="center"/>
          </w:tcPr>
          <w:p w14:paraId="3CD74047">
            <w:pPr>
              <w:tabs>
                <w:tab w:val="left" w:pos="4536"/>
              </w:tabs>
              <w:spacing w:line="240" w:lineRule="auto"/>
              <w:ind w:firstLine="0" w:firstLineChars="0"/>
              <w:jc w:val="center"/>
              <w:rPr>
                <w:rFonts w:hint="default" w:ascii="Times New Roman" w:hAnsi="Times New Roman" w:cs="Times New Roman"/>
                <w:color w:val="auto"/>
                <w:sz w:val="21"/>
                <w:szCs w:val="21"/>
              </w:rPr>
            </w:pPr>
          </w:p>
        </w:tc>
      </w:tr>
      <w:tr w14:paraId="42411D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19" w:type="pct"/>
            <w:vMerge w:val="continue"/>
            <w:vAlign w:val="center"/>
          </w:tcPr>
          <w:p w14:paraId="77799231">
            <w:pPr>
              <w:spacing w:line="240" w:lineRule="auto"/>
              <w:ind w:firstLine="0" w:firstLineChars="0"/>
              <w:jc w:val="center"/>
              <w:rPr>
                <w:rFonts w:hint="default" w:ascii="Times New Roman" w:hAnsi="Times New Roman" w:cs="Times New Roman"/>
                <w:b/>
                <w:bCs/>
                <w:color w:val="auto"/>
                <w:sz w:val="21"/>
                <w:szCs w:val="21"/>
              </w:rPr>
            </w:pPr>
          </w:p>
        </w:tc>
        <w:tc>
          <w:tcPr>
            <w:tcW w:w="935" w:type="pct"/>
            <w:vMerge w:val="restart"/>
            <w:vAlign w:val="center"/>
          </w:tcPr>
          <w:p w14:paraId="5972718F">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775" w:type="pct"/>
            <w:vAlign w:val="center"/>
          </w:tcPr>
          <w:p w14:paraId="15774D95">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1318" w:type="pct"/>
            <w:vMerge w:val="restart"/>
            <w:vAlign w:val="center"/>
          </w:tcPr>
          <w:p w14:paraId="1B629DCD">
            <w:pPr>
              <w:pStyle w:val="88"/>
              <w:adjustRightInd w:val="0"/>
              <w:snapToGrid w:val="0"/>
              <w:spacing w:line="240" w:lineRule="auto"/>
              <w:rPr>
                <w:rFonts w:hint="default" w:ascii="Times New Roman" w:hAnsi="Times New Roman" w:cs="Times New Roman"/>
                <w:color w:val="auto"/>
                <w:sz w:val="21"/>
              </w:rPr>
            </w:pPr>
            <w:r>
              <w:rPr>
                <w:rFonts w:hint="default" w:ascii="Times New Roman" w:hAnsi="Times New Roman" w:cs="Times New Roman"/>
                <w:color w:val="auto"/>
                <w:sz w:val="21"/>
              </w:rPr>
              <w:t>定期交由有资质单位处置</w:t>
            </w:r>
          </w:p>
        </w:tc>
        <w:tc>
          <w:tcPr>
            <w:tcW w:w="1251" w:type="pct"/>
            <w:vMerge w:val="restart"/>
            <w:vAlign w:val="center"/>
          </w:tcPr>
          <w:p w14:paraId="52981D51">
            <w:pPr>
              <w:tabs>
                <w:tab w:val="left" w:pos="4536"/>
              </w:tabs>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《危险废物贮存污染控制标准》（GB 18597-2023）相关规定</w:t>
            </w:r>
          </w:p>
        </w:tc>
      </w:tr>
      <w:tr w14:paraId="7686A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19" w:type="pct"/>
            <w:vMerge w:val="continue"/>
            <w:vAlign w:val="center"/>
          </w:tcPr>
          <w:p w14:paraId="24E1A3A4">
            <w:pPr>
              <w:tabs>
                <w:tab w:val="left" w:pos="4536"/>
              </w:tabs>
              <w:spacing w:line="240" w:lineRule="auto"/>
              <w:ind w:firstLine="0" w:firstLineChars="0"/>
              <w:jc w:val="center"/>
              <w:rPr>
                <w:rFonts w:hint="default" w:ascii="Times New Roman" w:hAnsi="Times New Roman" w:cs="Times New Roman"/>
                <w:color w:val="auto"/>
              </w:rPr>
            </w:pPr>
          </w:p>
        </w:tc>
        <w:tc>
          <w:tcPr>
            <w:tcW w:w="935" w:type="pct"/>
            <w:vMerge w:val="continue"/>
            <w:vAlign w:val="center"/>
          </w:tcPr>
          <w:p w14:paraId="64730B1C">
            <w:pPr>
              <w:tabs>
                <w:tab w:val="left" w:pos="4536"/>
              </w:tabs>
              <w:spacing w:line="240" w:lineRule="auto"/>
              <w:ind w:firstLine="0" w:firstLineChars="0"/>
              <w:jc w:val="center"/>
              <w:rPr>
                <w:rFonts w:hint="default" w:ascii="Times New Roman" w:hAnsi="Times New Roman" w:cs="Times New Roman"/>
                <w:color w:val="auto"/>
              </w:rPr>
            </w:pPr>
          </w:p>
        </w:tc>
        <w:tc>
          <w:tcPr>
            <w:tcW w:w="775" w:type="pct"/>
            <w:shd w:val="clear" w:color="auto" w:fill="auto"/>
            <w:vAlign w:val="center"/>
          </w:tcPr>
          <w:p w14:paraId="3DC91DE8">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w:t>
            </w:r>
          </w:p>
        </w:tc>
        <w:tc>
          <w:tcPr>
            <w:tcW w:w="1318" w:type="pct"/>
            <w:vMerge w:val="continue"/>
            <w:vAlign w:val="center"/>
          </w:tcPr>
          <w:p w14:paraId="4A3E7533">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1251" w:type="pct"/>
            <w:vMerge w:val="continue"/>
            <w:vAlign w:val="center"/>
          </w:tcPr>
          <w:p w14:paraId="76F641ED">
            <w:pPr>
              <w:tabs>
                <w:tab w:val="left" w:pos="4536"/>
              </w:tabs>
              <w:spacing w:line="240" w:lineRule="auto"/>
              <w:ind w:firstLine="0" w:firstLineChars="0"/>
              <w:jc w:val="center"/>
              <w:rPr>
                <w:rFonts w:hint="default" w:ascii="Times New Roman" w:hAnsi="Times New Roman" w:cs="Times New Roman"/>
                <w:color w:val="auto"/>
                <w:sz w:val="21"/>
                <w:szCs w:val="21"/>
              </w:rPr>
            </w:pPr>
          </w:p>
        </w:tc>
      </w:tr>
      <w:tr w14:paraId="2D42E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19" w:type="pct"/>
            <w:vMerge w:val="continue"/>
            <w:vAlign w:val="center"/>
          </w:tcPr>
          <w:p w14:paraId="2C1A4ED4">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935" w:type="pct"/>
            <w:vMerge w:val="continue"/>
            <w:vAlign w:val="center"/>
          </w:tcPr>
          <w:p w14:paraId="09E881C4">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775" w:type="pct"/>
            <w:shd w:val="clear" w:color="auto" w:fill="auto"/>
            <w:vAlign w:val="center"/>
          </w:tcPr>
          <w:p w14:paraId="070CD543">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废机油桶</w:t>
            </w:r>
          </w:p>
        </w:tc>
        <w:tc>
          <w:tcPr>
            <w:tcW w:w="1318" w:type="pct"/>
            <w:vMerge w:val="continue"/>
            <w:vAlign w:val="center"/>
          </w:tcPr>
          <w:p w14:paraId="03E19A39">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1251" w:type="pct"/>
            <w:vMerge w:val="continue"/>
            <w:vAlign w:val="center"/>
          </w:tcPr>
          <w:p w14:paraId="6360C792">
            <w:pPr>
              <w:tabs>
                <w:tab w:val="left" w:pos="4536"/>
              </w:tabs>
              <w:spacing w:line="240" w:lineRule="auto"/>
              <w:ind w:firstLine="0" w:firstLineChars="0"/>
              <w:jc w:val="center"/>
              <w:rPr>
                <w:rFonts w:hint="default" w:ascii="Times New Roman" w:hAnsi="Times New Roman" w:cs="Times New Roman"/>
                <w:color w:val="auto"/>
                <w:sz w:val="21"/>
                <w:szCs w:val="21"/>
              </w:rPr>
            </w:pPr>
          </w:p>
        </w:tc>
      </w:tr>
      <w:tr w14:paraId="2EB8A1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19" w:type="pct"/>
            <w:vMerge w:val="continue"/>
            <w:vAlign w:val="center"/>
          </w:tcPr>
          <w:p w14:paraId="608A1970">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935" w:type="pct"/>
            <w:vMerge w:val="continue"/>
            <w:vAlign w:val="center"/>
          </w:tcPr>
          <w:p w14:paraId="21647EDD">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775" w:type="pct"/>
            <w:shd w:val="clear" w:color="auto" w:fill="auto"/>
            <w:vAlign w:val="center"/>
          </w:tcPr>
          <w:p w14:paraId="7005F92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废含油抹布、手套</w:t>
            </w:r>
          </w:p>
        </w:tc>
        <w:tc>
          <w:tcPr>
            <w:tcW w:w="1318" w:type="pct"/>
            <w:vMerge w:val="continue"/>
            <w:vAlign w:val="center"/>
          </w:tcPr>
          <w:p w14:paraId="79F43F00">
            <w:pPr>
              <w:tabs>
                <w:tab w:val="left" w:pos="4536"/>
              </w:tabs>
              <w:spacing w:line="240" w:lineRule="auto"/>
              <w:ind w:firstLine="0" w:firstLineChars="0"/>
              <w:jc w:val="center"/>
              <w:rPr>
                <w:rFonts w:hint="default" w:ascii="Times New Roman" w:hAnsi="Times New Roman" w:cs="Times New Roman"/>
                <w:color w:val="auto"/>
                <w:sz w:val="21"/>
                <w:szCs w:val="21"/>
              </w:rPr>
            </w:pPr>
          </w:p>
        </w:tc>
        <w:tc>
          <w:tcPr>
            <w:tcW w:w="1251" w:type="pct"/>
            <w:vMerge w:val="continue"/>
            <w:vAlign w:val="center"/>
          </w:tcPr>
          <w:p w14:paraId="13E1E5BD">
            <w:pPr>
              <w:tabs>
                <w:tab w:val="left" w:pos="4536"/>
              </w:tabs>
              <w:spacing w:line="240" w:lineRule="auto"/>
              <w:ind w:firstLine="0" w:firstLineChars="0"/>
              <w:jc w:val="center"/>
              <w:rPr>
                <w:rFonts w:hint="default" w:ascii="Times New Roman" w:hAnsi="Times New Roman" w:cs="Times New Roman"/>
                <w:color w:val="auto"/>
                <w:sz w:val="21"/>
                <w:szCs w:val="21"/>
              </w:rPr>
            </w:pPr>
          </w:p>
        </w:tc>
      </w:tr>
      <w:tr w14:paraId="3FF8BC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9" w:type="pct"/>
            <w:vAlign w:val="center"/>
          </w:tcPr>
          <w:p w14:paraId="2BCDFE14">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土壤及地下水污染防治措施</w:t>
            </w:r>
          </w:p>
        </w:tc>
        <w:tc>
          <w:tcPr>
            <w:tcW w:w="4280" w:type="pct"/>
            <w:gridSpan w:val="4"/>
            <w:vAlign w:val="center"/>
          </w:tcPr>
          <w:p w14:paraId="0313584E">
            <w:pPr>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厂区硬化，周围绿化，化粪池和危废贮存库重点防渗</w:t>
            </w:r>
          </w:p>
        </w:tc>
      </w:tr>
      <w:tr w14:paraId="51B54C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719" w:type="pct"/>
            <w:vAlign w:val="center"/>
          </w:tcPr>
          <w:p w14:paraId="505123BE">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生态保护措施</w:t>
            </w:r>
          </w:p>
        </w:tc>
        <w:tc>
          <w:tcPr>
            <w:tcW w:w="4280" w:type="pct"/>
            <w:gridSpan w:val="4"/>
            <w:vAlign w:val="center"/>
          </w:tcPr>
          <w:p w14:paraId="0409B31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厂区绿化</w:t>
            </w:r>
          </w:p>
        </w:tc>
      </w:tr>
      <w:tr w14:paraId="70ABEC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719" w:type="pct"/>
            <w:vAlign w:val="center"/>
          </w:tcPr>
          <w:p w14:paraId="46004A46">
            <w:pPr>
              <w:spacing w:line="240" w:lineRule="auto"/>
              <w:ind w:firstLine="0" w:firstLineChars="0"/>
              <w:jc w:val="center"/>
              <w:rPr>
                <w:rFonts w:hint="default" w:ascii="Times New Roman" w:hAnsi="Times New Roman" w:cs="Times New Roman"/>
                <w:b/>
                <w:bCs/>
                <w:color w:val="auto"/>
                <w:spacing w:val="-8"/>
                <w:sz w:val="21"/>
                <w:szCs w:val="21"/>
              </w:rPr>
            </w:pPr>
            <w:r>
              <w:rPr>
                <w:rFonts w:hint="default" w:ascii="Times New Roman" w:hAnsi="Times New Roman" w:cs="Times New Roman"/>
                <w:b/>
                <w:bCs/>
                <w:color w:val="auto"/>
                <w:spacing w:val="-8"/>
                <w:sz w:val="21"/>
                <w:szCs w:val="21"/>
              </w:rPr>
              <w:t>环境风险</w:t>
            </w:r>
          </w:p>
          <w:p w14:paraId="06A6CB76">
            <w:pPr>
              <w:spacing w:line="240" w:lineRule="auto"/>
              <w:ind w:firstLine="0" w:firstLineChars="0"/>
              <w:jc w:val="center"/>
              <w:rPr>
                <w:rFonts w:hint="default" w:ascii="Times New Roman" w:hAnsi="Times New Roman" w:cs="Times New Roman"/>
                <w:b/>
                <w:bCs/>
                <w:color w:val="auto"/>
                <w:spacing w:val="-8"/>
                <w:sz w:val="21"/>
                <w:szCs w:val="21"/>
              </w:rPr>
            </w:pPr>
            <w:r>
              <w:rPr>
                <w:rFonts w:hint="default" w:ascii="Times New Roman" w:hAnsi="Times New Roman" w:cs="Times New Roman"/>
                <w:b/>
                <w:bCs/>
                <w:color w:val="auto"/>
                <w:spacing w:val="-8"/>
                <w:sz w:val="21"/>
                <w:szCs w:val="21"/>
              </w:rPr>
              <w:t>防范措施</w:t>
            </w:r>
          </w:p>
        </w:tc>
        <w:tc>
          <w:tcPr>
            <w:tcW w:w="4280" w:type="pct"/>
            <w:gridSpan w:val="4"/>
            <w:vAlign w:val="center"/>
          </w:tcPr>
          <w:p w14:paraId="272EC7D6">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（1）加强设备的维修、保养，保证设备正常运行，减少设备故障；</w:t>
            </w:r>
          </w:p>
          <w:p w14:paraId="23ADDDCA">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（2）加强职工的安全教育，提高安全防范意识；</w:t>
            </w:r>
          </w:p>
          <w:p w14:paraId="01CAE5DF">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（3）本项目生产区地面进行硬化和防渗处理；</w:t>
            </w:r>
          </w:p>
          <w:p w14:paraId="2C26A3FE">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（4）加强物料及危废管理，严禁废机油随意丢弃；</w:t>
            </w:r>
          </w:p>
          <w:p w14:paraId="622DA4EA">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（5）厂区配置消防器材及灭火器材。</w:t>
            </w:r>
          </w:p>
        </w:tc>
      </w:tr>
      <w:tr w14:paraId="14220B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719" w:type="pct"/>
            <w:vAlign w:val="center"/>
          </w:tcPr>
          <w:p w14:paraId="3DD92454">
            <w:pPr>
              <w:spacing w:line="240" w:lineRule="auto"/>
              <w:ind w:firstLine="0" w:firstLineChars="0"/>
              <w:jc w:val="center"/>
              <w:rPr>
                <w:rFonts w:hint="default" w:ascii="Times New Roman" w:hAnsi="Times New Roman" w:cs="Times New Roman"/>
                <w:b/>
                <w:bCs/>
                <w:color w:val="auto"/>
                <w:spacing w:val="-8"/>
                <w:sz w:val="21"/>
                <w:szCs w:val="21"/>
              </w:rPr>
            </w:pPr>
            <w:r>
              <w:rPr>
                <w:rFonts w:hint="default" w:ascii="Times New Roman" w:hAnsi="Times New Roman" w:cs="Times New Roman"/>
                <w:b/>
                <w:bCs/>
                <w:color w:val="auto"/>
                <w:spacing w:val="-8"/>
                <w:sz w:val="21"/>
                <w:szCs w:val="21"/>
              </w:rPr>
              <w:t>其他环境</w:t>
            </w:r>
          </w:p>
          <w:p w14:paraId="6B9E5AC2">
            <w:pPr>
              <w:spacing w:line="240" w:lineRule="auto"/>
              <w:ind w:firstLine="0" w:firstLineChars="0"/>
              <w:jc w:val="center"/>
              <w:rPr>
                <w:rFonts w:hint="default" w:ascii="Times New Roman" w:hAnsi="Times New Roman" w:cs="Times New Roman"/>
                <w:b/>
                <w:bCs/>
                <w:color w:val="auto"/>
                <w:spacing w:val="-8"/>
                <w:sz w:val="21"/>
                <w:szCs w:val="21"/>
              </w:rPr>
            </w:pPr>
            <w:r>
              <w:rPr>
                <w:rFonts w:hint="default" w:ascii="Times New Roman" w:hAnsi="Times New Roman" w:cs="Times New Roman"/>
                <w:b/>
                <w:bCs/>
                <w:color w:val="auto"/>
                <w:spacing w:val="-8"/>
                <w:sz w:val="21"/>
                <w:szCs w:val="21"/>
              </w:rPr>
              <w:t>管理要求</w:t>
            </w:r>
          </w:p>
        </w:tc>
        <w:tc>
          <w:tcPr>
            <w:tcW w:w="4280" w:type="pct"/>
            <w:gridSpan w:val="4"/>
            <w:vAlign w:val="center"/>
          </w:tcPr>
          <w:p w14:paraId="417BBD18">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（1）运行管理要求</w:t>
            </w:r>
          </w:p>
          <w:p w14:paraId="6F69FA9C">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①根据国家环保政策、标准及环境监测要求，制定该项目运行期环保管理规章制度、各种污染物排放控制指标；</w:t>
            </w:r>
          </w:p>
          <w:p w14:paraId="0BAF52A6">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②加强项目内所有环保设施的日常运行管理，保障各环保设施的正常运行，并对环保设施的改进提出积极的建议；</w:t>
            </w:r>
          </w:p>
          <w:p w14:paraId="0A5B7DB3">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③加强项目运行期环境监测工作，及时掌握该项目污染状况，整理监测数据，建立污染源档案；</w:t>
            </w:r>
          </w:p>
          <w:p w14:paraId="780879F3">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④加强对职工进行环保宣传教育工作，以及检查、监督各单位环保制度的执行情况；</w:t>
            </w:r>
          </w:p>
          <w:p w14:paraId="19D71E33">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⑤污染防治措施应与其对应的生产工艺设备同步运转，保证在生产设备运行波动的情况下仍能正常运转，实现污染物的达标排放。</w:t>
            </w:r>
          </w:p>
          <w:p w14:paraId="16652F13">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⑥加强设备巡检，消除设备隐患，保证正常运行。应及时更换废活性炭，保证污染物治理设施正常运行。</w:t>
            </w:r>
          </w:p>
          <w:p w14:paraId="4787E9FD">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（2）信息公开</w:t>
            </w:r>
          </w:p>
          <w:p w14:paraId="673B81D5">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根据《企业事业单位环境信息公开办法》（环保部令第31号）的规定，企业事业单位应当按照强制公开和自愿公开相结合的原则，及时、如实地公开其环境信息。如环境信息涉及国家秘密、商业秘密或者个人隐私的，依法可以不公开；法律、法规另有规定的，从其规定。企业事业单位应当建立健全本单位环境信息公开制度，指定机构负责本单位环境信息公开日常工作。</w:t>
            </w:r>
          </w:p>
          <w:p w14:paraId="2340BA88">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（3）排污许可制度</w:t>
            </w:r>
          </w:p>
          <w:p w14:paraId="3A6AE3A4">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根据《固定污染源排污许可分类管理名录（2019年版）》要求，建设单位应及时进行排污许可登记，合法排污。</w:t>
            </w:r>
          </w:p>
          <w:p w14:paraId="7166D8FD">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（4）环境监测</w:t>
            </w:r>
          </w:p>
          <w:p w14:paraId="21E8A0BB">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按照监测计划的频次和要求进行监测，并保留监测原始记录，每次数据应及时由专人整理、统计，如有异常，立即向上级有关部门通报，并做好监测资料的归档、备查工作，建议建设单位定期将监测数据进行公示，接受公众监督。</w:t>
            </w:r>
          </w:p>
          <w:p w14:paraId="4CE7F5AF">
            <w:pPr>
              <w:ind w:firstLine="0" w:firstLineChars="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（5）竣工验收</w:t>
            </w:r>
          </w:p>
          <w:p w14:paraId="258157F8">
            <w:pPr>
              <w:ind w:firstLine="42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根据《建设项目竣工环境保护验收暂行办法》（国环规环评 [2017]4 号）中的相关规定，建设单位应进行自行验收，验收合格后，方可投入生产或者使用。</w:t>
            </w:r>
          </w:p>
        </w:tc>
      </w:tr>
    </w:tbl>
    <w:p w14:paraId="31D6C8B1">
      <w:pPr>
        <w:pStyle w:val="23"/>
        <w:spacing w:line="240" w:lineRule="auto"/>
        <w:ind w:firstLine="0" w:firstLineChars="0"/>
        <w:jc w:val="center"/>
        <w:outlineLvl w:val="0"/>
        <w:rPr>
          <w:rFonts w:hint="default" w:ascii="Times New Roman" w:hAnsi="Times New Roman" w:eastAsia="黑体" w:cs="Times New Roman"/>
          <w:snapToGrid w:val="0"/>
          <w:color w:val="auto"/>
          <w:kern w:val="21"/>
          <w:sz w:val="30"/>
          <w:szCs w:val="30"/>
        </w:rPr>
      </w:pPr>
      <w:r>
        <w:rPr>
          <w:rFonts w:hint="default" w:ascii="Times New Roman" w:hAnsi="Times New Roman" w:cs="Times New Roman"/>
          <w:snapToGrid w:val="0"/>
          <w:color w:val="auto"/>
          <w:kern w:val="21"/>
        </w:rPr>
        <w:br w:type="page"/>
      </w:r>
      <w:r>
        <w:rPr>
          <w:rFonts w:hint="default" w:ascii="Times New Roman" w:hAnsi="Times New Roman" w:eastAsia="黑体" w:cs="Times New Roman"/>
          <w:snapToGrid w:val="0"/>
          <w:color w:val="auto"/>
          <w:kern w:val="21"/>
          <w:sz w:val="30"/>
          <w:szCs w:val="30"/>
        </w:rPr>
        <w:t>六、结论</w:t>
      </w:r>
    </w:p>
    <w:tbl>
      <w:tblPr>
        <w:tblStyle w:val="2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3DB403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1" w:hRule="atLeast"/>
          <w:jc w:val="center"/>
        </w:trPr>
        <w:tc>
          <w:tcPr>
            <w:tcW w:w="5000" w:type="pct"/>
            <w:vAlign w:val="center"/>
          </w:tcPr>
          <w:p w14:paraId="4D4FD6CD">
            <w:pPr>
              <w:ind w:firstLine="480"/>
              <w:rPr>
                <w:rFonts w:hint="default" w:ascii="Times New Roman" w:hAnsi="Times New Roman" w:cs="Times New Roman"/>
                <w:color w:val="auto"/>
              </w:rPr>
            </w:pPr>
            <w:r>
              <w:rPr>
                <w:rFonts w:hint="default" w:ascii="Times New Roman" w:hAnsi="Times New Roman" w:cs="Times New Roman"/>
                <w:color w:val="auto"/>
              </w:rPr>
              <w:t>本项目的建设符合国家产业政策，采取相应措施后，排放的污染物可以做到达标排放，对周围环境的影响在可承受范围之内。因此环评认为，在切实落实环评报告提出的各项污染防治措施、严格执行环保“三同时”制度的基础上，从环境保护角度，该建设项目可行。</w:t>
            </w:r>
          </w:p>
          <w:p w14:paraId="77F49889">
            <w:pPr>
              <w:pStyle w:val="16"/>
              <w:ind w:firstLine="480"/>
              <w:rPr>
                <w:rFonts w:hint="default" w:ascii="Times New Roman" w:hAnsi="Times New Roman" w:cs="Times New Roman"/>
                <w:color w:val="auto"/>
                <w:sz w:val="24"/>
                <w:szCs w:val="24"/>
              </w:rPr>
            </w:pPr>
          </w:p>
          <w:p w14:paraId="3E0C5E6F">
            <w:pPr>
              <w:pStyle w:val="16"/>
              <w:ind w:firstLine="480"/>
              <w:rPr>
                <w:rFonts w:hint="default" w:ascii="Times New Roman" w:hAnsi="Times New Roman" w:cs="Times New Roman"/>
                <w:color w:val="auto"/>
                <w:sz w:val="24"/>
                <w:szCs w:val="24"/>
              </w:rPr>
            </w:pPr>
          </w:p>
          <w:p w14:paraId="7EF09801">
            <w:pPr>
              <w:pStyle w:val="16"/>
              <w:ind w:firstLine="480"/>
              <w:rPr>
                <w:rFonts w:hint="default" w:ascii="Times New Roman" w:hAnsi="Times New Roman" w:cs="Times New Roman"/>
                <w:color w:val="auto"/>
                <w:sz w:val="24"/>
                <w:szCs w:val="24"/>
              </w:rPr>
            </w:pPr>
          </w:p>
          <w:p w14:paraId="449157DB">
            <w:pPr>
              <w:pStyle w:val="16"/>
              <w:ind w:firstLine="480"/>
              <w:rPr>
                <w:rFonts w:hint="default" w:ascii="Times New Roman" w:hAnsi="Times New Roman" w:cs="Times New Roman"/>
                <w:color w:val="auto"/>
                <w:sz w:val="24"/>
                <w:szCs w:val="24"/>
              </w:rPr>
            </w:pPr>
          </w:p>
          <w:p w14:paraId="3FA6983B">
            <w:pPr>
              <w:pStyle w:val="16"/>
              <w:ind w:firstLine="480"/>
              <w:rPr>
                <w:rFonts w:hint="default" w:ascii="Times New Roman" w:hAnsi="Times New Roman" w:cs="Times New Roman"/>
                <w:color w:val="auto"/>
                <w:sz w:val="24"/>
                <w:szCs w:val="24"/>
              </w:rPr>
            </w:pPr>
          </w:p>
          <w:p w14:paraId="3E829F2A">
            <w:pPr>
              <w:pStyle w:val="16"/>
              <w:ind w:firstLine="480"/>
              <w:rPr>
                <w:rFonts w:hint="default" w:ascii="Times New Roman" w:hAnsi="Times New Roman" w:cs="Times New Roman"/>
                <w:color w:val="auto"/>
                <w:sz w:val="24"/>
                <w:szCs w:val="24"/>
              </w:rPr>
            </w:pPr>
          </w:p>
          <w:p w14:paraId="325661CE">
            <w:pPr>
              <w:pStyle w:val="16"/>
              <w:ind w:firstLine="480"/>
              <w:rPr>
                <w:rFonts w:hint="default" w:ascii="Times New Roman" w:hAnsi="Times New Roman" w:cs="Times New Roman"/>
                <w:color w:val="auto"/>
                <w:sz w:val="24"/>
                <w:szCs w:val="24"/>
              </w:rPr>
            </w:pPr>
          </w:p>
          <w:p w14:paraId="0BC19456">
            <w:pPr>
              <w:pStyle w:val="16"/>
              <w:ind w:firstLine="480"/>
              <w:rPr>
                <w:rFonts w:hint="default" w:ascii="Times New Roman" w:hAnsi="Times New Roman" w:cs="Times New Roman"/>
                <w:color w:val="auto"/>
                <w:sz w:val="24"/>
                <w:szCs w:val="24"/>
              </w:rPr>
            </w:pPr>
          </w:p>
          <w:p w14:paraId="6BBD2A2E">
            <w:pPr>
              <w:pStyle w:val="16"/>
              <w:ind w:firstLine="480"/>
              <w:rPr>
                <w:rFonts w:hint="default" w:ascii="Times New Roman" w:hAnsi="Times New Roman" w:cs="Times New Roman"/>
                <w:color w:val="auto"/>
                <w:sz w:val="24"/>
                <w:szCs w:val="24"/>
              </w:rPr>
            </w:pPr>
          </w:p>
          <w:p w14:paraId="024E8FC5">
            <w:pPr>
              <w:pStyle w:val="16"/>
              <w:ind w:firstLine="480"/>
              <w:rPr>
                <w:rFonts w:hint="default" w:ascii="Times New Roman" w:hAnsi="Times New Roman" w:cs="Times New Roman"/>
                <w:color w:val="auto"/>
                <w:sz w:val="24"/>
                <w:szCs w:val="24"/>
              </w:rPr>
            </w:pPr>
          </w:p>
          <w:p w14:paraId="137B4E34">
            <w:pPr>
              <w:pStyle w:val="16"/>
              <w:ind w:firstLine="480"/>
              <w:rPr>
                <w:rFonts w:hint="default" w:ascii="Times New Roman" w:hAnsi="Times New Roman" w:cs="Times New Roman"/>
                <w:color w:val="auto"/>
                <w:sz w:val="24"/>
                <w:szCs w:val="24"/>
              </w:rPr>
            </w:pPr>
          </w:p>
          <w:p w14:paraId="6DE3ED5F">
            <w:pPr>
              <w:pStyle w:val="16"/>
              <w:ind w:firstLine="480"/>
              <w:rPr>
                <w:rFonts w:hint="default" w:ascii="Times New Roman" w:hAnsi="Times New Roman" w:cs="Times New Roman"/>
                <w:color w:val="auto"/>
                <w:sz w:val="24"/>
                <w:szCs w:val="24"/>
              </w:rPr>
            </w:pPr>
          </w:p>
          <w:p w14:paraId="77103A80">
            <w:pPr>
              <w:pStyle w:val="16"/>
              <w:ind w:firstLine="480"/>
              <w:rPr>
                <w:rFonts w:hint="default" w:ascii="Times New Roman" w:hAnsi="Times New Roman" w:cs="Times New Roman"/>
                <w:color w:val="auto"/>
                <w:sz w:val="24"/>
                <w:szCs w:val="24"/>
              </w:rPr>
            </w:pPr>
          </w:p>
          <w:p w14:paraId="18BF98D8">
            <w:pPr>
              <w:pStyle w:val="16"/>
              <w:ind w:firstLine="480"/>
              <w:rPr>
                <w:rFonts w:hint="default" w:ascii="Times New Roman" w:hAnsi="Times New Roman" w:cs="Times New Roman"/>
                <w:color w:val="auto"/>
                <w:sz w:val="24"/>
                <w:szCs w:val="24"/>
              </w:rPr>
            </w:pPr>
          </w:p>
          <w:p w14:paraId="45B6BE2F">
            <w:pPr>
              <w:pStyle w:val="16"/>
              <w:ind w:firstLine="480"/>
              <w:rPr>
                <w:rFonts w:hint="default" w:ascii="Times New Roman" w:hAnsi="Times New Roman" w:cs="Times New Roman"/>
                <w:color w:val="auto"/>
                <w:sz w:val="24"/>
                <w:szCs w:val="24"/>
              </w:rPr>
            </w:pPr>
          </w:p>
          <w:p w14:paraId="49595D6E">
            <w:pPr>
              <w:pStyle w:val="16"/>
              <w:ind w:firstLine="480"/>
              <w:rPr>
                <w:rFonts w:hint="default" w:ascii="Times New Roman" w:hAnsi="Times New Roman" w:cs="Times New Roman"/>
                <w:color w:val="auto"/>
                <w:sz w:val="24"/>
                <w:szCs w:val="24"/>
              </w:rPr>
            </w:pPr>
          </w:p>
          <w:p w14:paraId="666DE571">
            <w:pPr>
              <w:pStyle w:val="16"/>
              <w:ind w:firstLine="480"/>
              <w:rPr>
                <w:rFonts w:hint="default" w:ascii="Times New Roman" w:hAnsi="Times New Roman" w:cs="Times New Roman"/>
                <w:color w:val="auto"/>
                <w:sz w:val="24"/>
                <w:szCs w:val="24"/>
              </w:rPr>
            </w:pPr>
          </w:p>
          <w:p w14:paraId="43FB44FC">
            <w:pPr>
              <w:pStyle w:val="16"/>
              <w:ind w:firstLine="480"/>
              <w:rPr>
                <w:rFonts w:hint="default" w:ascii="Times New Roman" w:hAnsi="Times New Roman" w:cs="Times New Roman"/>
                <w:color w:val="auto"/>
                <w:sz w:val="24"/>
                <w:szCs w:val="24"/>
              </w:rPr>
            </w:pPr>
          </w:p>
          <w:p w14:paraId="618167F1">
            <w:pPr>
              <w:pStyle w:val="16"/>
              <w:ind w:firstLine="480"/>
              <w:rPr>
                <w:rFonts w:hint="default" w:ascii="Times New Roman" w:hAnsi="Times New Roman" w:cs="Times New Roman"/>
                <w:color w:val="auto"/>
                <w:sz w:val="24"/>
                <w:szCs w:val="24"/>
              </w:rPr>
            </w:pPr>
          </w:p>
        </w:tc>
      </w:tr>
    </w:tbl>
    <w:p w14:paraId="0EAF3C8F">
      <w:pPr>
        <w:ind w:firstLine="480"/>
        <w:rPr>
          <w:rFonts w:hint="default" w:ascii="Times New Roman" w:hAnsi="Times New Roman" w:cs="Times New Roman"/>
          <w:color w:val="auto"/>
          <w:kern w:val="21"/>
        </w:rPr>
        <w:sectPr>
          <w:pgSz w:w="11906" w:h="16838"/>
          <w:pgMar w:top="1701" w:right="1531" w:bottom="1701" w:left="1531" w:header="851" w:footer="851" w:gutter="0"/>
          <w:cols w:space="720" w:num="1"/>
          <w:docGrid w:linePitch="312" w:charSpace="0"/>
        </w:sectPr>
      </w:pPr>
    </w:p>
    <w:p w14:paraId="244C4A4C">
      <w:pPr>
        <w:pStyle w:val="23"/>
        <w:spacing w:before="0" w:beforeAutospacing="0" w:after="0" w:afterAutospacing="0" w:line="216" w:lineRule="auto"/>
        <w:ind w:firstLine="0" w:firstLineChars="0"/>
        <w:outlineLvl w:val="0"/>
        <w:rPr>
          <w:rFonts w:hint="default" w:ascii="Times New Roman" w:hAnsi="Times New Roman" w:eastAsia="黑体" w:cs="Times New Roman"/>
          <w:snapToGrid w:val="0"/>
          <w:color w:val="auto"/>
          <w:kern w:val="21"/>
          <w:sz w:val="21"/>
          <w:szCs w:val="21"/>
        </w:rPr>
      </w:pPr>
      <w:r>
        <w:rPr>
          <w:rFonts w:hint="default" w:ascii="Times New Roman" w:hAnsi="Times New Roman" w:eastAsia="黑体" w:cs="Times New Roman"/>
          <w:snapToGrid w:val="0"/>
          <w:color w:val="auto"/>
          <w:kern w:val="21"/>
          <w:sz w:val="32"/>
          <w:szCs w:val="32"/>
        </w:rPr>
        <w:t>附表</w:t>
      </w:r>
    </w:p>
    <w:p w14:paraId="70EA1806">
      <w:pPr>
        <w:pStyle w:val="23"/>
        <w:spacing w:before="0" w:beforeAutospacing="0" w:after="0" w:afterAutospacing="0" w:line="216" w:lineRule="auto"/>
        <w:ind w:firstLine="0" w:firstLineChars="0"/>
        <w:jc w:val="center"/>
        <w:outlineLvl w:val="0"/>
        <w:rPr>
          <w:rFonts w:hint="default" w:ascii="Times New Roman" w:hAnsi="Times New Roman" w:eastAsia="黑体" w:cs="Times New Roman"/>
          <w:snapToGrid w:val="0"/>
          <w:color w:val="auto"/>
          <w:kern w:val="21"/>
          <w:sz w:val="30"/>
          <w:szCs w:val="30"/>
        </w:rPr>
      </w:pPr>
      <w:r>
        <w:rPr>
          <w:rFonts w:hint="default" w:ascii="Times New Roman" w:hAnsi="Times New Roman" w:eastAsia="黑体" w:cs="Times New Roman"/>
          <w:snapToGrid w:val="0"/>
          <w:color w:val="auto"/>
          <w:kern w:val="21"/>
          <w:sz w:val="30"/>
          <w:szCs w:val="30"/>
        </w:rPr>
        <w:t>建设项目污染物排放量汇总表</w:t>
      </w:r>
    </w:p>
    <w:tbl>
      <w:tblPr>
        <w:tblStyle w:val="28"/>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92"/>
        <w:gridCol w:w="1325"/>
        <w:gridCol w:w="1604"/>
        <w:gridCol w:w="1188"/>
        <w:gridCol w:w="1604"/>
        <w:gridCol w:w="1466"/>
        <w:gridCol w:w="1663"/>
        <w:gridCol w:w="1857"/>
        <w:gridCol w:w="1288"/>
      </w:tblGrid>
      <w:tr w14:paraId="06DA89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53" w:type="pct"/>
            <w:tcBorders>
              <w:tl2br w:val="single" w:color="auto" w:sz="4" w:space="0"/>
            </w:tcBorders>
            <w:tcMar>
              <w:left w:w="28" w:type="dxa"/>
              <w:right w:w="28" w:type="dxa"/>
            </w:tcMar>
            <w:vAlign w:val="center"/>
          </w:tcPr>
          <w:p w14:paraId="5974BC26">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 xml:space="preserve">          项目</w:t>
            </w:r>
          </w:p>
          <w:p w14:paraId="27E4C680">
            <w:pPr>
              <w:spacing w:line="240" w:lineRule="auto"/>
              <w:ind w:firstLine="0" w:firstLineChars="0"/>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分类</w:t>
            </w:r>
          </w:p>
        </w:tc>
        <w:tc>
          <w:tcPr>
            <w:tcW w:w="491" w:type="pct"/>
            <w:tcMar>
              <w:left w:w="28" w:type="dxa"/>
              <w:right w:w="28" w:type="dxa"/>
            </w:tcMar>
            <w:vAlign w:val="center"/>
          </w:tcPr>
          <w:p w14:paraId="1AAD6260">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污染物名称</w:t>
            </w:r>
          </w:p>
        </w:tc>
        <w:tc>
          <w:tcPr>
            <w:tcW w:w="594" w:type="pct"/>
            <w:tcMar>
              <w:left w:w="28" w:type="dxa"/>
              <w:right w:w="28" w:type="dxa"/>
            </w:tcMar>
            <w:vAlign w:val="center"/>
          </w:tcPr>
          <w:p w14:paraId="54723F55">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现有工程</w:t>
            </w:r>
          </w:p>
          <w:p w14:paraId="02D58319">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排放量（固体废物产生量）</w:t>
            </w:r>
            <w:r>
              <w:rPr>
                <w:rFonts w:hint="default" w:ascii="Times New Roman" w:hAnsi="Times New Roman" w:cs="Times New Roman"/>
                <w:b/>
                <w:bCs/>
                <w:snapToGrid w:val="0"/>
                <w:color w:val="auto"/>
                <w:spacing w:val="-6"/>
                <w:kern w:val="21"/>
                <w:sz w:val="21"/>
                <w:szCs w:val="21"/>
              </w:rPr>
              <w:fldChar w:fldCharType="begin"/>
            </w:r>
            <w:r>
              <w:rPr>
                <w:rFonts w:hint="default" w:ascii="Times New Roman" w:hAnsi="Times New Roman" w:cs="Times New Roman"/>
                <w:b/>
                <w:bCs/>
                <w:snapToGrid w:val="0"/>
                <w:color w:val="auto"/>
                <w:spacing w:val="-6"/>
                <w:kern w:val="21"/>
                <w:sz w:val="21"/>
                <w:szCs w:val="21"/>
              </w:rPr>
              <w:instrText xml:space="preserve"> = 1 \* GB3 \* MERGEFORMAT </w:instrText>
            </w:r>
            <w:r>
              <w:rPr>
                <w:rFonts w:hint="default" w:ascii="Times New Roman" w:hAnsi="Times New Roman" w:cs="Times New Roman"/>
                <w:b/>
                <w:bCs/>
                <w:snapToGrid w:val="0"/>
                <w:color w:val="auto"/>
                <w:spacing w:val="-6"/>
                <w:kern w:val="21"/>
                <w:sz w:val="21"/>
                <w:szCs w:val="21"/>
              </w:rPr>
              <w:fldChar w:fldCharType="separate"/>
            </w:r>
            <w:r>
              <w:rPr>
                <w:rFonts w:hint="default" w:ascii="Times New Roman" w:hAnsi="Times New Roman" w:cs="Times New Roman"/>
                <w:b/>
                <w:bCs/>
                <w:color w:val="auto"/>
                <w:sz w:val="21"/>
                <w:szCs w:val="21"/>
              </w:rPr>
              <w:t>①</w:t>
            </w:r>
            <w:r>
              <w:rPr>
                <w:rFonts w:hint="default" w:ascii="Times New Roman" w:hAnsi="Times New Roman" w:cs="Times New Roman"/>
                <w:b/>
                <w:bCs/>
                <w:snapToGrid w:val="0"/>
                <w:color w:val="auto"/>
                <w:spacing w:val="-6"/>
                <w:kern w:val="21"/>
                <w:sz w:val="21"/>
                <w:szCs w:val="21"/>
              </w:rPr>
              <w:fldChar w:fldCharType="end"/>
            </w:r>
          </w:p>
        </w:tc>
        <w:tc>
          <w:tcPr>
            <w:tcW w:w="440" w:type="pct"/>
            <w:tcMar>
              <w:left w:w="28" w:type="dxa"/>
              <w:right w:w="28" w:type="dxa"/>
            </w:tcMar>
            <w:vAlign w:val="center"/>
          </w:tcPr>
          <w:p w14:paraId="10F01C16">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现有工程</w:t>
            </w:r>
          </w:p>
          <w:p w14:paraId="3350F104">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许可排放量</w:t>
            </w:r>
          </w:p>
          <w:p w14:paraId="64FF89CE">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fldChar w:fldCharType="begin"/>
            </w:r>
            <w:r>
              <w:rPr>
                <w:rFonts w:hint="default" w:ascii="Times New Roman" w:hAnsi="Times New Roman" w:cs="Times New Roman"/>
                <w:b/>
                <w:bCs/>
                <w:snapToGrid w:val="0"/>
                <w:color w:val="auto"/>
                <w:spacing w:val="-6"/>
                <w:kern w:val="21"/>
                <w:sz w:val="21"/>
                <w:szCs w:val="21"/>
              </w:rPr>
              <w:instrText xml:space="preserve"> = 2 \* GB3 \* MERGEFORMAT </w:instrText>
            </w:r>
            <w:r>
              <w:rPr>
                <w:rFonts w:hint="default" w:ascii="Times New Roman" w:hAnsi="Times New Roman" w:cs="Times New Roman"/>
                <w:b/>
                <w:bCs/>
                <w:snapToGrid w:val="0"/>
                <w:color w:val="auto"/>
                <w:spacing w:val="-6"/>
                <w:kern w:val="21"/>
                <w:sz w:val="21"/>
                <w:szCs w:val="21"/>
              </w:rPr>
              <w:fldChar w:fldCharType="separate"/>
            </w:r>
            <w:r>
              <w:rPr>
                <w:rFonts w:hint="default" w:ascii="Times New Roman" w:hAnsi="Times New Roman" w:cs="Times New Roman"/>
                <w:b/>
                <w:bCs/>
                <w:snapToGrid w:val="0"/>
                <w:color w:val="auto"/>
                <w:spacing w:val="-6"/>
                <w:kern w:val="21"/>
                <w:sz w:val="21"/>
                <w:szCs w:val="21"/>
              </w:rPr>
              <w:t>②</w:t>
            </w:r>
            <w:r>
              <w:rPr>
                <w:rFonts w:hint="default" w:ascii="Times New Roman" w:hAnsi="Times New Roman" w:cs="Times New Roman"/>
                <w:b/>
                <w:bCs/>
                <w:snapToGrid w:val="0"/>
                <w:color w:val="auto"/>
                <w:spacing w:val="-6"/>
                <w:kern w:val="21"/>
                <w:sz w:val="21"/>
                <w:szCs w:val="21"/>
              </w:rPr>
              <w:fldChar w:fldCharType="end"/>
            </w:r>
          </w:p>
        </w:tc>
        <w:tc>
          <w:tcPr>
            <w:tcW w:w="594" w:type="pct"/>
            <w:tcMar>
              <w:left w:w="28" w:type="dxa"/>
              <w:right w:w="28" w:type="dxa"/>
            </w:tcMar>
            <w:vAlign w:val="center"/>
          </w:tcPr>
          <w:p w14:paraId="6CB30B70">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在建工程</w:t>
            </w:r>
          </w:p>
          <w:p w14:paraId="0D6FADE5">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排放量（固体废物产生量）</w:t>
            </w:r>
            <w:r>
              <w:rPr>
                <w:rFonts w:hint="default" w:ascii="Times New Roman" w:hAnsi="Times New Roman" w:cs="Times New Roman"/>
                <w:b/>
                <w:bCs/>
                <w:snapToGrid w:val="0"/>
                <w:color w:val="auto"/>
                <w:spacing w:val="-6"/>
                <w:kern w:val="21"/>
                <w:sz w:val="21"/>
                <w:szCs w:val="21"/>
              </w:rPr>
              <w:fldChar w:fldCharType="begin"/>
            </w:r>
            <w:r>
              <w:rPr>
                <w:rFonts w:hint="default" w:ascii="Times New Roman" w:hAnsi="Times New Roman" w:cs="Times New Roman"/>
                <w:b/>
                <w:bCs/>
                <w:snapToGrid w:val="0"/>
                <w:color w:val="auto"/>
                <w:spacing w:val="-6"/>
                <w:kern w:val="21"/>
                <w:sz w:val="21"/>
                <w:szCs w:val="21"/>
              </w:rPr>
              <w:instrText xml:space="preserve"> = 3 \* GB3 \* MERGEFORMAT </w:instrText>
            </w:r>
            <w:r>
              <w:rPr>
                <w:rFonts w:hint="default" w:ascii="Times New Roman" w:hAnsi="Times New Roman" w:cs="Times New Roman"/>
                <w:b/>
                <w:bCs/>
                <w:snapToGrid w:val="0"/>
                <w:color w:val="auto"/>
                <w:spacing w:val="-6"/>
                <w:kern w:val="21"/>
                <w:sz w:val="21"/>
                <w:szCs w:val="21"/>
              </w:rPr>
              <w:fldChar w:fldCharType="separate"/>
            </w:r>
            <w:r>
              <w:rPr>
                <w:rFonts w:hint="default" w:ascii="Times New Roman" w:hAnsi="Times New Roman" w:cs="Times New Roman"/>
                <w:b/>
                <w:bCs/>
                <w:color w:val="auto"/>
                <w:sz w:val="21"/>
                <w:szCs w:val="21"/>
              </w:rPr>
              <w:t>③</w:t>
            </w:r>
            <w:r>
              <w:rPr>
                <w:rFonts w:hint="default" w:ascii="Times New Roman" w:hAnsi="Times New Roman" w:cs="Times New Roman"/>
                <w:b/>
                <w:bCs/>
                <w:snapToGrid w:val="0"/>
                <w:color w:val="auto"/>
                <w:spacing w:val="-6"/>
                <w:kern w:val="21"/>
                <w:sz w:val="21"/>
                <w:szCs w:val="21"/>
              </w:rPr>
              <w:fldChar w:fldCharType="end"/>
            </w:r>
          </w:p>
        </w:tc>
        <w:tc>
          <w:tcPr>
            <w:tcW w:w="543" w:type="pct"/>
            <w:tcMar>
              <w:left w:w="28" w:type="dxa"/>
              <w:right w:w="28" w:type="dxa"/>
            </w:tcMar>
            <w:vAlign w:val="center"/>
          </w:tcPr>
          <w:p w14:paraId="7607E7AD">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本项目</w:t>
            </w:r>
          </w:p>
          <w:p w14:paraId="269B186A">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排放量（固体废物产生量）</w:t>
            </w:r>
            <w:r>
              <w:rPr>
                <w:rFonts w:hint="default" w:ascii="Times New Roman" w:hAnsi="Times New Roman" w:cs="Times New Roman"/>
                <w:b/>
                <w:bCs/>
                <w:snapToGrid w:val="0"/>
                <w:color w:val="auto"/>
                <w:spacing w:val="-6"/>
                <w:kern w:val="21"/>
                <w:sz w:val="21"/>
                <w:szCs w:val="21"/>
              </w:rPr>
              <w:fldChar w:fldCharType="begin"/>
            </w:r>
            <w:r>
              <w:rPr>
                <w:rFonts w:hint="default" w:ascii="Times New Roman" w:hAnsi="Times New Roman" w:cs="Times New Roman"/>
                <w:b/>
                <w:bCs/>
                <w:snapToGrid w:val="0"/>
                <w:color w:val="auto"/>
                <w:spacing w:val="-6"/>
                <w:kern w:val="21"/>
                <w:sz w:val="21"/>
                <w:szCs w:val="21"/>
              </w:rPr>
              <w:instrText xml:space="preserve"> = 4 \* GB3 \* MERGEFORMAT </w:instrText>
            </w:r>
            <w:r>
              <w:rPr>
                <w:rFonts w:hint="default" w:ascii="Times New Roman" w:hAnsi="Times New Roman" w:cs="Times New Roman"/>
                <w:b/>
                <w:bCs/>
                <w:snapToGrid w:val="0"/>
                <w:color w:val="auto"/>
                <w:spacing w:val="-6"/>
                <w:kern w:val="21"/>
                <w:sz w:val="21"/>
                <w:szCs w:val="21"/>
              </w:rPr>
              <w:fldChar w:fldCharType="separate"/>
            </w:r>
            <w:r>
              <w:rPr>
                <w:rFonts w:hint="default" w:ascii="Times New Roman" w:hAnsi="Times New Roman" w:cs="Times New Roman"/>
                <w:b/>
                <w:bCs/>
                <w:color w:val="auto"/>
                <w:sz w:val="21"/>
                <w:szCs w:val="21"/>
              </w:rPr>
              <w:t>④</w:t>
            </w:r>
            <w:r>
              <w:rPr>
                <w:rFonts w:hint="default" w:ascii="Times New Roman" w:hAnsi="Times New Roman" w:cs="Times New Roman"/>
                <w:b/>
                <w:bCs/>
                <w:snapToGrid w:val="0"/>
                <w:color w:val="auto"/>
                <w:spacing w:val="-6"/>
                <w:kern w:val="21"/>
                <w:sz w:val="21"/>
                <w:szCs w:val="21"/>
              </w:rPr>
              <w:fldChar w:fldCharType="end"/>
            </w:r>
          </w:p>
        </w:tc>
        <w:tc>
          <w:tcPr>
            <w:tcW w:w="616" w:type="pct"/>
            <w:tcMar>
              <w:left w:w="28" w:type="dxa"/>
              <w:right w:w="28" w:type="dxa"/>
            </w:tcMar>
            <w:vAlign w:val="center"/>
          </w:tcPr>
          <w:p w14:paraId="51F66AE5">
            <w:pPr>
              <w:spacing w:line="240" w:lineRule="auto"/>
              <w:ind w:firstLine="0" w:firstLineChars="0"/>
              <w:jc w:val="center"/>
              <w:rPr>
                <w:rFonts w:hint="default" w:ascii="Times New Roman" w:hAnsi="Times New Roman" w:cs="Times New Roman"/>
                <w:b/>
                <w:bCs/>
                <w:snapToGrid w:val="0"/>
                <w:color w:val="auto"/>
                <w:spacing w:val="-16"/>
                <w:kern w:val="21"/>
                <w:sz w:val="21"/>
                <w:szCs w:val="21"/>
              </w:rPr>
            </w:pPr>
            <w:r>
              <w:rPr>
                <w:rFonts w:hint="default" w:ascii="Times New Roman" w:hAnsi="Times New Roman" w:cs="Times New Roman"/>
                <w:b/>
                <w:bCs/>
                <w:snapToGrid w:val="0"/>
                <w:color w:val="auto"/>
                <w:spacing w:val="-16"/>
                <w:kern w:val="21"/>
                <w:sz w:val="21"/>
                <w:szCs w:val="21"/>
              </w:rPr>
              <w:t>以新带老削减量</w:t>
            </w:r>
          </w:p>
          <w:p w14:paraId="659D0F0E">
            <w:pPr>
              <w:spacing w:line="240" w:lineRule="auto"/>
              <w:ind w:firstLine="0" w:firstLineChars="0"/>
              <w:jc w:val="center"/>
              <w:rPr>
                <w:rFonts w:hint="default" w:ascii="Times New Roman" w:hAnsi="Times New Roman" w:cs="Times New Roman"/>
                <w:b/>
                <w:bCs/>
                <w:snapToGrid w:val="0"/>
                <w:color w:val="auto"/>
                <w:spacing w:val="-16"/>
                <w:kern w:val="21"/>
                <w:sz w:val="21"/>
                <w:szCs w:val="21"/>
              </w:rPr>
            </w:pPr>
            <w:r>
              <w:rPr>
                <w:rFonts w:hint="default" w:ascii="Times New Roman" w:hAnsi="Times New Roman" w:cs="Times New Roman"/>
                <w:b/>
                <w:bCs/>
                <w:snapToGrid w:val="0"/>
                <w:color w:val="auto"/>
                <w:spacing w:val="-16"/>
                <w:kern w:val="21"/>
                <w:sz w:val="21"/>
                <w:szCs w:val="21"/>
              </w:rPr>
              <w:t>（新建项目不填）</w:t>
            </w:r>
            <w:r>
              <w:rPr>
                <w:rFonts w:hint="default" w:ascii="Times New Roman" w:hAnsi="Times New Roman" w:cs="Times New Roman"/>
                <w:b/>
                <w:bCs/>
                <w:snapToGrid w:val="0"/>
                <w:color w:val="auto"/>
                <w:spacing w:val="-16"/>
                <w:kern w:val="21"/>
                <w:sz w:val="21"/>
                <w:szCs w:val="21"/>
              </w:rPr>
              <w:fldChar w:fldCharType="begin"/>
            </w:r>
            <w:r>
              <w:rPr>
                <w:rFonts w:hint="default" w:ascii="Times New Roman" w:hAnsi="Times New Roman" w:cs="Times New Roman"/>
                <w:b/>
                <w:bCs/>
                <w:snapToGrid w:val="0"/>
                <w:color w:val="auto"/>
                <w:spacing w:val="-16"/>
                <w:kern w:val="21"/>
                <w:sz w:val="21"/>
                <w:szCs w:val="21"/>
              </w:rPr>
              <w:instrText xml:space="preserve"> = 5 \* GB3 \* MERGEFORMAT </w:instrText>
            </w:r>
            <w:r>
              <w:rPr>
                <w:rFonts w:hint="default" w:ascii="Times New Roman" w:hAnsi="Times New Roman" w:cs="Times New Roman"/>
                <w:b/>
                <w:bCs/>
                <w:snapToGrid w:val="0"/>
                <w:color w:val="auto"/>
                <w:spacing w:val="-16"/>
                <w:kern w:val="21"/>
                <w:sz w:val="21"/>
                <w:szCs w:val="21"/>
              </w:rPr>
              <w:fldChar w:fldCharType="separate"/>
            </w:r>
            <w:r>
              <w:rPr>
                <w:rFonts w:hint="default" w:ascii="Times New Roman" w:hAnsi="Times New Roman" w:cs="Times New Roman"/>
                <w:b/>
                <w:bCs/>
                <w:color w:val="auto"/>
                <w:sz w:val="21"/>
                <w:szCs w:val="21"/>
              </w:rPr>
              <w:t>⑤</w:t>
            </w:r>
            <w:r>
              <w:rPr>
                <w:rFonts w:hint="default" w:ascii="Times New Roman" w:hAnsi="Times New Roman" w:cs="Times New Roman"/>
                <w:b/>
                <w:bCs/>
                <w:snapToGrid w:val="0"/>
                <w:color w:val="auto"/>
                <w:spacing w:val="-16"/>
                <w:kern w:val="21"/>
                <w:sz w:val="21"/>
                <w:szCs w:val="21"/>
              </w:rPr>
              <w:fldChar w:fldCharType="end"/>
            </w:r>
          </w:p>
        </w:tc>
        <w:tc>
          <w:tcPr>
            <w:tcW w:w="688" w:type="pct"/>
            <w:tcMar>
              <w:left w:w="28" w:type="dxa"/>
              <w:right w:w="28" w:type="dxa"/>
            </w:tcMar>
            <w:vAlign w:val="center"/>
          </w:tcPr>
          <w:p w14:paraId="0677972D">
            <w:pPr>
              <w:spacing w:line="240" w:lineRule="auto"/>
              <w:ind w:firstLine="0" w:firstLineChars="0"/>
              <w:jc w:val="center"/>
              <w:rPr>
                <w:rFonts w:hint="default" w:ascii="Times New Roman" w:hAnsi="Times New Roman" w:cs="Times New Roman"/>
                <w:b/>
                <w:bCs/>
                <w:snapToGrid w:val="0"/>
                <w:color w:val="auto"/>
                <w:spacing w:val="-16"/>
                <w:kern w:val="21"/>
                <w:sz w:val="21"/>
                <w:szCs w:val="21"/>
              </w:rPr>
            </w:pPr>
            <w:r>
              <w:rPr>
                <w:rFonts w:hint="default" w:ascii="Times New Roman" w:hAnsi="Times New Roman" w:cs="Times New Roman"/>
                <w:b/>
                <w:bCs/>
                <w:snapToGrid w:val="0"/>
                <w:color w:val="auto"/>
                <w:spacing w:val="-16"/>
                <w:kern w:val="21"/>
                <w:sz w:val="21"/>
                <w:szCs w:val="21"/>
              </w:rPr>
              <w:t>本项目建成后</w:t>
            </w:r>
          </w:p>
          <w:p w14:paraId="0F241E0D">
            <w:pPr>
              <w:spacing w:line="240" w:lineRule="auto"/>
              <w:ind w:firstLine="0" w:firstLineChars="0"/>
              <w:jc w:val="center"/>
              <w:rPr>
                <w:rFonts w:hint="default" w:ascii="Times New Roman" w:hAnsi="Times New Roman" w:cs="Times New Roman"/>
                <w:b/>
                <w:bCs/>
                <w:snapToGrid w:val="0"/>
                <w:color w:val="auto"/>
                <w:spacing w:val="-16"/>
                <w:kern w:val="21"/>
                <w:sz w:val="21"/>
                <w:szCs w:val="21"/>
              </w:rPr>
            </w:pPr>
            <w:r>
              <w:rPr>
                <w:rFonts w:hint="default" w:ascii="Times New Roman" w:hAnsi="Times New Roman" w:cs="Times New Roman"/>
                <w:b/>
                <w:bCs/>
                <w:snapToGrid w:val="0"/>
                <w:color w:val="auto"/>
                <w:spacing w:val="-16"/>
                <w:kern w:val="21"/>
                <w:sz w:val="21"/>
                <w:szCs w:val="21"/>
              </w:rPr>
              <w:t>全厂排放量（固体废物产生量）</w:t>
            </w:r>
            <w:r>
              <w:rPr>
                <w:rFonts w:hint="default" w:ascii="Times New Roman" w:hAnsi="Times New Roman" w:cs="Times New Roman"/>
                <w:b/>
                <w:bCs/>
                <w:snapToGrid w:val="0"/>
                <w:color w:val="auto"/>
                <w:spacing w:val="-16"/>
                <w:kern w:val="21"/>
                <w:sz w:val="21"/>
                <w:szCs w:val="21"/>
              </w:rPr>
              <w:fldChar w:fldCharType="begin"/>
            </w:r>
            <w:r>
              <w:rPr>
                <w:rFonts w:hint="default" w:ascii="Times New Roman" w:hAnsi="Times New Roman" w:cs="Times New Roman"/>
                <w:b/>
                <w:bCs/>
                <w:snapToGrid w:val="0"/>
                <w:color w:val="auto"/>
                <w:spacing w:val="-16"/>
                <w:kern w:val="21"/>
                <w:sz w:val="21"/>
                <w:szCs w:val="21"/>
              </w:rPr>
              <w:instrText xml:space="preserve"> = 6 \* GB3 \* MERGEFORMAT </w:instrText>
            </w:r>
            <w:r>
              <w:rPr>
                <w:rFonts w:hint="default" w:ascii="Times New Roman" w:hAnsi="Times New Roman" w:cs="Times New Roman"/>
                <w:b/>
                <w:bCs/>
                <w:snapToGrid w:val="0"/>
                <w:color w:val="auto"/>
                <w:spacing w:val="-16"/>
                <w:kern w:val="21"/>
                <w:sz w:val="21"/>
                <w:szCs w:val="21"/>
              </w:rPr>
              <w:fldChar w:fldCharType="separate"/>
            </w:r>
            <w:r>
              <w:rPr>
                <w:rFonts w:hint="default" w:ascii="Times New Roman" w:hAnsi="Times New Roman" w:cs="Times New Roman"/>
                <w:b/>
                <w:bCs/>
                <w:color w:val="auto"/>
                <w:sz w:val="21"/>
                <w:szCs w:val="21"/>
              </w:rPr>
              <w:t>⑥</w:t>
            </w:r>
            <w:r>
              <w:rPr>
                <w:rFonts w:hint="default" w:ascii="Times New Roman" w:hAnsi="Times New Roman" w:cs="Times New Roman"/>
                <w:b/>
                <w:bCs/>
                <w:snapToGrid w:val="0"/>
                <w:color w:val="auto"/>
                <w:spacing w:val="-16"/>
                <w:kern w:val="21"/>
                <w:sz w:val="21"/>
                <w:szCs w:val="21"/>
              </w:rPr>
              <w:fldChar w:fldCharType="end"/>
            </w:r>
          </w:p>
        </w:tc>
        <w:tc>
          <w:tcPr>
            <w:tcW w:w="477" w:type="pct"/>
            <w:tcMar>
              <w:left w:w="28" w:type="dxa"/>
              <w:right w:w="28" w:type="dxa"/>
            </w:tcMar>
            <w:vAlign w:val="center"/>
          </w:tcPr>
          <w:p w14:paraId="67916E50">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t>变化量</w:t>
            </w:r>
          </w:p>
          <w:p w14:paraId="75FED79B">
            <w:pPr>
              <w:spacing w:line="240" w:lineRule="auto"/>
              <w:ind w:firstLine="0" w:firstLineChars="0"/>
              <w:jc w:val="center"/>
              <w:rPr>
                <w:rFonts w:hint="default" w:ascii="Times New Roman" w:hAnsi="Times New Roman" w:cs="Times New Roman"/>
                <w:b/>
                <w:bCs/>
                <w:snapToGrid w:val="0"/>
                <w:color w:val="auto"/>
                <w:spacing w:val="-6"/>
                <w:kern w:val="21"/>
                <w:sz w:val="21"/>
                <w:szCs w:val="21"/>
              </w:rPr>
            </w:pPr>
            <w:r>
              <w:rPr>
                <w:rFonts w:hint="default" w:ascii="Times New Roman" w:hAnsi="Times New Roman" w:cs="Times New Roman"/>
                <w:b/>
                <w:bCs/>
                <w:snapToGrid w:val="0"/>
                <w:color w:val="auto"/>
                <w:spacing w:val="-6"/>
                <w:kern w:val="21"/>
                <w:sz w:val="21"/>
                <w:szCs w:val="21"/>
              </w:rPr>
              <w:fldChar w:fldCharType="begin"/>
            </w:r>
            <w:r>
              <w:rPr>
                <w:rFonts w:hint="default" w:ascii="Times New Roman" w:hAnsi="Times New Roman" w:cs="Times New Roman"/>
                <w:b/>
                <w:bCs/>
                <w:snapToGrid w:val="0"/>
                <w:color w:val="auto"/>
                <w:spacing w:val="-6"/>
                <w:kern w:val="21"/>
                <w:sz w:val="21"/>
                <w:szCs w:val="21"/>
              </w:rPr>
              <w:instrText xml:space="preserve"> = 7 \* GB3 \* MERGEFORMAT </w:instrText>
            </w:r>
            <w:r>
              <w:rPr>
                <w:rFonts w:hint="default" w:ascii="Times New Roman" w:hAnsi="Times New Roman" w:cs="Times New Roman"/>
                <w:b/>
                <w:bCs/>
                <w:snapToGrid w:val="0"/>
                <w:color w:val="auto"/>
                <w:spacing w:val="-6"/>
                <w:kern w:val="21"/>
                <w:sz w:val="21"/>
                <w:szCs w:val="21"/>
              </w:rPr>
              <w:fldChar w:fldCharType="separate"/>
            </w:r>
            <w:r>
              <w:rPr>
                <w:rFonts w:hint="default" w:ascii="Times New Roman" w:hAnsi="Times New Roman" w:cs="Times New Roman"/>
                <w:b/>
                <w:bCs/>
                <w:color w:val="auto"/>
                <w:sz w:val="21"/>
                <w:szCs w:val="21"/>
              </w:rPr>
              <w:t>⑦</w:t>
            </w:r>
            <w:r>
              <w:rPr>
                <w:rFonts w:hint="default" w:ascii="Times New Roman" w:hAnsi="Times New Roman" w:cs="Times New Roman"/>
                <w:b/>
                <w:bCs/>
                <w:snapToGrid w:val="0"/>
                <w:color w:val="auto"/>
                <w:spacing w:val="-6"/>
                <w:kern w:val="21"/>
                <w:sz w:val="21"/>
                <w:szCs w:val="21"/>
              </w:rPr>
              <w:fldChar w:fldCharType="end"/>
            </w:r>
          </w:p>
        </w:tc>
      </w:tr>
      <w:tr w14:paraId="69F588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vAlign w:val="center"/>
          </w:tcPr>
          <w:p w14:paraId="51FD5870">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废气</w:t>
            </w:r>
          </w:p>
        </w:tc>
        <w:tc>
          <w:tcPr>
            <w:tcW w:w="491" w:type="pct"/>
            <w:vAlign w:val="center"/>
          </w:tcPr>
          <w:p w14:paraId="7302E02B">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颗粒物</w:t>
            </w:r>
          </w:p>
        </w:tc>
        <w:tc>
          <w:tcPr>
            <w:tcW w:w="594" w:type="pct"/>
            <w:vAlign w:val="center"/>
          </w:tcPr>
          <w:p w14:paraId="6A3080D7">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40" w:type="pct"/>
            <w:vAlign w:val="center"/>
          </w:tcPr>
          <w:p w14:paraId="0FE43FAE">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3C7C9750">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35C544AF">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16" w:type="pct"/>
            <w:vAlign w:val="center"/>
          </w:tcPr>
          <w:p w14:paraId="609267D0">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0DAAB55B">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77" w:type="pct"/>
            <w:vAlign w:val="center"/>
          </w:tcPr>
          <w:p w14:paraId="790E77A2">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r>
      <w:tr w14:paraId="584562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4A4E4666">
            <w:pPr>
              <w:spacing w:line="240" w:lineRule="auto"/>
              <w:ind w:firstLine="0" w:firstLineChars="0"/>
              <w:jc w:val="center"/>
              <w:rPr>
                <w:rFonts w:hint="default" w:ascii="Times New Roman" w:hAnsi="Times New Roman" w:cs="Times New Roman"/>
                <w:snapToGrid w:val="0"/>
                <w:color w:val="auto"/>
                <w:kern w:val="21"/>
                <w:sz w:val="21"/>
                <w:szCs w:val="21"/>
              </w:rPr>
            </w:pPr>
          </w:p>
        </w:tc>
        <w:tc>
          <w:tcPr>
            <w:tcW w:w="491" w:type="pct"/>
            <w:vAlign w:val="center"/>
          </w:tcPr>
          <w:p w14:paraId="248A4DCE">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rPr>
              <w:t>SO</w:t>
            </w:r>
            <w:r>
              <w:rPr>
                <w:rFonts w:hint="default" w:ascii="Times New Roman" w:hAnsi="Times New Roman" w:cs="Times New Roman"/>
                <w:color w:val="auto"/>
                <w:sz w:val="21"/>
                <w:szCs w:val="21"/>
                <w:vertAlign w:val="subscript"/>
              </w:rPr>
              <w:t>2</w:t>
            </w:r>
          </w:p>
        </w:tc>
        <w:tc>
          <w:tcPr>
            <w:tcW w:w="594" w:type="pct"/>
            <w:vAlign w:val="center"/>
          </w:tcPr>
          <w:p w14:paraId="338D53AD">
            <w:pPr>
              <w:widowControl/>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rPr>
              <w:t>/</w:t>
            </w:r>
          </w:p>
        </w:tc>
        <w:tc>
          <w:tcPr>
            <w:tcW w:w="440" w:type="pct"/>
            <w:vAlign w:val="center"/>
          </w:tcPr>
          <w:p w14:paraId="5FDCD26F">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0D9C745C">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387B76CD">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16" w:type="pct"/>
            <w:vAlign w:val="center"/>
          </w:tcPr>
          <w:p w14:paraId="080F95A6">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4740094D">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77" w:type="pct"/>
            <w:vAlign w:val="center"/>
          </w:tcPr>
          <w:p w14:paraId="2969333D">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r>
      <w:tr w14:paraId="5FBB84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4D042E1B">
            <w:pPr>
              <w:spacing w:line="240" w:lineRule="auto"/>
              <w:ind w:firstLine="0" w:firstLineChars="0"/>
              <w:jc w:val="center"/>
              <w:rPr>
                <w:rFonts w:hint="default" w:ascii="Times New Roman" w:hAnsi="Times New Roman" w:cs="Times New Roman"/>
                <w:snapToGrid w:val="0"/>
                <w:color w:val="auto"/>
                <w:kern w:val="21"/>
                <w:sz w:val="21"/>
                <w:szCs w:val="21"/>
              </w:rPr>
            </w:pPr>
          </w:p>
        </w:tc>
        <w:tc>
          <w:tcPr>
            <w:tcW w:w="491" w:type="pct"/>
            <w:vAlign w:val="center"/>
          </w:tcPr>
          <w:p w14:paraId="5573FD92">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rPr>
              <w:t>NO</w:t>
            </w:r>
            <w:r>
              <w:rPr>
                <w:rFonts w:hint="default" w:ascii="Times New Roman" w:hAnsi="Times New Roman" w:cs="Times New Roman"/>
                <w:color w:val="auto"/>
                <w:sz w:val="21"/>
                <w:szCs w:val="21"/>
                <w:vertAlign w:val="subscript"/>
              </w:rPr>
              <w:t>x</w:t>
            </w:r>
          </w:p>
        </w:tc>
        <w:tc>
          <w:tcPr>
            <w:tcW w:w="594" w:type="pct"/>
            <w:vAlign w:val="center"/>
          </w:tcPr>
          <w:p w14:paraId="01029C71">
            <w:pPr>
              <w:widowControl/>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kern w:val="0"/>
                <w:sz w:val="21"/>
                <w:szCs w:val="21"/>
              </w:rPr>
              <w:t>/</w:t>
            </w:r>
          </w:p>
        </w:tc>
        <w:tc>
          <w:tcPr>
            <w:tcW w:w="440" w:type="pct"/>
            <w:vAlign w:val="center"/>
          </w:tcPr>
          <w:p w14:paraId="255A4135">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7B48BBE6">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505B3457">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16" w:type="pct"/>
            <w:vAlign w:val="center"/>
          </w:tcPr>
          <w:p w14:paraId="15E142D7">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06F7BAE4">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77" w:type="pct"/>
            <w:vAlign w:val="center"/>
          </w:tcPr>
          <w:p w14:paraId="4DC258D7">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r>
      <w:tr w14:paraId="17478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74D15645">
            <w:pPr>
              <w:spacing w:line="240" w:lineRule="auto"/>
              <w:ind w:firstLine="0" w:firstLineChars="0"/>
              <w:jc w:val="center"/>
              <w:rPr>
                <w:rFonts w:hint="default" w:ascii="Times New Roman" w:hAnsi="Times New Roman" w:cs="Times New Roman"/>
                <w:snapToGrid w:val="0"/>
                <w:color w:val="auto"/>
                <w:kern w:val="21"/>
                <w:sz w:val="21"/>
                <w:szCs w:val="21"/>
              </w:rPr>
            </w:pPr>
          </w:p>
        </w:tc>
        <w:tc>
          <w:tcPr>
            <w:tcW w:w="491" w:type="pct"/>
            <w:vAlign w:val="center"/>
          </w:tcPr>
          <w:p w14:paraId="4E982427">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rPr>
              <w:t>非甲烷总烃</w:t>
            </w:r>
          </w:p>
        </w:tc>
        <w:tc>
          <w:tcPr>
            <w:tcW w:w="594" w:type="pct"/>
            <w:vAlign w:val="center"/>
          </w:tcPr>
          <w:p w14:paraId="2291CC13">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40" w:type="pct"/>
            <w:vAlign w:val="center"/>
          </w:tcPr>
          <w:p w14:paraId="15A70DBE">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767D6536">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507AD9FF">
            <w:pPr>
              <w:spacing w:line="240" w:lineRule="auto"/>
              <w:ind w:firstLine="0" w:firstLineChars="0"/>
              <w:jc w:val="center"/>
              <w:rPr>
                <w:rFonts w:hint="default"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lang w:eastAsia="zh-CN"/>
              </w:rPr>
              <w:t>3.856</w:t>
            </w:r>
          </w:p>
        </w:tc>
        <w:tc>
          <w:tcPr>
            <w:tcW w:w="616" w:type="pct"/>
            <w:vAlign w:val="center"/>
          </w:tcPr>
          <w:p w14:paraId="3FFE52BF">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51632305">
            <w:pPr>
              <w:spacing w:line="240" w:lineRule="auto"/>
              <w:ind w:firstLine="0" w:firstLineChars="0"/>
              <w:jc w:val="center"/>
              <w:rPr>
                <w:rFonts w:hint="default"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lang w:eastAsia="zh-CN"/>
              </w:rPr>
              <w:t>3.856</w:t>
            </w:r>
          </w:p>
        </w:tc>
        <w:tc>
          <w:tcPr>
            <w:tcW w:w="477" w:type="pct"/>
            <w:vAlign w:val="center"/>
          </w:tcPr>
          <w:p w14:paraId="537D0BFF">
            <w:pPr>
              <w:spacing w:line="240" w:lineRule="auto"/>
              <w:ind w:firstLine="0" w:firstLineChars="0"/>
              <w:jc w:val="center"/>
              <w:rPr>
                <w:rFonts w:hint="default"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rPr>
              <w:t>+</w:t>
            </w:r>
            <w:r>
              <w:rPr>
                <w:rFonts w:hint="default" w:ascii="Times New Roman" w:hAnsi="Times New Roman" w:cs="Times New Roman"/>
                <w:snapToGrid w:val="0"/>
                <w:color w:val="auto"/>
                <w:kern w:val="21"/>
                <w:sz w:val="21"/>
                <w:szCs w:val="21"/>
                <w:lang w:eastAsia="zh-CN"/>
              </w:rPr>
              <w:t>3.856</w:t>
            </w:r>
          </w:p>
        </w:tc>
      </w:tr>
      <w:tr w14:paraId="4BDAB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vAlign w:val="center"/>
          </w:tcPr>
          <w:p w14:paraId="1FF24CE8">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废水</w:t>
            </w:r>
          </w:p>
        </w:tc>
        <w:tc>
          <w:tcPr>
            <w:tcW w:w="491" w:type="pct"/>
            <w:vAlign w:val="center"/>
          </w:tcPr>
          <w:p w14:paraId="2A23CB9A">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生活污水</w:t>
            </w:r>
          </w:p>
        </w:tc>
        <w:tc>
          <w:tcPr>
            <w:tcW w:w="594" w:type="pct"/>
            <w:vAlign w:val="center"/>
          </w:tcPr>
          <w:p w14:paraId="16D08488">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40" w:type="pct"/>
            <w:vAlign w:val="center"/>
          </w:tcPr>
          <w:p w14:paraId="489421A5">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680193FA">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158D0DCF">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16" w:type="pct"/>
            <w:vAlign w:val="center"/>
          </w:tcPr>
          <w:p w14:paraId="0A3179A7">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4072C554">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77" w:type="pct"/>
            <w:vAlign w:val="center"/>
          </w:tcPr>
          <w:p w14:paraId="7AB29240">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r>
      <w:tr w14:paraId="4DA1C5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2E149B40">
            <w:pPr>
              <w:spacing w:line="240" w:lineRule="auto"/>
              <w:ind w:firstLine="0" w:firstLineChars="0"/>
              <w:jc w:val="center"/>
              <w:rPr>
                <w:rFonts w:hint="default" w:ascii="Times New Roman" w:hAnsi="Times New Roman" w:cs="Times New Roman"/>
                <w:snapToGrid w:val="0"/>
                <w:color w:val="auto"/>
                <w:kern w:val="21"/>
                <w:sz w:val="21"/>
                <w:szCs w:val="21"/>
              </w:rPr>
            </w:pPr>
          </w:p>
        </w:tc>
        <w:tc>
          <w:tcPr>
            <w:tcW w:w="491" w:type="pct"/>
            <w:vAlign w:val="center"/>
          </w:tcPr>
          <w:p w14:paraId="4BA1DC84">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生产废水</w:t>
            </w:r>
          </w:p>
        </w:tc>
        <w:tc>
          <w:tcPr>
            <w:tcW w:w="594" w:type="pct"/>
            <w:vAlign w:val="center"/>
          </w:tcPr>
          <w:p w14:paraId="50C97E78">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40" w:type="pct"/>
            <w:vAlign w:val="center"/>
          </w:tcPr>
          <w:p w14:paraId="35CB408E">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7C135305">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6B3D80E5">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16" w:type="pct"/>
            <w:vAlign w:val="center"/>
          </w:tcPr>
          <w:p w14:paraId="6D9AC025">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39F52A3F">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477" w:type="pct"/>
            <w:vAlign w:val="center"/>
          </w:tcPr>
          <w:p w14:paraId="2DEBC080">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r>
      <w:tr w14:paraId="51DB27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Align w:val="center"/>
          </w:tcPr>
          <w:p w14:paraId="72D51B42">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一般工业</w:t>
            </w:r>
          </w:p>
          <w:p w14:paraId="1701AD48">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固体废物</w:t>
            </w:r>
          </w:p>
        </w:tc>
        <w:tc>
          <w:tcPr>
            <w:tcW w:w="491" w:type="pct"/>
            <w:vAlign w:val="center"/>
          </w:tcPr>
          <w:p w14:paraId="3C332EFA">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rPr>
              <w:t>生活垃圾</w:t>
            </w:r>
          </w:p>
        </w:tc>
        <w:tc>
          <w:tcPr>
            <w:tcW w:w="594" w:type="pct"/>
            <w:vAlign w:val="center"/>
          </w:tcPr>
          <w:p w14:paraId="0F257CA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40" w:type="pct"/>
            <w:vAlign w:val="center"/>
          </w:tcPr>
          <w:p w14:paraId="0A0D4152">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19DDAEAA">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6B88144B">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8.5t/a</w:t>
            </w:r>
          </w:p>
        </w:tc>
        <w:tc>
          <w:tcPr>
            <w:tcW w:w="616" w:type="pct"/>
            <w:vAlign w:val="center"/>
          </w:tcPr>
          <w:p w14:paraId="23AE7B17">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3A1EF760">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3.9t/a</w:t>
            </w:r>
          </w:p>
        </w:tc>
        <w:tc>
          <w:tcPr>
            <w:tcW w:w="477" w:type="pct"/>
            <w:vAlign w:val="center"/>
          </w:tcPr>
          <w:p w14:paraId="40212AFD">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+3.9t/a</w:t>
            </w:r>
          </w:p>
        </w:tc>
      </w:tr>
      <w:tr w14:paraId="0BEF8B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vAlign w:val="center"/>
          </w:tcPr>
          <w:p w14:paraId="0D51CD87">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危险废物</w:t>
            </w:r>
          </w:p>
        </w:tc>
        <w:tc>
          <w:tcPr>
            <w:tcW w:w="491" w:type="pct"/>
            <w:shd w:val="clear" w:color="auto" w:fill="auto"/>
            <w:vAlign w:val="center"/>
          </w:tcPr>
          <w:p w14:paraId="0CC4CDD8">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w:t>
            </w:r>
          </w:p>
        </w:tc>
        <w:tc>
          <w:tcPr>
            <w:tcW w:w="594" w:type="pct"/>
            <w:vAlign w:val="center"/>
          </w:tcPr>
          <w:p w14:paraId="0DD76C3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40" w:type="pct"/>
            <w:vAlign w:val="center"/>
          </w:tcPr>
          <w:p w14:paraId="5B9B128D">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37A4AFB5">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5685471F">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0.04t/a</w:t>
            </w:r>
          </w:p>
        </w:tc>
        <w:tc>
          <w:tcPr>
            <w:tcW w:w="616" w:type="pct"/>
            <w:vAlign w:val="center"/>
          </w:tcPr>
          <w:p w14:paraId="1F367A6F">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39752272">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0.04t/a</w:t>
            </w:r>
          </w:p>
        </w:tc>
        <w:tc>
          <w:tcPr>
            <w:tcW w:w="477" w:type="pct"/>
            <w:vAlign w:val="center"/>
          </w:tcPr>
          <w:p w14:paraId="4F971A73">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+0.04t/a</w:t>
            </w:r>
          </w:p>
        </w:tc>
      </w:tr>
      <w:tr w14:paraId="78C575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6C8E4C8D">
            <w:pPr>
              <w:spacing w:line="240" w:lineRule="auto"/>
              <w:ind w:firstLine="0" w:firstLineChars="0"/>
              <w:jc w:val="center"/>
              <w:rPr>
                <w:rFonts w:hint="default" w:ascii="Times New Roman" w:hAnsi="Times New Roman" w:cs="Times New Roman"/>
                <w:snapToGrid w:val="0"/>
                <w:color w:val="auto"/>
                <w:kern w:val="21"/>
                <w:sz w:val="21"/>
                <w:szCs w:val="21"/>
              </w:rPr>
            </w:pPr>
          </w:p>
        </w:tc>
        <w:tc>
          <w:tcPr>
            <w:tcW w:w="491" w:type="pct"/>
            <w:shd w:val="clear" w:color="auto" w:fill="auto"/>
            <w:vAlign w:val="center"/>
          </w:tcPr>
          <w:p w14:paraId="7A1244E9">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废机油桶</w:t>
            </w:r>
          </w:p>
        </w:tc>
        <w:tc>
          <w:tcPr>
            <w:tcW w:w="594" w:type="pct"/>
            <w:vAlign w:val="center"/>
          </w:tcPr>
          <w:p w14:paraId="27D0225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40" w:type="pct"/>
            <w:vAlign w:val="center"/>
          </w:tcPr>
          <w:p w14:paraId="6FE79C4E">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7E8D7C34">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5644C744">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0.01t/a</w:t>
            </w:r>
          </w:p>
        </w:tc>
        <w:tc>
          <w:tcPr>
            <w:tcW w:w="616" w:type="pct"/>
            <w:vAlign w:val="center"/>
          </w:tcPr>
          <w:p w14:paraId="363F7D89">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46C233A1">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0.01t/a</w:t>
            </w:r>
          </w:p>
        </w:tc>
        <w:tc>
          <w:tcPr>
            <w:tcW w:w="477" w:type="pct"/>
            <w:vAlign w:val="center"/>
          </w:tcPr>
          <w:p w14:paraId="3E22B43B">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+0.01t/a</w:t>
            </w:r>
          </w:p>
        </w:tc>
      </w:tr>
      <w:tr w14:paraId="6BC77B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53EA9381">
            <w:pPr>
              <w:spacing w:line="240" w:lineRule="auto"/>
              <w:ind w:firstLine="0" w:firstLineChars="0"/>
              <w:jc w:val="center"/>
              <w:rPr>
                <w:rFonts w:hint="default" w:ascii="Times New Roman" w:hAnsi="Times New Roman" w:cs="Times New Roman"/>
                <w:snapToGrid w:val="0"/>
                <w:color w:val="auto"/>
                <w:kern w:val="21"/>
                <w:sz w:val="21"/>
                <w:szCs w:val="21"/>
              </w:rPr>
            </w:pPr>
          </w:p>
        </w:tc>
        <w:tc>
          <w:tcPr>
            <w:tcW w:w="491" w:type="pct"/>
            <w:shd w:val="clear" w:color="auto" w:fill="auto"/>
            <w:vAlign w:val="center"/>
          </w:tcPr>
          <w:p w14:paraId="4D3DB5B9">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废含油抹布、手套</w:t>
            </w:r>
          </w:p>
        </w:tc>
        <w:tc>
          <w:tcPr>
            <w:tcW w:w="594" w:type="pct"/>
            <w:vAlign w:val="center"/>
          </w:tcPr>
          <w:p w14:paraId="56424F9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40" w:type="pct"/>
            <w:vAlign w:val="center"/>
          </w:tcPr>
          <w:p w14:paraId="568E07C8">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37FC60FD">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3A0E81C9">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0.01t/a</w:t>
            </w:r>
          </w:p>
        </w:tc>
        <w:tc>
          <w:tcPr>
            <w:tcW w:w="616" w:type="pct"/>
            <w:vAlign w:val="center"/>
          </w:tcPr>
          <w:p w14:paraId="694ECA54">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2F959343">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0.01t/a</w:t>
            </w:r>
          </w:p>
        </w:tc>
        <w:tc>
          <w:tcPr>
            <w:tcW w:w="477" w:type="pct"/>
            <w:vAlign w:val="center"/>
          </w:tcPr>
          <w:p w14:paraId="76EC7BE1">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+0.01t/a</w:t>
            </w:r>
          </w:p>
        </w:tc>
      </w:tr>
      <w:tr w14:paraId="6340B0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14:paraId="4237E9CB">
            <w:pPr>
              <w:spacing w:line="240" w:lineRule="auto"/>
              <w:ind w:firstLine="0" w:firstLineChars="0"/>
              <w:jc w:val="center"/>
              <w:rPr>
                <w:rFonts w:hint="default" w:ascii="Times New Roman" w:hAnsi="Times New Roman" w:cs="Times New Roman"/>
                <w:snapToGrid w:val="0"/>
                <w:color w:val="auto"/>
                <w:kern w:val="21"/>
                <w:sz w:val="21"/>
                <w:szCs w:val="21"/>
              </w:rPr>
            </w:pPr>
          </w:p>
        </w:tc>
        <w:tc>
          <w:tcPr>
            <w:tcW w:w="491" w:type="pct"/>
            <w:shd w:val="clear" w:color="auto" w:fill="auto"/>
            <w:vAlign w:val="center"/>
          </w:tcPr>
          <w:p w14:paraId="1BBBE0BB">
            <w:pPr>
              <w:autoSpaceDE w:val="0"/>
              <w:autoSpaceDN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废活性炭</w:t>
            </w:r>
          </w:p>
        </w:tc>
        <w:tc>
          <w:tcPr>
            <w:tcW w:w="594" w:type="pct"/>
            <w:vAlign w:val="center"/>
          </w:tcPr>
          <w:p w14:paraId="37F4B9A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40" w:type="pct"/>
            <w:vAlign w:val="center"/>
          </w:tcPr>
          <w:p w14:paraId="370D4028">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94" w:type="pct"/>
            <w:vAlign w:val="center"/>
          </w:tcPr>
          <w:p w14:paraId="686018F0">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3" w:type="pct"/>
            <w:vAlign w:val="center"/>
          </w:tcPr>
          <w:p w14:paraId="3054C372">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eastAsia="zh-CN"/>
              </w:rPr>
              <w:t>7.8</w:t>
            </w:r>
            <w:r>
              <w:rPr>
                <w:rFonts w:hint="default" w:ascii="Times New Roman" w:hAnsi="Times New Roman" w:cs="Times New Roman"/>
                <w:snapToGrid w:val="0"/>
                <w:color w:val="auto"/>
                <w:kern w:val="21"/>
                <w:sz w:val="21"/>
                <w:szCs w:val="21"/>
              </w:rPr>
              <w:t>t/a</w:t>
            </w:r>
          </w:p>
        </w:tc>
        <w:tc>
          <w:tcPr>
            <w:tcW w:w="616" w:type="pct"/>
            <w:vAlign w:val="center"/>
          </w:tcPr>
          <w:p w14:paraId="1A414953">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88" w:type="pct"/>
            <w:vAlign w:val="center"/>
          </w:tcPr>
          <w:p w14:paraId="48275776">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eastAsia="zh-CN"/>
              </w:rPr>
              <w:t>7.8</w:t>
            </w:r>
            <w:r>
              <w:rPr>
                <w:rFonts w:hint="default" w:ascii="Times New Roman" w:hAnsi="Times New Roman" w:cs="Times New Roman"/>
                <w:snapToGrid w:val="0"/>
                <w:color w:val="auto"/>
                <w:kern w:val="21"/>
                <w:sz w:val="21"/>
                <w:szCs w:val="21"/>
              </w:rPr>
              <w:t>t/a</w:t>
            </w:r>
          </w:p>
        </w:tc>
        <w:tc>
          <w:tcPr>
            <w:tcW w:w="477" w:type="pct"/>
            <w:vAlign w:val="center"/>
          </w:tcPr>
          <w:p w14:paraId="5D00CF92">
            <w:pPr>
              <w:spacing w:line="240" w:lineRule="auto"/>
              <w:ind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r>
              <w:rPr>
                <w:rFonts w:hint="default" w:ascii="Times New Roman" w:hAnsi="Times New Roman" w:cs="Times New Roman"/>
                <w:snapToGrid w:val="0"/>
                <w:color w:val="auto"/>
                <w:kern w:val="21"/>
                <w:sz w:val="21"/>
                <w:szCs w:val="21"/>
                <w:lang w:eastAsia="zh-CN"/>
              </w:rPr>
              <w:t>7.8</w:t>
            </w:r>
            <w:r>
              <w:rPr>
                <w:rFonts w:hint="default" w:ascii="Times New Roman" w:hAnsi="Times New Roman" w:cs="Times New Roman"/>
                <w:snapToGrid w:val="0"/>
                <w:color w:val="auto"/>
                <w:kern w:val="21"/>
                <w:sz w:val="21"/>
                <w:szCs w:val="21"/>
              </w:rPr>
              <w:t>t/a</w:t>
            </w:r>
          </w:p>
        </w:tc>
      </w:tr>
    </w:tbl>
    <w:p w14:paraId="47ACC9A6">
      <w:pPr>
        <w:pStyle w:val="46"/>
        <w:spacing w:before="192" w:beforeLines="80" w:after="24"/>
        <w:ind w:firstLine="480"/>
        <w:jc w:val="left"/>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注：</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6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⑥</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1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①</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3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③</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4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④</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5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⑤</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7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⑦</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6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⑥</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1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①</w:t>
      </w:r>
      <w:r>
        <w:rPr>
          <w:rFonts w:hint="default" w:ascii="Times New Roman" w:hAnsi="Times New Roman" w:cs="Times New Roman"/>
          <w:snapToGrid w:val="0"/>
          <w:color w:val="auto"/>
          <w:kern w:val="21"/>
          <w:szCs w:val="21"/>
        </w:rPr>
        <w:fldChar w:fldCharType="end"/>
      </w:r>
    </w:p>
    <w:p w14:paraId="1904977A">
      <w:pPr>
        <w:ind w:firstLine="480"/>
        <w:rPr>
          <w:rFonts w:hint="default" w:ascii="Times New Roman" w:hAnsi="Times New Roman" w:cs="Times New Roman"/>
          <w:snapToGrid w:val="0"/>
          <w:color w:val="auto"/>
          <w:kern w:val="21"/>
          <w:szCs w:val="21"/>
        </w:rPr>
      </w:pPr>
    </w:p>
    <w:p w14:paraId="3AE17241">
      <w:pPr>
        <w:ind w:firstLine="0" w:firstLineChars="0"/>
        <w:rPr>
          <w:rFonts w:hint="default" w:ascii="Times New Roman" w:hAnsi="Times New Roman" w:cs="Times New Roman"/>
          <w:color w:val="auto"/>
        </w:rPr>
      </w:pPr>
    </w:p>
    <w:sectPr>
      <w:footerReference r:id="rId14" w:type="default"/>
      <w:pgSz w:w="16838" w:h="11906" w:orient="landscape"/>
      <w:pgMar w:top="1531" w:right="1701" w:bottom="1531" w:left="1701" w:header="851" w:footer="850"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79117">
    <w:pPr>
      <w:ind w:right="360" w:firstLine="360"/>
      <w:jc w:val="left"/>
      <w:rPr>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9E1AA">
    <w:pPr>
      <w:framePr w:wrap="around" w:vAnchor="text" w:hAnchor="margin" w:xAlign="center" w:y="1"/>
      <w:ind w:firstLine="360"/>
      <w:jc w:val="left"/>
      <w:rPr>
        <w:rStyle w:val="32"/>
        <w:kern w:val="0"/>
        <w:sz w:val="18"/>
        <w:szCs w:val="20"/>
      </w:rPr>
    </w:pPr>
    <w:r>
      <w:rPr>
        <w:kern w:val="0"/>
        <w:sz w:val="18"/>
        <w:szCs w:val="20"/>
      </w:rPr>
      <w:fldChar w:fldCharType="begin"/>
    </w:r>
    <w:r>
      <w:rPr>
        <w:rStyle w:val="32"/>
        <w:sz w:val="21"/>
      </w:rPr>
      <w:instrText xml:space="preserve">PAGE  </w:instrText>
    </w:r>
    <w:r>
      <w:rPr>
        <w:kern w:val="0"/>
        <w:sz w:val="18"/>
        <w:szCs w:val="20"/>
      </w:rPr>
      <w:fldChar w:fldCharType="end"/>
    </w:r>
  </w:p>
  <w:p w14:paraId="7184C999">
    <w:pPr>
      <w:ind w:right="360" w:firstLine="360"/>
      <w:jc w:val="left"/>
      <w:rPr>
        <w:kern w:val="0"/>
        <w:sz w:val="18"/>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AA59B">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8430B">
    <w:pPr>
      <w:pStyle w:val="16"/>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46759">
    <w:pPr>
      <w:pStyle w:val="16"/>
      <w:framePr w:wrap="around" w:vAnchor="text" w:hAnchor="margin" w:xAlign="center" w:y="1"/>
      <w:ind w:firstLine="360"/>
      <w:rPr>
        <w:rStyle w:val="32"/>
      </w:rPr>
    </w:pPr>
    <w:r>
      <w:fldChar w:fldCharType="begin"/>
    </w:r>
    <w:r>
      <w:rPr>
        <w:rStyle w:val="32"/>
      </w:rPr>
      <w:instrText xml:space="preserve">PAGE  </w:instrText>
    </w:r>
    <w:r>
      <w:fldChar w:fldCharType="end"/>
    </w:r>
  </w:p>
  <w:p w14:paraId="7D2D759E">
    <w:pPr>
      <w:pStyle w:val="16"/>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A9494">
    <w:pPr>
      <w:pStyle w:val="16"/>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636D1D">
                          <w:pPr>
                            <w:pStyle w:val="16"/>
                            <w:ind w:firstLine="560"/>
                            <w:jc w:val="center"/>
                            <w:rPr>
                              <w:rStyle w:val="32"/>
                              <w:rFonts w:ascii="宋体" w:hAnsi="宋体"/>
                              <w:sz w:val="28"/>
                              <w:szCs w:val="28"/>
                            </w:rPr>
                          </w:pPr>
                          <w:r>
                            <w:rPr>
                              <w:rStyle w:val="32"/>
                              <w:rFonts w:hint="eastAsia" w:ascii="宋体" w:hAnsi="宋体"/>
                              <w:sz w:val="28"/>
                              <w:szCs w:val="28"/>
                            </w:rPr>
                            <w:t>—</w:t>
                          </w:r>
                          <w:r>
                            <w:rPr>
                              <w:rStyle w:val="32"/>
                              <w:sz w:val="20"/>
                            </w:rPr>
                            <w:t xml:space="preserve">  </w:t>
                          </w:r>
                          <w:r>
                            <w:rPr>
                              <w:sz w:val="26"/>
                              <w:szCs w:val="26"/>
                            </w:rPr>
                            <w:fldChar w:fldCharType="begin"/>
                          </w:r>
                          <w:r>
                            <w:rPr>
                              <w:rStyle w:val="32"/>
                              <w:sz w:val="26"/>
                              <w:szCs w:val="26"/>
                            </w:rPr>
                            <w:instrText xml:space="preserve">PAGE  </w:instrText>
                          </w:r>
                          <w:r>
                            <w:rPr>
                              <w:sz w:val="26"/>
                              <w:szCs w:val="26"/>
                            </w:rPr>
                            <w:fldChar w:fldCharType="separate"/>
                          </w:r>
                          <w:r>
                            <w:rPr>
                              <w:rStyle w:val="32"/>
                              <w:sz w:val="26"/>
                              <w:szCs w:val="26"/>
                            </w:rPr>
                            <w:t>53</w:t>
                          </w:r>
                          <w:r>
                            <w:rPr>
                              <w:sz w:val="26"/>
                              <w:szCs w:val="26"/>
                            </w:rPr>
                            <w:fldChar w:fldCharType="end"/>
                          </w:r>
                          <w:r>
                            <w:rPr>
                              <w:rStyle w:val="32"/>
                              <w:sz w:val="20"/>
                            </w:rPr>
                            <w:t xml:space="preserve"> </w:t>
                          </w:r>
                          <w:r>
                            <w:rPr>
                              <w:rStyle w:val="32"/>
                              <w:rFonts w:hint="eastAsia" w:ascii="宋体" w:hAnsi="宋体"/>
                              <w:sz w:val="20"/>
                            </w:rPr>
                            <w:t xml:space="preserve"> </w:t>
                          </w:r>
                          <w:r>
                            <w:rPr>
                              <w:rStyle w:val="32"/>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16636D1D">
                    <w:pPr>
                      <w:pStyle w:val="16"/>
                      <w:ind w:firstLine="560"/>
                      <w:jc w:val="center"/>
                      <w:rPr>
                        <w:rStyle w:val="32"/>
                        <w:rFonts w:ascii="宋体" w:hAnsi="宋体"/>
                        <w:sz w:val="28"/>
                        <w:szCs w:val="28"/>
                      </w:rPr>
                    </w:pPr>
                    <w:r>
                      <w:rPr>
                        <w:rStyle w:val="32"/>
                        <w:rFonts w:hint="eastAsia" w:ascii="宋体" w:hAnsi="宋体"/>
                        <w:sz w:val="28"/>
                        <w:szCs w:val="28"/>
                      </w:rPr>
                      <w:t>—</w:t>
                    </w:r>
                    <w:r>
                      <w:rPr>
                        <w:rStyle w:val="32"/>
                        <w:sz w:val="20"/>
                      </w:rPr>
                      <w:t xml:space="preserve">  </w:t>
                    </w:r>
                    <w:r>
                      <w:rPr>
                        <w:sz w:val="26"/>
                        <w:szCs w:val="26"/>
                      </w:rPr>
                      <w:fldChar w:fldCharType="begin"/>
                    </w:r>
                    <w:r>
                      <w:rPr>
                        <w:rStyle w:val="32"/>
                        <w:sz w:val="26"/>
                        <w:szCs w:val="26"/>
                      </w:rPr>
                      <w:instrText xml:space="preserve">PAGE  </w:instrText>
                    </w:r>
                    <w:r>
                      <w:rPr>
                        <w:sz w:val="26"/>
                        <w:szCs w:val="26"/>
                      </w:rPr>
                      <w:fldChar w:fldCharType="separate"/>
                    </w:r>
                    <w:r>
                      <w:rPr>
                        <w:rStyle w:val="32"/>
                        <w:sz w:val="26"/>
                        <w:szCs w:val="26"/>
                      </w:rPr>
                      <w:t>53</w:t>
                    </w:r>
                    <w:r>
                      <w:rPr>
                        <w:sz w:val="26"/>
                        <w:szCs w:val="26"/>
                      </w:rPr>
                      <w:fldChar w:fldCharType="end"/>
                    </w:r>
                    <w:r>
                      <w:rPr>
                        <w:rStyle w:val="32"/>
                        <w:sz w:val="20"/>
                      </w:rPr>
                      <w:t xml:space="preserve"> </w:t>
                    </w:r>
                    <w:r>
                      <w:rPr>
                        <w:rStyle w:val="32"/>
                        <w:rFonts w:hint="eastAsia" w:ascii="宋体" w:hAnsi="宋体"/>
                        <w:sz w:val="20"/>
                      </w:rPr>
                      <w:t xml:space="preserve"> </w:t>
                    </w:r>
                    <w:r>
                      <w:rPr>
                        <w:rStyle w:val="32"/>
                        <w:rFonts w:hint="eastAsia" w:ascii="宋体" w:hAnsi="宋体"/>
                        <w:sz w:val="28"/>
                        <w:szCs w:val="28"/>
                      </w:rPr>
                      <w:t>—</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51597">
    <w:pPr>
      <w:pStyle w:val="16"/>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624E1F">
                          <w:pPr>
                            <w:pStyle w:val="16"/>
                            <w:ind w:firstLine="560"/>
                            <w:jc w:val="center"/>
                            <w:rPr>
                              <w:rStyle w:val="32"/>
                              <w:rFonts w:ascii="宋体" w:hAnsi="宋体"/>
                              <w:sz w:val="28"/>
                              <w:szCs w:val="28"/>
                            </w:rPr>
                          </w:pPr>
                          <w:r>
                            <w:rPr>
                              <w:rStyle w:val="32"/>
                              <w:rFonts w:hint="eastAsia" w:ascii="宋体" w:hAnsi="宋体"/>
                              <w:kern w:val="2"/>
                              <w:sz w:val="28"/>
                              <w:szCs w:val="28"/>
                            </w:rPr>
                            <w:t>—</w:t>
                          </w:r>
                          <w:r>
                            <w:rPr>
                              <w:rStyle w:val="32"/>
                              <w:rFonts w:hint="eastAsia" w:ascii="宋体" w:hAnsi="宋体"/>
                              <w:kern w:val="2"/>
                              <w:sz w:val="20"/>
                              <w:szCs w:val="24"/>
                            </w:rPr>
                            <w:t xml:space="preserve">  </w:t>
                          </w:r>
                          <w:r>
                            <w:rPr>
                              <w:rFonts w:ascii="宋体" w:hAnsi="宋体"/>
                              <w:sz w:val="26"/>
                              <w:szCs w:val="26"/>
                            </w:rPr>
                            <w:fldChar w:fldCharType="begin"/>
                          </w:r>
                          <w:r>
                            <w:rPr>
                              <w:rStyle w:val="32"/>
                              <w:rFonts w:ascii="宋体" w:hAnsi="宋体"/>
                              <w:kern w:val="2"/>
                              <w:sz w:val="26"/>
                              <w:szCs w:val="26"/>
                            </w:rPr>
                            <w:instrText xml:space="preserve">PAGE  </w:instrText>
                          </w:r>
                          <w:r>
                            <w:rPr>
                              <w:rFonts w:ascii="宋体" w:hAnsi="宋体"/>
                              <w:sz w:val="26"/>
                              <w:szCs w:val="26"/>
                            </w:rPr>
                            <w:fldChar w:fldCharType="separate"/>
                          </w:r>
                          <w:r>
                            <w:rPr>
                              <w:rStyle w:val="32"/>
                              <w:rFonts w:ascii="宋体" w:hAnsi="宋体"/>
                              <w:kern w:val="2"/>
                              <w:sz w:val="26"/>
                              <w:szCs w:val="26"/>
                            </w:rPr>
                            <w:t>54</w:t>
                          </w:r>
                          <w:r>
                            <w:rPr>
                              <w:rFonts w:ascii="宋体" w:hAnsi="宋体"/>
                              <w:sz w:val="26"/>
                              <w:szCs w:val="26"/>
                            </w:rPr>
                            <w:fldChar w:fldCharType="end"/>
                          </w:r>
                          <w:r>
                            <w:rPr>
                              <w:rStyle w:val="32"/>
                              <w:rFonts w:hint="eastAsia" w:ascii="宋体" w:hAnsi="宋体"/>
                              <w:kern w:val="2"/>
                              <w:sz w:val="20"/>
                              <w:szCs w:val="24"/>
                            </w:rPr>
                            <w:t xml:space="preserve">  </w:t>
                          </w:r>
                          <w:r>
                            <w:rPr>
                              <w:rStyle w:val="32"/>
                              <w:rFonts w:hint="eastAsia" w:ascii="宋体" w:hAnsi="宋体"/>
                              <w:kern w:val="2"/>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23624E1F">
                    <w:pPr>
                      <w:pStyle w:val="16"/>
                      <w:ind w:firstLine="560"/>
                      <w:jc w:val="center"/>
                      <w:rPr>
                        <w:rStyle w:val="32"/>
                        <w:rFonts w:ascii="宋体" w:hAnsi="宋体"/>
                        <w:sz w:val="28"/>
                        <w:szCs w:val="28"/>
                      </w:rPr>
                    </w:pPr>
                    <w:r>
                      <w:rPr>
                        <w:rStyle w:val="32"/>
                        <w:rFonts w:hint="eastAsia" w:ascii="宋体" w:hAnsi="宋体"/>
                        <w:kern w:val="2"/>
                        <w:sz w:val="28"/>
                        <w:szCs w:val="28"/>
                      </w:rPr>
                      <w:t>—</w:t>
                    </w:r>
                    <w:r>
                      <w:rPr>
                        <w:rStyle w:val="32"/>
                        <w:rFonts w:hint="eastAsia" w:ascii="宋体" w:hAnsi="宋体"/>
                        <w:kern w:val="2"/>
                        <w:sz w:val="20"/>
                        <w:szCs w:val="24"/>
                      </w:rPr>
                      <w:t xml:space="preserve">  </w:t>
                    </w:r>
                    <w:r>
                      <w:rPr>
                        <w:rFonts w:ascii="宋体" w:hAnsi="宋体"/>
                        <w:sz w:val="26"/>
                        <w:szCs w:val="26"/>
                      </w:rPr>
                      <w:fldChar w:fldCharType="begin"/>
                    </w:r>
                    <w:r>
                      <w:rPr>
                        <w:rStyle w:val="32"/>
                        <w:rFonts w:ascii="宋体" w:hAnsi="宋体"/>
                        <w:kern w:val="2"/>
                        <w:sz w:val="26"/>
                        <w:szCs w:val="26"/>
                      </w:rPr>
                      <w:instrText xml:space="preserve">PAGE  </w:instrText>
                    </w:r>
                    <w:r>
                      <w:rPr>
                        <w:rFonts w:ascii="宋体" w:hAnsi="宋体"/>
                        <w:sz w:val="26"/>
                        <w:szCs w:val="26"/>
                      </w:rPr>
                      <w:fldChar w:fldCharType="separate"/>
                    </w:r>
                    <w:r>
                      <w:rPr>
                        <w:rStyle w:val="32"/>
                        <w:rFonts w:ascii="宋体" w:hAnsi="宋体"/>
                        <w:kern w:val="2"/>
                        <w:sz w:val="26"/>
                        <w:szCs w:val="26"/>
                      </w:rPr>
                      <w:t>54</w:t>
                    </w:r>
                    <w:r>
                      <w:rPr>
                        <w:rFonts w:ascii="宋体" w:hAnsi="宋体"/>
                        <w:sz w:val="26"/>
                        <w:szCs w:val="26"/>
                      </w:rPr>
                      <w:fldChar w:fldCharType="end"/>
                    </w:r>
                    <w:r>
                      <w:rPr>
                        <w:rStyle w:val="32"/>
                        <w:rFonts w:hint="eastAsia" w:ascii="宋体" w:hAnsi="宋体"/>
                        <w:kern w:val="2"/>
                        <w:sz w:val="20"/>
                        <w:szCs w:val="24"/>
                      </w:rPr>
                      <w:t xml:space="preserve">  </w:t>
                    </w:r>
                    <w:r>
                      <w:rPr>
                        <w:rStyle w:val="32"/>
                        <w:rFonts w:hint="eastAsia" w:ascii="宋体" w:hAnsi="宋体"/>
                        <w:kern w:val="2"/>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962D5">
    <w:pPr>
      <w:pStyle w:val="17"/>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CB96C">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DD05B">
    <w:pPr>
      <w:pStyle w:val="1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AC54CD"/>
    <w:multiLevelType w:val="singleLevel"/>
    <w:tmpl w:val="B7AC54CD"/>
    <w:lvl w:ilvl="0" w:tentative="0">
      <w:start w:val="1"/>
      <w:numFmt w:val="decimal"/>
      <w:suff w:val="nothing"/>
      <w:lvlText w:val="%1、"/>
      <w:lvlJc w:val="left"/>
    </w:lvl>
  </w:abstractNum>
  <w:abstractNum w:abstractNumId="1">
    <w:nsid w:val="0C15A567"/>
    <w:multiLevelType w:val="singleLevel"/>
    <w:tmpl w:val="0C15A567"/>
    <w:lvl w:ilvl="0" w:tentative="0">
      <w:start w:val="2"/>
      <w:numFmt w:val="decimal"/>
      <w:suff w:val="nothing"/>
      <w:lvlText w:val="（%1）"/>
      <w:lvlJc w:val="left"/>
    </w:lvl>
  </w:abstractNum>
  <w:abstractNum w:abstractNumId="2">
    <w:nsid w:val="2ABD7765"/>
    <w:multiLevelType w:val="singleLevel"/>
    <w:tmpl w:val="2ABD7765"/>
    <w:lvl w:ilvl="0" w:tentative="0">
      <w:start w:val="1"/>
      <w:numFmt w:val="chineseCounting"/>
      <w:suff w:val="nothing"/>
      <w:lvlText w:val="%1、"/>
      <w:lvlJc w:val="left"/>
      <w:rPr>
        <w:rFonts w:hint="eastAsia"/>
      </w:rPr>
    </w:lvl>
  </w:abstractNum>
  <w:abstractNum w:abstractNumId="3">
    <w:nsid w:val="2DB485D2"/>
    <w:multiLevelType w:val="singleLevel"/>
    <w:tmpl w:val="2DB485D2"/>
    <w:lvl w:ilvl="0" w:tentative="0">
      <w:start w:val="3"/>
      <w:numFmt w:val="decimal"/>
      <w:suff w:val="nothing"/>
      <w:lvlText w:val="（%1）"/>
      <w:lvlJc w:val="left"/>
    </w:lvl>
  </w:abstractNum>
  <w:abstractNum w:abstractNumId="4">
    <w:nsid w:val="6F9BD01F"/>
    <w:multiLevelType w:val="singleLevel"/>
    <w:tmpl w:val="6F9BD01F"/>
    <w:lvl w:ilvl="0" w:tentative="0">
      <w:start w:val="1"/>
      <w:numFmt w:val="decimal"/>
      <w:suff w:val="nothing"/>
      <w:lvlText w:val="%1、"/>
      <w:lvlJc w:val="left"/>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wZWE5YzA1MTBhMDAyODQ0NDQ4MTQ2NmVmOTY3ODMifQ=="/>
  </w:docVars>
  <w:rsids>
    <w:rsidRoot w:val="00172A2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2A27"/>
    <w:rsid w:val="0017504D"/>
    <w:rsid w:val="0017671A"/>
    <w:rsid w:val="00177422"/>
    <w:rsid w:val="00184590"/>
    <w:rsid w:val="001870D1"/>
    <w:rsid w:val="0018781E"/>
    <w:rsid w:val="0019262D"/>
    <w:rsid w:val="0019749A"/>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5066"/>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4F49E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0738D"/>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D6F3B"/>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03684"/>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92817"/>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E127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820C7"/>
    <w:rsid w:val="00E9242D"/>
    <w:rsid w:val="00EB5255"/>
    <w:rsid w:val="00EB5C47"/>
    <w:rsid w:val="00EC1FBA"/>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18605D"/>
    <w:rsid w:val="01290F7E"/>
    <w:rsid w:val="012D2A2A"/>
    <w:rsid w:val="0150576A"/>
    <w:rsid w:val="015D1E09"/>
    <w:rsid w:val="01E344CA"/>
    <w:rsid w:val="022E44A8"/>
    <w:rsid w:val="02370839"/>
    <w:rsid w:val="02580D44"/>
    <w:rsid w:val="02697903"/>
    <w:rsid w:val="02881358"/>
    <w:rsid w:val="02C46BBB"/>
    <w:rsid w:val="02F96569"/>
    <w:rsid w:val="03284EBA"/>
    <w:rsid w:val="03EA7B21"/>
    <w:rsid w:val="03FA24FE"/>
    <w:rsid w:val="04133956"/>
    <w:rsid w:val="042D7E0C"/>
    <w:rsid w:val="050F6E01"/>
    <w:rsid w:val="055874E5"/>
    <w:rsid w:val="055A16C3"/>
    <w:rsid w:val="056E08C7"/>
    <w:rsid w:val="0570306E"/>
    <w:rsid w:val="05AF0C21"/>
    <w:rsid w:val="05F83EAE"/>
    <w:rsid w:val="05FC7852"/>
    <w:rsid w:val="0623168D"/>
    <w:rsid w:val="063E7D85"/>
    <w:rsid w:val="069218AF"/>
    <w:rsid w:val="070954E4"/>
    <w:rsid w:val="07113AA3"/>
    <w:rsid w:val="07293586"/>
    <w:rsid w:val="07295285"/>
    <w:rsid w:val="072B6B87"/>
    <w:rsid w:val="07636392"/>
    <w:rsid w:val="07770C56"/>
    <w:rsid w:val="077741FC"/>
    <w:rsid w:val="077D5985"/>
    <w:rsid w:val="07A36F2A"/>
    <w:rsid w:val="07DB4963"/>
    <w:rsid w:val="08476C39"/>
    <w:rsid w:val="089217FB"/>
    <w:rsid w:val="08BB612D"/>
    <w:rsid w:val="091F2D9D"/>
    <w:rsid w:val="092217DD"/>
    <w:rsid w:val="093A7294"/>
    <w:rsid w:val="0956292D"/>
    <w:rsid w:val="09736F48"/>
    <w:rsid w:val="09B704CB"/>
    <w:rsid w:val="09DD4419"/>
    <w:rsid w:val="09EF451C"/>
    <w:rsid w:val="0A263993"/>
    <w:rsid w:val="0A2D3AC2"/>
    <w:rsid w:val="0A5D4F97"/>
    <w:rsid w:val="0A8D17CD"/>
    <w:rsid w:val="0AA40330"/>
    <w:rsid w:val="0AA755DF"/>
    <w:rsid w:val="0B120D44"/>
    <w:rsid w:val="0B815649"/>
    <w:rsid w:val="0BD27BF6"/>
    <w:rsid w:val="0BD674D3"/>
    <w:rsid w:val="0C110750"/>
    <w:rsid w:val="0C3B3C7D"/>
    <w:rsid w:val="0C5C0751"/>
    <w:rsid w:val="0C674CE2"/>
    <w:rsid w:val="0CAB2EAE"/>
    <w:rsid w:val="0CC5252D"/>
    <w:rsid w:val="0CEA2448"/>
    <w:rsid w:val="0CEC4C29"/>
    <w:rsid w:val="0D1C7D1F"/>
    <w:rsid w:val="0D366907"/>
    <w:rsid w:val="0D621C7D"/>
    <w:rsid w:val="0DF212B6"/>
    <w:rsid w:val="0E046EFD"/>
    <w:rsid w:val="0E3552F6"/>
    <w:rsid w:val="0E506AEE"/>
    <w:rsid w:val="0E6A7911"/>
    <w:rsid w:val="0E73034D"/>
    <w:rsid w:val="0E7E75EC"/>
    <w:rsid w:val="0E853648"/>
    <w:rsid w:val="0EB616AF"/>
    <w:rsid w:val="0EBF04CD"/>
    <w:rsid w:val="0F13775A"/>
    <w:rsid w:val="0F225B97"/>
    <w:rsid w:val="0F382EF5"/>
    <w:rsid w:val="0F4352A8"/>
    <w:rsid w:val="0F5F45FE"/>
    <w:rsid w:val="0F8272E0"/>
    <w:rsid w:val="0F95746B"/>
    <w:rsid w:val="0F9A112B"/>
    <w:rsid w:val="0FFD6502"/>
    <w:rsid w:val="0FFF0604"/>
    <w:rsid w:val="106D2F64"/>
    <w:rsid w:val="107B31E4"/>
    <w:rsid w:val="10B63710"/>
    <w:rsid w:val="10F10820"/>
    <w:rsid w:val="10F91546"/>
    <w:rsid w:val="111C2F7A"/>
    <w:rsid w:val="115B2588"/>
    <w:rsid w:val="11665CA1"/>
    <w:rsid w:val="11D5049D"/>
    <w:rsid w:val="12583DB1"/>
    <w:rsid w:val="13951726"/>
    <w:rsid w:val="14154041"/>
    <w:rsid w:val="141E19EB"/>
    <w:rsid w:val="14374A54"/>
    <w:rsid w:val="14396509"/>
    <w:rsid w:val="14652EA0"/>
    <w:rsid w:val="14BA600C"/>
    <w:rsid w:val="14DD2C3C"/>
    <w:rsid w:val="153D1F74"/>
    <w:rsid w:val="15923799"/>
    <w:rsid w:val="15CC670D"/>
    <w:rsid w:val="15D929CF"/>
    <w:rsid w:val="15F24D5C"/>
    <w:rsid w:val="16087E1D"/>
    <w:rsid w:val="162070B4"/>
    <w:rsid w:val="16626313"/>
    <w:rsid w:val="167011E6"/>
    <w:rsid w:val="168F76BA"/>
    <w:rsid w:val="16922E00"/>
    <w:rsid w:val="16BA0877"/>
    <w:rsid w:val="16D96EDD"/>
    <w:rsid w:val="16FA3301"/>
    <w:rsid w:val="174A2D2B"/>
    <w:rsid w:val="17701D14"/>
    <w:rsid w:val="17735226"/>
    <w:rsid w:val="17815C8D"/>
    <w:rsid w:val="17A23FDC"/>
    <w:rsid w:val="17FF2717"/>
    <w:rsid w:val="181615C6"/>
    <w:rsid w:val="18626802"/>
    <w:rsid w:val="187B7DE9"/>
    <w:rsid w:val="189F624C"/>
    <w:rsid w:val="18C000BA"/>
    <w:rsid w:val="18C95CB6"/>
    <w:rsid w:val="19A64417"/>
    <w:rsid w:val="19AA220F"/>
    <w:rsid w:val="19AF66AD"/>
    <w:rsid w:val="19EC2E24"/>
    <w:rsid w:val="1A1C66C0"/>
    <w:rsid w:val="1A42393B"/>
    <w:rsid w:val="1A6D3511"/>
    <w:rsid w:val="1A944AAE"/>
    <w:rsid w:val="1A9A6727"/>
    <w:rsid w:val="1AAD45DE"/>
    <w:rsid w:val="1AC00C5D"/>
    <w:rsid w:val="1AF632D1"/>
    <w:rsid w:val="1AFC4CEC"/>
    <w:rsid w:val="1B046F80"/>
    <w:rsid w:val="1B120D2F"/>
    <w:rsid w:val="1B1C0922"/>
    <w:rsid w:val="1B1F09DB"/>
    <w:rsid w:val="1B3267B5"/>
    <w:rsid w:val="1B40161D"/>
    <w:rsid w:val="1B441859"/>
    <w:rsid w:val="1B497910"/>
    <w:rsid w:val="1B5F168A"/>
    <w:rsid w:val="1B5F1D9F"/>
    <w:rsid w:val="1B6606B1"/>
    <w:rsid w:val="1B7F4081"/>
    <w:rsid w:val="1BA84A19"/>
    <w:rsid w:val="1BAD33E8"/>
    <w:rsid w:val="1BE03ECD"/>
    <w:rsid w:val="1C0C487F"/>
    <w:rsid w:val="1C5E7925"/>
    <w:rsid w:val="1C792B00"/>
    <w:rsid w:val="1CA7004B"/>
    <w:rsid w:val="1CFD070F"/>
    <w:rsid w:val="1D5F6196"/>
    <w:rsid w:val="1D605DBE"/>
    <w:rsid w:val="1D6132A5"/>
    <w:rsid w:val="1D6D04AB"/>
    <w:rsid w:val="1D8E56D5"/>
    <w:rsid w:val="1DA64B0B"/>
    <w:rsid w:val="1DDD7D99"/>
    <w:rsid w:val="1DED6C28"/>
    <w:rsid w:val="1E7A43DA"/>
    <w:rsid w:val="1E900C2C"/>
    <w:rsid w:val="1EDC1DB3"/>
    <w:rsid w:val="1F664ED8"/>
    <w:rsid w:val="1F7B55F1"/>
    <w:rsid w:val="1FE7539E"/>
    <w:rsid w:val="1FEA7809"/>
    <w:rsid w:val="20217CB5"/>
    <w:rsid w:val="20401990"/>
    <w:rsid w:val="205719D7"/>
    <w:rsid w:val="20671BE0"/>
    <w:rsid w:val="20934037"/>
    <w:rsid w:val="20963CB8"/>
    <w:rsid w:val="20A81A1B"/>
    <w:rsid w:val="20B07FB6"/>
    <w:rsid w:val="20B646FB"/>
    <w:rsid w:val="213B74B1"/>
    <w:rsid w:val="215A2310"/>
    <w:rsid w:val="215B57B7"/>
    <w:rsid w:val="217F142F"/>
    <w:rsid w:val="21AD4F92"/>
    <w:rsid w:val="21B917BD"/>
    <w:rsid w:val="21BE6401"/>
    <w:rsid w:val="21D27FE9"/>
    <w:rsid w:val="21DE318A"/>
    <w:rsid w:val="21EF5B80"/>
    <w:rsid w:val="221842BE"/>
    <w:rsid w:val="22534E5C"/>
    <w:rsid w:val="22576990"/>
    <w:rsid w:val="22AC1FCB"/>
    <w:rsid w:val="22E6680B"/>
    <w:rsid w:val="22EF3CAF"/>
    <w:rsid w:val="22F47480"/>
    <w:rsid w:val="232735C5"/>
    <w:rsid w:val="23BD5497"/>
    <w:rsid w:val="23DE1C48"/>
    <w:rsid w:val="240210CD"/>
    <w:rsid w:val="24216B4C"/>
    <w:rsid w:val="24793672"/>
    <w:rsid w:val="2482056E"/>
    <w:rsid w:val="24BF09F7"/>
    <w:rsid w:val="25150DEE"/>
    <w:rsid w:val="252B73D9"/>
    <w:rsid w:val="252D53FE"/>
    <w:rsid w:val="25495106"/>
    <w:rsid w:val="25EC2D81"/>
    <w:rsid w:val="260F621B"/>
    <w:rsid w:val="26331DE4"/>
    <w:rsid w:val="265817E3"/>
    <w:rsid w:val="269B67CB"/>
    <w:rsid w:val="26BE379D"/>
    <w:rsid w:val="26D43A1C"/>
    <w:rsid w:val="26EB43EB"/>
    <w:rsid w:val="271C4ADA"/>
    <w:rsid w:val="273B690A"/>
    <w:rsid w:val="273C35D0"/>
    <w:rsid w:val="274D3C0D"/>
    <w:rsid w:val="277057A2"/>
    <w:rsid w:val="2823612C"/>
    <w:rsid w:val="28627533"/>
    <w:rsid w:val="286B1BB5"/>
    <w:rsid w:val="28BC00F7"/>
    <w:rsid w:val="290F6532"/>
    <w:rsid w:val="29206EB8"/>
    <w:rsid w:val="29595666"/>
    <w:rsid w:val="29623F67"/>
    <w:rsid w:val="298549F8"/>
    <w:rsid w:val="29874881"/>
    <w:rsid w:val="29E325E0"/>
    <w:rsid w:val="2A264E35"/>
    <w:rsid w:val="2A452503"/>
    <w:rsid w:val="2A45762F"/>
    <w:rsid w:val="2A510485"/>
    <w:rsid w:val="2A5A24E2"/>
    <w:rsid w:val="2A6F4FC9"/>
    <w:rsid w:val="2A76582D"/>
    <w:rsid w:val="2A9A34BB"/>
    <w:rsid w:val="2B2C0763"/>
    <w:rsid w:val="2B563865"/>
    <w:rsid w:val="2BA936A8"/>
    <w:rsid w:val="2C315A5A"/>
    <w:rsid w:val="2C4B1C25"/>
    <w:rsid w:val="2C4D184B"/>
    <w:rsid w:val="2C730B86"/>
    <w:rsid w:val="2D9E0229"/>
    <w:rsid w:val="2D9E56F5"/>
    <w:rsid w:val="2DBE60C3"/>
    <w:rsid w:val="2DE67FCD"/>
    <w:rsid w:val="2E3C47E9"/>
    <w:rsid w:val="2E486423"/>
    <w:rsid w:val="2E667F96"/>
    <w:rsid w:val="2E8119B1"/>
    <w:rsid w:val="2E8226AB"/>
    <w:rsid w:val="2F5C1DA5"/>
    <w:rsid w:val="2FB82052"/>
    <w:rsid w:val="2FD065E6"/>
    <w:rsid w:val="2FD96870"/>
    <w:rsid w:val="302A309C"/>
    <w:rsid w:val="30580BC9"/>
    <w:rsid w:val="30A423FB"/>
    <w:rsid w:val="311E2ED7"/>
    <w:rsid w:val="315619EE"/>
    <w:rsid w:val="315C449C"/>
    <w:rsid w:val="31807FCD"/>
    <w:rsid w:val="31B82709"/>
    <w:rsid w:val="31D05482"/>
    <w:rsid w:val="3238356C"/>
    <w:rsid w:val="32400B34"/>
    <w:rsid w:val="329E6876"/>
    <w:rsid w:val="32E07DD6"/>
    <w:rsid w:val="333015F2"/>
    <w:rsid w:val="334B6320"/>
    <w:rsid w:val="3394079B"/>
    <w:rsid w:val="33995376"/>
    <w:rsid w:val="33D934D4"/>
    <w:rsid w:val="33FE2F6A"/>
    <w:rsid w:val="340E07E5"/>
    <w:rsid w:val="34235BF7"/>
    <w:rsid w:val="34E86785"/>
    <w:rsid w:val="358C5FA8"/>
    <w:rsid w:val="35B5220F"/>
    <w:rsid w:val="35C15DF1"/>
    <w:rsid w:val="36074A7F"/>
    <w:rsid w:val="36146B7F"/>
    <w:rsid w:val="36923549"/>
    <w:rsid w:val="36B75FBF"/>
    <w:rsid w:val="36BD0C45"/>
    <w:rsid w:val="37B21543"/>
    <w:rsid w:val="37E00298"/>
    <w:rsid w:val="38B302F9"/>
    <w:rsid w:val="38C7603B"/>
    <w:rsid w:val="38F12CD3"/>
    <w:rsid w:val="38F94775"/>
    <w:rsid w:val="392971ED"/>
    <w:rsid w:val="39325651"/>
    <w:rsid w:val="393B4A7A"/>
    <w:rsid w:val="39A12375"/>
    <w:rsid w:val="3A0101F9"/>
    <w:rsid w:val="3A0E6EB4"/>
    <w:rsid w:val="3A872856"/>
    <w:rsid w:val="3A9065C8"/>
    <w:rsid w:val="3A94686E"/>
    <w:rsid w:val="3AB75076"/>
    <w:rsid w:val="3ABE3914"/>
    <w:rsid w:val="3B2F2DBC"/>
    <w:rsid w:val="3B3763D1"/>
    <w:rsid w:val="3B392F9B"/>
    <w:rsid w:val="3B525CBD"/>
    <w:rsid w:val="3B871A24"/>
    <w:rsid w:val="3BF1747B"/>
    <w:rsid w:val="3C242EB8"/>
    <w:rsid w:val="3C2F6E1E"/>
    <w:rsid w:val="3C3540D1"/>
    <w:rsid w:val="3C4F64BA"/>
    <w:rsid w:val="3C5D6F40"/>
    <w:rsid w:val="3C614F2B"/>
    <w:rsid w:val="3CB13731"/>
    <w:rsid w:val="3CB6466C"/>
    <w:rsid w:val="3CDA245A"/>
    <w:rsid w:val="3D1E06B7"/>
    <w:rsid w:val="3D2C0945"/>
    <w:rsid w:val="3D3F31F8"/>
    <w:rsid w:val="3D846C48"/>
    <w:rsid w:val="3D9F3D19"/>
    <w:rsid w:val="3DC508D7"/>
    <w:rsid w:val="3DFD6FA0"/>
    <w:rsid w:val="3E2914F2"/>
    <w:rsid w:val="3E444506"/>
    <w:rsid w:val="3E8C5E0C"/>
    <w:rsid w:val="3E8D5F9C"/>
    <w:rsid w:val="3ECC54E5"/>
    <w:rsid w:val="3EDA0523"/>
    <w:rsid w:val="3F201DA8"/>
    <w:rsid w:val="3F422BB5"/>
    <w:rsid w:val="3F8360DA"/>
    <w:rsid w:val="3FA10CD7"/>
    <w:rsid w:val="407A6407"/>
    <w:rsid w:val="40A12E76"/>
    <w:rsid w:val="41230533"/>
    <w:rsid w:val="4133736D"/>
    <w:rsid w:val="4142704D"/>
    <w:rsid w:val="417C262C"/>
    <w:rsid w:val="41B9630E"/>
    <w:rsid w:val="4200449D"/>
    <w:rsid w:val="42270CEC"/>
    <w:rsid w:val="423A3BCC"/>
    <w:rsid w:val="424E0C5A"/>
    <w:rsid w:val="424E57D2"/>
    <w:rsid w:val="42760D90"/>
    <w:rsid w:val="42B26C49"/>
    <w:rsid w:val="42C35036"/>
    <w:rsid w:val="43014DD9"/>
    <w:rsid w:val="433A6FE6"/>
    <w:rsid w:val="43480868"/>
    <w:rsid w:val="4350713C"/>
    <w:rsid w:val="436653E0"/>
    <w:rsid w:val="43A731E5"/>
    <w:rsid w:val="43B2409D"/>
    <w:rsid w:val="43C4431A"/>
    <w:rsid w:val="43E43C05"/>
    <w:rsid w:val="44240377"/>
    <w:rsid w:val="445B248B"/>
    <w:rsid w:val="447124E7"/>
    <w:rsid w:val="44B951CC"/>
    <w:rsid w:val="44CD14E0"/>
    <w:rsid w:val="44F20B0B"/>
    <w:rsid w:val="452E5F4C"/>
    <w:rsid w:val="45612018"/>
    <w:rsid w:val="458946E9"/>
    <w:rsid w:val="459B1803"/>
    <w:rsid w:val="45A47C0E"/>
    <w:rsid w:val="45DD100A"/>
    <w:rsid w:val="46116FEE"/>
    <w:rsid w:val="461B3B13"/>
    <w:rsid w:val="461F504F"/>
    <w:rsid w:val="463F1DAD"/>
    <w:rsid w:val="46414356"/>
    <w:rsid w:val="46577FD6"/>
    <w:rsid w:val="46816798"/>
    <w:rsid w:val="46D955A7"/>
    <w:rsid w:val="47133957"/>
    <w:rsid w:val="47595995"/>
    <w:rsid w:val="47A07E0C"/>
    <w:rsid w:val="47D06A35"/>
    <w:rsid w:val="47EB7801"/>
    <w:rsid w:val="480811B6"/>
    <w:rsid w:val="481C620A"/>
    <w:rsid w:val="483168F1"/>
    <w:rsid w:val="485F5E58"/>
    <w:rsid w:val="4870272E"/>
    <w:rsid w:val="489F2FD7"/>
    <w:rsid w:val="48F57FDF"/>
    <w:rsid w:val="491E41B9"/>
    <w:rsid w:val="49317B5C"/>
    <w:rsid w:val="493375A8"/>
    <w:rsid w:val="49DC7715"/>
    <w:rsid w:val="49EF1EDA"/>
    <w:rsid w:val="4A023139"/>
    <w:rsid w:val="4A1B48DF"/>
    <w:rsid w:val="4A3C5275"/>
    <w:rsid w:val="4A520A07"/>
    <w:rsid w:val="4A7B576F"/>
    <w:rsid w:val="4A982A48"/>
    <w:rsid w:val="4AA1326D"/>
    <w:rsid w:val="4AC22D4A"/>
    <w:rsid w:val="4AC60109"/>
    <w:rsid w:val="4ACD3AB8"/>
    <w:rsid w:val="4AF561A9"/>
    <w:rsid w:val="4BC36FDC"/>
    <w:rsid w:val="4BDF6FDB"/>
    <w:rsid w:val="4C2B3A02"/>
    <w:rsid w:val="4C395470"/>
    <w:rsid w:val="4C4A0649"/>
    <w:rsid w:val="4C4A1DC1"/>
    <w:rsid w:val="4C662F41"/>
    <w:rsid w:val="4C7E5ECA"/>
    <w:rsid w:val="4C876AA5"/>
    <w:rsid w:val="4CED2007"/>
    <w:rsid w:val="4D0E00FB"/>
    <w:rsid w:val="4D176606"/>
    <w:rsid w:val="4DBC1EED"/>
    <w:rsid w:val="4DC1386D"/>
    <w:rsid w:val="4DEC4FB0"/>
    <w:rsid w:val="4DF25957"/>
    <w:rsid w:val="4E075D8A"/>
    <w:rsid w:val="4E0B4C6B"/>
    <w:rsid w:val="4E160F54"/>
    <w:rsid w:val="4E314A33"/>
    <w:rsid w:val="4E4224BF"/>
    <w:rsid w:val="4EC00FAD"/>
    <w:rsid w:val="4F8B5111"/>
    <w:rsid w:val="4F9843DC"/>
    <w:rsid w:val="4FB62513"/>
    <w:rsid w:val="4FBB7FCB"/>
    <w:rsid w:val="4FC62A8C"/>
    <w:rsid w:val="4FE20F0D"/>
    <w:rsid w:val="4FE51552"/>
    <w:rsid w:val="4FFA5AE0"/>
    <w:rsid w:val="5039786D"/>
    <w:rsid w:val="50504C4B"/>
    <w:rsid w:val="50673B58"/>
    <w:rsid w:val="509C6E7C"/>
    <w:rsid w:val="50C76EAB"/>
    <w:rsid w:val="50CF4226"/>
    <w:rsid w:val="5162104E"/>
    <w:rsid w:val="522662FA"/>
    <w:rsid w:val="52842182"/>
    <w:rsid w:val="53A039CC"/>
    <w:rsid w:val="53A1505A"/>
    <w:rsid w:val="54063E08"/>
    <w:rsid w:val="542D5CAB"/>
    <w:rsid w:val="543437E8"/>
    <w:rsid w:val="543C0C1E"/>
    <w:rsid w:val="5454168F"/>
    <w:rsid w:val="54A749AC"/>
    <w:rsid w:val="54E22220"/>
    <w:rsid w:val="54F73313"/>
    <w:rsid w:val="54F80955"/>
    <w:rsid w:val="553E79BD"/>
    <w:rsid w:val="555170A7"/>
    <w:rsid w:val="5587536D"/>
    <w:rsid w:val="559B174B"/>
    <w:rsid w:val="55AF7AF8"/>
    <w:rsid w:val="55CE0CF4"/>
    <w:rsid w:val="56444033"/>
    <w:rsid w:val="566832A7"/>
    <w:rsid w:val="56767956"/>
    <w:rsid w:val="56B22A9C"/>
    <w:rsid w:val="56CA0F38"/>
    <w:rsid w:val="56EF4E23"/>
    <w:rsid w:val="56FF1B50"/>
    <w:rsid w:val="571560F0"/>
    <w:rsid w:val="57483E1C"/>
    <w:rsid w:val="57505ECD"/>
    <w:rsid w:val="57B72A76"/>
    <w:rsid w:val="57C3426C"/>
    <w:rsid w:val="57CE1F93"/>
    <w:rsid w:val="584C7892"/>
    <w:rsid w:val="58590DB8"/>
    <w:rsid w:val="588743D1"/>
    <w:rsid w:val="5887701A"/>
    <w:rsid w:val="58F033DB"/>
    <w:rsid w:val="596C4EAE"/>
    <w:rsid w:val="59C0439F"/>
    <w:rsid w:val="59CB713E"/>
    <w:rsid w:val="5A137336"/>
    <w:rsid w:val="5ABE2233"/>
    <w:rsid w:val="5AC12B45"/>
    <w:rsid w:val="5B091371"/>
    <w:rsid w:val="5B0F56DC"/>
    <w:rsid w:val="5B25224C"/>
    <w:rsid w:val="5B626176"/>
    <w:rsid w:val="5B651E98"/>
    <w:rsid w:val="5B873B91"/>
    <w:rsid w:val="5BC8035A"/>
    <w:rsid w:val="5BDF5D95"/>
    <w:rsid w:val="5BF130FF"/>
    <w:rsid w:val="5BFE7528"/>
    <w:rsid w:val="5C042965"/>
    <w:rsid w:val="5C1827AA"/>
    <w:rsid w:val="5C2C5356"/>
    <w:rsid w:val="5D1F7442"/>
    <w:rsid w:val="5D287075"/>
    <w:rsid w:val="5D460138"/>
    <w:rsid w:val="5E042703"/>
    <w:rsid w:val="5E0D7C2B"/>
    <w:rsid w:val="5E2467F1"/>
    <w:rsid w:val="5E273154"/>
    <w:rsid w:val="5E2A0C78"/>
    <w:rsid w:val="5E457184"/>
    <w:rsid w:val="5F1A2B43"/>
    <w:rsid w:val="5F1E3DDA"/>
    <w:rsid w:val="5F1F01EF"/>
    <w:rsid w:val="5F3651FA"/>
    <w:rsid w:val="5F6679D6"/>
    <w:rsid w:val="5F847CF6"/>
    <w:rsid w:val="5FB837BB"/>
    <w:rsid w:val="5FE91459"/>
    <w:rsid w:val="5FED72CE"/>
    <w:rsid w:val="60630DE6"/>
    <w:rsid w:val="60CC405A"/>
    <w:rsid w:val="60E506DF"/>
    <w:rsid w:val="60EA6962"/>
    <w:rsid w:val="6138446C"/>
    <w:rsid w:val="614D4CCB"/>
    <w:rsid w:val="61E215D8"/>
    <w:rsid w:val="620811EA"/>
    <w:rsid w:val="621B3775"/>
    <w:rsid w:val="62364782"/>
    <w:rsid w:val="62455F37"/>
    <w:rsid w:val="625806B7"/>
    <w:rsid w:val="62595B4D"/>
    <w:rsid w:val="629F6FB6"/>
    <w:rsid w:val="62DB6133"/>
    <w:rsid w:val="631E1F16"/>
    <w:rsid w:val="636517E3"/>
    <w:rsid w:val="6394356A"/>
    <w:rsid w:val="6399771A"/>
    <w:rsid w:val="63A20C89"/>
    <w:rsid w:val="63C61B2C"/>
    <w:rsid w:val="63D40BE9"/>
    <w:rsid w:val="64102431"/>
    <w:rsid w:val="64A5243A"/>
    <w:rsid w:val="64F531DE"/>
    <w:rsid w:val="65373578"/>
    <w:rsid w:val="65462075"/>
    <w:rsid w:val="657A2019"/>
    <w:rsid w:val="658A64C9"/>
    <w:rsid w:val="65957384"/>
    <w:rsid w:val="65A75ABB"/>
    <w:rsid w:val="65C34F34"/>
    <w:rsid w:val="65C82E8C"/>
    <w:rsid w:val="66376376"/>
    <w:rsid w:val="66CD6B11"/>
    <w:rsid w:val="66CE34DD"/>
    <w:rsid w:val="67080C37"/>
    <w:rsid w:val="671A2A6A"/>
    <w:rsid w:val="671F124A"/>
    <w:rsid w:val="672E7160"/>
    <w:rsid w:val="677A33C6"/>
    <w:rsid w:val="679338AF"/>
    <w:rsid w:val="67D22629"/>
    <w:rsid w:val="67D848DC"/>
    <w:rsid w:val="681E2B93"/>
    <w:rsid w:val="681F6961"/>
    <w:rsid w:val="685C7740"/>
    <w:rsid w:val="68610A2F"/>
    <w:rsid w:val="68805514"/>
    <w:rsid w:val="68AB4C36"/>
    <w:rsid w:val="68B44968"/>
    <w:rsid w:val="68C618CA"/>
    <w:rsid w:val="68CF0C2C"/>
    <w:rsid w:val="690354EB"/>
    <w:rsid w:val="691F7D1D"/>
    <w:rsid w:val="69316E2F"/>
    <w:rsid w:val="694E2071"/>
    <w:rsid w:val="696F3F82"/>
    <w:rsid w:val="69766163"/>
    <w:rsid w:val="697A3B33"/>
    <w:rsid w:val="699E2302"/>
    <w:rsid w:val="69D44760"/>
    <w:rsid w:val="6A115738"/>
    <w:rsid w:val="6A520EC7"/>
    <w:rsid w:val="6A600757"/>
    <w:rsid w:val="6A644058"/>
    <w:rsid w:val="6A6D606D"/>
    <w:rsid w:val="6AE02197"/>
    <w:rsid w:val="6AF87E20"/>
    <w:rsid w:val="6B1F39F5"/>
    <w:rsid w:val="6B322639"/>
    <w:rsid w:val="6B783575"/>
    <w:rsid w:val="6B9B2AC8"/>
    <w:rsid w:val="6BA338F5"/>
    <w:rsid w:val="6BA6003A"/>
    <w:rsid w:val="6BCE2E4D"/>
    <w:rsid w:val="6BFE0C7E"/>
    <w:rsid w:val="6C636C38"/>
    <w:rsid w:val="6C8906E7"/>
    <w:rsid w:val="6CCD4DAA"/>
    <w:rsid w:val="6D512062"/>
    <w:rsid w:val="6D6B4AC6"/>
    <w:rsid w:val="6D824A42"/>
    <w:rsid w:val="6DB34098"/>
    <w:rsid w:val="6DB545B6"/>
    <w:rsid w:val="6DE02FB4"/>
    <w:rsid w:val="6DE2616D"/>
    <w:rsid w:val="6E3F209B"/>
    <w:rsid w:val="6E514CED"/>
    <w:rsid w:val="6EB563D5"/>
    <w:rsid w:val="6EB8331F"/>
    <w:rsid w:val="6EC12E29"/>
    <w:rsid w:val="6ED92677"/>
    <w:rsid w:val="6F221C1D"/>
    <w:rsid w:val="6F225983"/>
    <w:rsid w:val="6F8D1186"/>
    <w:rsid w:val="6FCC5BB0"/>
    <w:rsid w:val="6FFC5590"/>
    <w:rsid w:val="700953A5"/>
    <w:rsid w:val="705D39B8"/>
    <w:rsid w:val="706D1DD0"/>
    <w:rsid w:val="70856B87"/>
    <w:rsid w:val="70B14DA6"/>
    <w:rsid w:val="70C26FB3"/>
    <w:rsid w:val="70CB40BA"/>
    <w:rsid w:val="70D527EE"/>
    <w:rsid w:val="70D66B0F"/>
    <w:rsid w:val="7116145C"/>
    <w:rsid w:val="715B5300"/>
    <w:rsid w:val="717B5B1E"/>
    <w:rsid w:val="71CE77F1"/>
    <w:rsid w:val="71D27F8A"/>
    <w:rsid w:val="72101C57"/>
    <w:rsid w:val="72553024"/>
    <w:rsid w:val="72EA57AF"/>
    <w:rsid w:val="72EE3F9B"/>
    <w:rsid w:val="73122968"/>
    <w:rsid w:val="731F5D5E"/>
    <w:rsid w:val="73321747"/>
    <w:rsid w:val="733A76F4"/>
    <w:rsid w:val="73693957"/>
    <w:rsid w:val="737A05B1"/>
    <w:rsid w:val="73C51AD5"/>
    <w:rsid w:val="73D239B1"/>
    <w:rsid w:val="73E51B8B"/>
    <w:rsid w:val="73EA7FC1"/>
    <w:rsid w:val="741E793C"/>
    <w:rsid w:val="744C3777"/>
    <w:rsid w:val="745E3944"/>
    <w:rsid w:val="745F5C54"/>
    <w:rsid w:val="7468105F"/>
    <w:rsid w:val="746C70A8"/>
    <w:rsid w:val="75584AEF"/>
    <w:rsid w:val="758C2F67"/>
    <w:rsid w:val="759D4AED"/>
    <w:rsid w:val="7635099D"/>
    <w:rsid w:val="763B0960"/>
    <w:rsid w:val="76484017"/>
    <w:rsid w:val="7651503D"/>
    <w:rsid w:val="765C4B26"/>
    <w:rsid w:val="77276C40"/>
    <w:rsid w:val="7737391E"/>
    <w:rsid w:val="77762421"/>
    <w:rsid w:val="77764653"/>
    <w:rsid w:val="77795190"/>
    <w:rsid w:val="77B56B1F"/>
    <w:rsid w:val="780F09F4"/>
    <w:rsid w:val="783A38D3"/>
    <w:rsid w:val="7879089F"/>
    <w:rsid w:val="78997A19"/>
    <w:rsid w:val="789E75CC"/>
    <w:rsid w:val="78A90480"/>
    <w:rsid w:val="78DE1FAA"/>
    <w:rsid w:val="78F476BB"/>
    <w:rsid w:val="792F6035"/>
    <w:rsid w:val="794F68D6"/>
    <w:rsid w:val="79A351D5"/>
    <w:rsid w:val="79BE0C60"/>
    <w:rsid w:val="7A0E5E15"/>
    <w:rsid w:val="7A364017"/>
    <w:rsid w:val="7A8265E1"/>
    <w:rsid w:val="7A995229"/>
    <w:rsid w:val="7B4E023F"/>
    <w:rsid w:val="7B686D42"/>
    <w:rsid w:val="7B841746"/>
    <w:rsid w:val="7BD6090E"/>
    <w:rsid w:val="7BFC4D26"/>
    <w:rsid w:val="7C0D37D8"/>
    <w:rsid w:val="7C0D46BD"/>
    <w:rsid w:val="7C233C57"/>
    <w:rsid w:val="7C5F2160"/>
    <w:rsid w:val="7C6C5AC7"/>
    <w:rsid w:val="7CC6544B"/>
    <w:rsid w:val="7CDE0E04"/>
    <w:rsid w:val="7CF46746"/>
    <w:rsid w:val="7D0239FF"/>
    <w:rsid w:val="7D11405A"/>
    <w:rsid w:val="7D2C1CC9"/>
    <w:rsid w:val="7D5B357A"/>
    <w:rsid w:val="7D5E40CD"/>
    <w:rsid w:val="7DCD56F2"/>
    <w:rsid w:val="7DF31A3E"/>
    <w:rsid w:val="7DF804B8"/>
    <w:rsid w:val="7DFF21E2"/>
    <w:rsid w:val="7E4D4AD2"/>
    <w:rsid w:val="7E563698"/>
    <w:rsid w:val="7F001CE7"/>
    <w:rsid w:val="7F9E1A24"/>
    <w:rsid w:val="7FA32001"/>
    <w:rsid w:val="7FA662BC"/>
    <w:rsid w:val="7FD54B83"/>
    <w:rsid w:val="7FD73DEC"/>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nhideWhenUsed="0" w:uiPriority="0" w:semiHidden="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99"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qFormat="1"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60" w:lineRule="auto"/>
      <w:ind w:firstLine="720"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autoRedefine/>
    <w:qFormat/>
    <w:locked/>
    <w:uiPriority w:val="99"/>
    <w:pPr>
      <w:keepNext/>
      <w:overflowPunct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autoRedefine/>
    <w:qFormat/>
    <w:locked/>
    <w:uiPriority w:val="99"/>
    <w:pPr>
      <w:keepNext/>
      <w:keepLines/>
      <w:spacing w:before="260" w:after="260" w:line="416" w:lineRule="auto"/>
      <w:jc w:val="center"/>
      <w:outlineLvl w:val="1"/>
    </w:pPr>
    <w:rPr>
      <w:rFonts w:ascii="Arial" w:hAnsi="Arial" w:eastAsia="黑体" w:cs="Arial"/>
      <w:sz w:val="32"/>
      <w:szCs w:val="32"/>
    </w:rPr>
  </w:style>
  <w:style w:type="paragraph" w:styleId="4">
    <w:name w:val="heading 3"/>
    <w:basedOn w:val="1"/>
    <w:next w:val="1"/>
    <w:autoRedefine/>
    <w:qFormat/>
    <w:locked/>
    <w:uiPriority w:val="0"/>
    <w:pPr>
      <w:keepNext/>
      <w:keepLines/>
      <w:spacing w:before="260" w:after="260" w:line="416" w:lineRule="auto"/>
      <w:outlineLvl w:val="2"/>
    </w:pPr>
    <w:rPr>
      <w:b/>
      <w:bCs/>
      <w:kern w:val="0"/>
      <w:sz w:val="32"/>
      <w:szCs w:val="32"/>
    </w:rPr>
  </w:style>
  <w:style w:type="paragraph" w:styleId="5">
    <w:name w:val="heading 4"/>
    <w:basedOn w:val="1"/>
    <w:next w:val="1"/>
    <w:autoRedefine/>
    <w:qFormat/>
    <w:locked/>
    <w:uiPriority w:val="9"/>
    <w:pPr>
      <w:keepNext/>
      <w:keepLines/>
      <w:ind w:firstLine="0" w:firstLineChars="0"/>
      <w:outlineLvl w:val="3"/>
    </w:pPr>
    <w:rPr>
      <w:b/>
      <w:bCs/>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locked/>
    <w:uiPriority w:val="99"/>
    <w:pPr>
      <w:ind w:firstLine="420"/>
    </w:pPr>
    <w:rPr>
      <w:szCs w:val="20"/>
    </w:rPr>
  </w:style>
  <w:style w:type="paragraph" w:styleId="7">
    <w:name w:val="annotation text"/>
    <w:basedOn w:val="1"/>
    <w:link w:val="36"/>
    <w:autoRedefine/>
    <w:semiHidden/>
    <w:qFormat/>
    <w:uiPriority w:val="0"/>
    <w:pPr>
      <w:jc w:val="left"/>
    </w:pPr>
    <w:rPr>
      <w:kern w:val="0"/>
      <w:szCs w:val="20"/>
    </w:rPr>
  </w:style>
  <w:style w:type="paragraph" w:styleId="8">
    <w:name w:val="Body Text"/>
    <w:basedOn w:val="1"/>
    <w:next w:val="1"/>
    <w:link w:val="37"/>
    <w:autoRedefine/>
    <w:qFormat/>
    <w:uiPriority w:val="0"/>
    <w:pPr>
      <w:widowControl/>
      <w:spacing w:before="60" w:after="160" w:line="259" w:lineRule="auto"/>
      <w:ind w:right="113"/>
    </w:pPr>
    <w:rPr>
      <w:kern w:val="0"/>
      <w:sz w:val="18"/>
      <w:szCs w:val="20"/>
    </w:rPr>
  </w:style>
  <w:style w:type="paragraph" w:styleId="9">
    <w:name w:val="Body Text Indent"/>
    <w:basedOn w:val="1"/>
    <w:link w:val="38"/>
    <w:autoRedefine/>
    <w:qFormat/>
    <w:uiPriority w:val="0"/>
    <w:pPr>
      <w:spacing w:after="120"/>
      <w:ind w:left="420" w:leftChars="200"/>
    </w:pPr>
    <w:rPr>
      <w:kern w:val="0"/>
      <w:szCs w:val="20"/>
    </w:rPr>
  </w:style>
  <w:style w:type="paragraph" w:styleId="10">
    <w:name w:val="Block Text"/>
    <w:basedOn w:val="1"/>
    <w:autoRedefine/>
    <w:qFormat/>
    <w:locked/>
    <w:uiPriority w:val="0"/>
    <w:pPr>
      <w:autoSpaceDE w:val="0"/>
      <w:autoSpaceDN w:val="0"/>
      <w:spacing w:line="480" w:lineRule="auto"/>
      <w:ind w:left="57" w:right="57" w:firstLine="570"/>
    </w:pPr>
    <w:rPr>
      <w:rFonts w:hint="eastAsia" w:ascii="仿宋_GB2312" w:hAnsi="宋体" w:eastAsia="仿宋_GB2312"/>
      <w:b/>
      <w:color w:val="000000"/>
      <w:kern w:val="0"/>
      <w:sz w:val="28"/>
      <w:szCs w:val="20"/>
    </w:rPr>
  </w:style>
  <w:style w:type="paragraph" w:styleId="11">
    <w:name w:val="Plain Text"/>
    <w:basedOn w:val="1"/>
    <w:autoRedefine/>
    <w:qFormat/>
    <w:locked/>
    <w:uiPriority w:val="0"/>
    <w:pPr>
      <w:spacing w:line="240" w:lineRule="atLeast"/>
    </w:pPr>
    <w:rPr>
      <w:rFonts w:ascii="宋体" w:hAnsi="Courier New"/>
      <w:sz w:val="28"/>
      <w:szCs w:val="21"/>
    </w:rPr>
  </w:style>
  <w:style w:type="paragraph" w:styleId="12">
    <w:name w:val="toc 8"/>
    <w:next w:val="1"/>
    <w:qFormat/>
    <w:locked/>
    <w:uiPriority w:val="0"/>
    <w:pPr>
      <w:widowControl w:val="0"/>
      <w:ind w:left="1470"/>
    </w:pPr>
    <w:rPr>
      <w:rFonts w:ascii="Times New Roman" w:hAnsi="Times New Roman" w:eastAsia="宋体" w:cs="Times New Roman"/>
      <w:kern w:val="2"/>
      <w:sz w:val="18"/>
      <w:szCs w:val="18"/>
      <w:lang w:val="en-US" w:eastAsia="zh-CN" w:bidi="ar-SA"/>
    </w:rPr>
  </w:style>
  <w:style w:type="paragraph" w:styleId="13">
    <w:name w:val="Date"/>
    <w:basedOn w:val="1"/>
    <w:next w:val="1"/>
    <w:link w:val="39"/>
    <w:autoRedefine/>
    <w:qFormat/>
    <w:uiPriority w:val="0"/>
    <w:pPr>
      <w:ind w:left="100" w:leftChars="2500"/>
    </w:pPr>
    <w:rPr>
      <w:kern w:val="0"/>
      <w:szCs w:val="20"/>
    </w:rPr>
  </w:style>
  <w:style w:type="paragraph" w:styleId="14">
    <w:name w:val="Body Text Indent 2"/>
    <w:next w:val="1"/>
    <w:qFormat/>
    <w:locked/>
    <w:uiPriority w:val="0"/>
    <w:pPr>
      <w:widowControl w:val="0"/>
      <w:spacing w:after="120" w:line="480" w:lineRule="auto"/>
      <w:ind w:left="420" w:leftChars="200"/>
      <w:jc w:val="both"/>
    </w:pPr>
    <w:rPr>
      <w:rFonts w:ascii="Times New Roman" w:hAnsi="Times New Roman" w:eastAsia="仿宋_GB2312" w:cs="Times New Roman"/>
      <w:kern w:val="2"/>
      <w:sz w:val="28"/>
      <w:szCs w:val="24"/>
      <w:lang w:val="en-US" w:eastAsia="zh-CN" w:bidi="ar-SA"/>
    </w:rPr>
  </w:style>
  <w:style w:type="paragraph" w:styleId="15">
    <w:name w:val="Balloon Text"/>
    <w:basedOn w:val="1"/>
    <w:link w:val="40"/>
    <w:autoRedefine/>
    <w:semiHidden/>
    <w:qFormat/>
    <w:uiPriority w:val="0"/>
    <w:rPr>
      <w:kern w:val="0"/>
      <w:sz w:val="18"/>
      <w:szCs w:val="20"/>
    </w:rPr>
  </w:style>
  <w:style w:type="paragraph" w:styleId="16">
    <w:name w:val="footer"/>
    <w:basedOn w:val="1"/>
    <w:link w:val="41"/>
    <w:autoRedefine/>
    <w:qFormat/>
    <w:uiPriority w:val="99"/>
    <w:pPr>
      <w:tabs>
        <w:tab w:val="center" w:pos="4153"/>
        <w:tab w:val="right" w:pos="8306"/>
      </w:tabs>
      <w:jc w:val="left"/>
    </w:pPr>
    <w:rPr>
      <w:kern w:val="0"/>
      <w:sz w:val="18"/>
      <w:szCs w:val="20"/>
    </w:rPr>
  </w:style>
  <w:style w:type="paragraph" w:styleId="17">
    <w:name w:val="header"/>
    <w:basedOn w:val="1"/>
    <w:next w:val="18"/>
    <w:link w:val="42"/>
    <w:autoRedefine/>
    <w:qFormat/>
    <w:uiPriority w:val="0"/>
    <w:pPr>
      <w:pBdr>
        <w:bottom w:val="single" w:color="auto" w:sz="6" w:space="1"/>
      </w:pBdr>
      <w:tabs>
        <w:tab w:val="center" w:pos="4153"/>
        <w:tab w:val="right" w:pos="8306"/>
      </w:tabs>
      <w:jc w:val="center"/>
    </w:pPr>
    <w:rPr>
      <w:kern w:val="0"/>
      <w:sz w:val="18"/>
      <w:szCs w:val="20"/>
    </w:rPr>
  </w:style>
  <w:style w:type="paragraph" w:customStyle="1" w:styleId="18">
    <w:name w:val="样式5"/>
    <w:basedOn w:val="19"/>
    <w:next w:val="1"/>
    <w:qFormat/>
    <w:uiPriority w:val="0"/>
    <w:pPr>
      <w:spacing w:line="380" w:lineRule="exact"/>
      <w:ind w:firstLine="566" w:firstLineChars="202"/>
    </w:pPr>
    <w:rPr>
      <w:rFonts w:eastAsia="华文行楷"/>
      <w:sz w:val="28"/>
    </w:rPr>
  </w:style>
  <w:style w:type="paragraph" w:customStyle="1" w:styleId="19">
    <w:name w:val="样式3"/>
    <w:basedOn w:val="1"/>
    <w:next w:val="8"/>
    <w:qFormat/>
    <w:uiPriority w:val="0"/>
    <w:pPr>
      <w:ind w:firstLine="539"/>
      <w:jc w:val="center"/>
    </w:pPr>
    <w:rPr>
      <w:rFonts w:ascii="黑体" w:hAnsi="宋体" w:eastAsia="黑体"/>
      <w:color w:val="000000"/>
    </w:rPr>
  </w:style>
  <w:style w:type="paragraph" w:styleId="20">
    <w:name w:val="toc 1"/>
    <w:basedOn w:val="1"/>
    <w:next w:val="1"/>
    <w:autoRedefine/>
    <w:semiHidden/>
    <w:qFormat/>
    <w:locked/>
    <w:uiPriority w:val="99"/>
  </w:style>
  <w:style w:type="paragraph" w:styleId="21">
    <w:name w:val="toc 6"/>
    <w:basedOn w:val="1"/>
    <w:next w:val="1"/>
    <w:autoRedefine/>
    <w:qFormat/>
    <w:locked/>
    <w:uiPriority w:val="0"/>
    <w:pPr>
      <w:ind w:left="1050"/>
      <w:jc w:val="left"/>
    </w:pPr>
    <w:rPr>
      <w:sz w:val="18"/>
      <w:szCs w:val="18"/>
    </w:rPr>
  </w:style>
  <w:style w:type="paragraph" w:styleId="22">
    <w:name w:val="table of figures"/>
    <w:basedOn w:val="1"/>
    <w:next w:val="1"/>
    <w:autoRedefine/>
    <w:qFormat/>
    <w:locked/>
    <w:uiPriority w:val="0"/>
    <w:pPr>
      <w:adjustRightInd/>
      <w:snapToGrid/>
      <w:ind w:left="200" w:leftChars="200" w:hanging="200" w:hangingChars="200"/>
    </w:pPr>
    <w:rPr>
      <w:sz w:val="21"/>
    </w:rPr>
  </w:style>
  <w:style w:type="paragraph" w:styleId="23">
    <w:name w:val="Normal (Web)"/>
    <w:basedOn w:val="1"/>
    <w:next w:val="12"/>
    <w:link w:val="43"/>
    <w:autoRedefine/>
    <w:qFormat/>
    <w:uiPriority w:val="0"/>
    <w:pPr>
      <w:widowControl/>
      <w:spacing w:before="100" w:beforeAutospacing="1" w:after="100" w:afterAutospacing="1"/>
      <w:jc w:val="left"/>
    </w:pPr>
    <w:rPr>
      <w:rFonts w:ascii="宋体" w:hAnsi="宋体"/>
      <w:kern w:val="0"/>
      <w:szCs w:val="20"/>
    </w:rPr>
  </w:style>
  <w:style w:type="paragraph" w:styleId="24">
    <w:name w:val="Title"/>
    <w:basedOn w:val="1"/>
    <w:next w:val="1"/>
    <w:autoRedefine/>
    <w:qFormat/>
    <w:locked/>
    <w:uiPriority w:val="0"/>
    <w:pPr>
      <w:spacing w:line="240" w:lineRule="auto"/>
      <w:ind w:firstLine="0" w:firstLineChars="0"/>
      <w:jc w:val="center"/>
    </w:pPr>
    <w:rPr>
      <w:bCs/>
      <w:kern w:val="0"/>
      <w:sz w:val="20"/>
      <w:szCs w:val="32"/>
    </w:rPr>
  </w:style>
  <w:style w:type="paragraph" w:styleId="25">
    <w:name w:val="annotation subject"/>
    <w:basedOn w:val="7"/>
    <w:next w:val="7"/>
    <w:link w:val="44"/>
    <w:autoRedefine/>
    <w:semiHidden/>
    <w:qFormat/>
    <w:uiPriority w:val="0"/>
    <w:rPr>
      <w:b/>
    </w:rPr>
  </w:style>
  <w:style w:type="paragraph" w:styleId="26">
    <w:name w:val="Body Text First Indent"/>
    <w:basedOn w:val="8"/>
    <w:autoRedefine/>
    <w:qFormat/>
    <w:locked/>
    <w:uiPriority w:val="0"/>
    <w:pPr>
      <w:ind w:firstLine="420" w:firstLineChars="100"/>
    </w:pPr>
    <w:rPr>
      <w:szCs w:val="21"/>
    </w:rPr>
  </w:style>
  <w:style w:type="paragraph" w:styleId="27">
    <w:name w:val="Body Text First Indent 2"/>
    <w:basedOn w:val="9"/>
    <w:autoRedefine/>
    <w:qFormat/>
    <w:locked/>
    <w:uiPriority w:val="0"/>
    <w:pPr>
      <w:ind w:firstLine="420"/>
    </w:pPr>
    <w:rPr>
      <w:sz w:val="21"/>
    </w:rPr>
  </w:style>
  <w:style w:type="table" w:styleId="29">
    <w:name w:val="Table Grid"/>
    <w:basedOn w:val="2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qFormat/>
    <w:locked/>
    <w:uiPriority w:val="0"/>
    <w:rPr>
      <w:b/>
      <w:bCs/>
    </w:rPr>
  </w:style>
  <w:style w:type="character" w:styleId="32">
    <w:name w:val="page number"/>
    <w:basedOn w:val="30"/>
    <w:autoRedefine/>
    <w:qFormat/>
    <w:locked/>
    <w:uiPriority w:val="0"/>
  </w:style>
  <w:style w:type="character" w:styleId="33">
    <w:name w:val="annotation reference"/>
    <w:autoRedefine/>
    <w:semiHidden/>
    <w:qFormat/>
    <w:uiPriority w:val="0"/>
    <w:rPr>
      <w:sz w:val="21"/>
    </w:rPr>
  </w:style>
  <w:style w:type="paragraph" w:customStyle="1" w:styleId="34">
    <w:name w:val="Default"/>
    <w:basedOn w:val="35"/>
    <w:autoRedefine/>
    <w:qFormat/>
    <w:uiPriority w:val="0"/>
    <w:rPr>
      <w:rFonts w:ascii="仿宋_GB2312" w:eastAsia="仿宋_GB2312" w:cs="仿宋_GB2312"/>
      <w:color w:val="000000"/>
      <w:szCs w:val="24"/>
    </w:rPr>
  </w:style>
  <w:style w:type="paragraph" w:customStyle="1" w:styleId="35">
    <w:name w:val="纯文本1"/>
    <w:basedOn w:val="1"/>
    <w:autoRedefine/>
    <w:qFormat/>
    <w:uiPriority w:val="99"/>
    <w:pPr>
      <w:autoSpaceDE w:val="0"/>
      <w:autoSpaceDN w:val="0"/>
      <w:textAlignment w:val="baseline"/>
    </w:pPr>
    <w:rPr>
      <w:rFonts w:ascii="宋体"/>
      <w:szCs w:val="20"/>
    </w:rPr>
  </w:style>
  <w:style w:type="character" w:customStyle="1" w:styleId="36">
    <w:name w:val="批注文字 Char"/>
    <w:link w:val="7"/>
    <w:autoRedefine/>
    <w:qFormat/>
    <w:locked/>
    <w:uiPriority w:val="0"/>
    <w:rPr>
      <w:rFonts w:ascii="Times New Roman" w:hAnsi="Times New Roman" w:eastAsia="宋体"/>
      <w:sz w:val="24"/>
    </w:rPr>
  </w:style>
  <w:style w:type="character" w:customStyle="1" w:styleId="37">
    <w:name w:val="正文文本 Char"/>
    <w:link w:val="8"/>
    <w:autoRedefine/>
    <w:qFormat/>
    <w:locked/>
    <w:uiPriority w:val="0"/>
    <w:rPr>
      <w:sz w:val="18"/>
    </w:rPr>
  </w:style>
  <w:style w:type="character" w:customStyle="1" w:styleId="38">
    <w:name w:val="正文文本缩进 Char"/>
    <w:link w:val="9"/>
    <w:autoRedefine/>
    <w:semiHidden/>
    <w:qFormat/>
    <w:locked/>
    <w:uiPriority w:val="0"/>
    <w:rPr>
      <w:rFonts w:ascii="Times New Roman" w:hAnsi="Times New Roman" w:eastAsia="宋体"/>
      <w:sz w:val="24"/>
    </w:rPr>
  </w:style>
  <w:style w:type="character" w:customStyle="1" w:styleId="39">
    <w:name w:val="日期 Char"/>
    <w:link w:val="13"/>
    <w:autoRedefine/>
    <w:qFormat/>
    <w:locked/>
    <w:uiPriority w:val="0"/>
    <w:rPr>
      <w:rFonts w:ascii="Times New Roman" w:hAnsi="Times New Roman" w:eastAsia="宋体"/>
      <w:sz w:val="24"/>
    </w:rPr>
  </w:style>
  <w:style w:type="character" w:customStyle="1" w:styleId="40">
    <w:name w:val="批注框文本 Char"/>
    <w:link w:val="15"/>
    <w:autoRedefine/>
    <w:semiHidden/>
    <w:qFormat/>
    <w:locked/>
    <w:uiPriority w:val="0"/>
    <w:rPr>
      <w:rFonts w:ascii="Times New Roman" w:hAnsi="Times New Roman" w:eastAsia="宋体"/>
      <w:sz w:val="18"/>
    </w:rPr>
  </w:style>
  <w:style w:type="character" w:customStyle="1" w:styleId="41">
    <w:name w:val="页脚 Char"/>
    <w:link w:val="16"/>
    <w:autoRedefine/>
    <w:qFormat/>
    <w:locked/>
    <w:uiPriority w:val="99"/>
    <w:rPr>
      <w:sz w:val="18"/>
    </w:rPr>
  </w:style>
  <w:style w:type="character" w:customStyle="1" w:styleId="42">
    <w:name w:val="页眉 Char"/>
    <w:link w:val="17"/>
    <w:autoRedefine/>
    <w:qFormat/>
    <w:locked/>
    <w:uiPriority w:val="0"/>
    <w:rPr>
      <w:sz w:val="18"/>
    </w:rPr>
  </w:style>
  <w:style w:type="character" w:customStyle="1" w:styleId="43">
    <w:name w:val="普通(网站) Char"/>
    <w:link w:val="23"/>
    <w:autoRedefine/>
    <w:qFormat/>
    <w:locked/>
    <w:uiPriority w:val="0"/>
    <w:rPr>
      <w:rFonts w:ascii="宋体" w:hAnsi="宋体" w:eastAsia="宋体"/>
      <w:sz w:val="24"/>
    </w:rPr>
  </w:style>
  <w:style w:type="character" w:customStyle="1" w:styleId="44">
    <w:name w:val="批注主题 Char"/>
    <w:link w:val="25"/>
    <w:autoRedefine/>
    <w:semiHidden/>
    <w:qFormat/>
    <w:locked/>
    <w:uiPriority w:val="0"/>
    <w:rPr>
      <w:rFonts w:ascii="Times New Roman" w:hAnsi="Times New Roman" w:eastAsia="宋体"/>
      <w:b/>
      <w:kern w:val="2"/>
      <w:sz w:val="24"/>
    </w:rPr>
  </w:style>
  <w:style w:type="character" w:customStyle="1" w:styleId="45">
    <w:name w:val="表格 Char"/>
    <w:link w:val="46"/>
    <w:autoRedefine/>
    <w:qFormat/>
    <w:locked/>
    <w:uiPriority w:val="0"/>
    <w:rPr>
      <w:rFonts w:ascii="宋体"/>
      <w:sz w:val="21"/>
    </w:rPr>
  </w:style>
  <w:style w:type="paragraph" w:customStyle="1" w:styleId="46">
    <w:name w:val="表格"/>
    <w:basedOn w:val="1"/>
    <w:next w:val="1"/>
    <w:link w:val="45"/>
    <w:autoRedefine/>
    <w:qFormat/>
    <w:uiPriority w:val="0"/>
    <w:pPr>
      <w:spacing w:beforeLines="10" w:afterLines="10" w:line="259" w:lineRule="auto"/>
      <w:jc w:val="center"/>
    </w:pPr>
    <w:rPr>
      <w:rFonts w:ascii="宋体"/>
      <w:kern w:val="0"/>
      <w:szCs w:val="20"/>
    </w:rPr>
  </w:style>
  <w:style w:type="character" w:customStyle="1" w:styleId="47">
    <w:name w:val="日期 字符"/>
    <w:autoRedefine/>
    <w:semiHidden/>
    <w:qFormat/>
    <w:uiPriority w:val="0"/>
    <w:rPr>
      <w:rFonts w:ascii="Times New Roman" w:hAnsi="Times New Roman" w:eastAsia="宋体"/>
      <w:sz w:val="24"/>
    </w:rPr>
  </w:style>
  <w:style w:type="character" w:customStyle="1" w:styleId="48">
    <w:name w:val="批注文字 字符1"/>
    <w:autoRedefine/>
    <w:semiHidden/>
    <w:qFormat/>
    <w:uiPriority w:val="0"/>
    <w:rPr>
      <w:rFonts w:ascii="Times New Roman" w:hAnsi="Times New Roman" w:eastAsia="宋体"/>
      <w:sz w:val="24"/>
    </w:rPr>
  </w:style>
  <w:style w:type="character" w:customStyle="1" w:styleId="49">
    <w:name w:val="14fz1"/>
    <w:autoRedefine/>
    <w:qFormat/>
    <w:uiPriority w:val="0"/>
    <w:rPr>
      <w:color w:val="000000"/>
      <w:sz w:val="15"/>
      <w:szCs w:val="15"/>
    </w:rPr>
  </w:style>
  <w:style w:type="character" w:customStyle="1" w:styleId="50">
    <w:name w:val="页脚 字符"/>
    <w:basedOn w:val="30"/>
    <w:autoRedefine/>
    <w:qFormat/>
    <w:uiPriority w:val="99"/>
  </w:style>
  <w:style w:type="character" w:customStyle="1" w:styleId="51">
    <w:name w:val="正文文本 字符1"/>
    <w:autoRedefine/>
    <w:semiHidden/>
    <w:qFormat/>
    <w:uiPriority w:val="0"/>
    <w:rPr>
      <w:rFonts w:ascii="Times New Roman" w:hAnsi="Times New Roman" w:eastAsia="宋体"/>
      <w:sz w:val="24"/>
    </w:rPr>
  </w:style>
  <w:style w:type="paragraph" w:customStyle="1" w:styleId="52">
    <w:name w:val="惠泽表格"/>
    <w:basedOn w:val="1"/>
    <w:autoRedefine/>
    <w:qFormat/>
    <w:uiPriority w:val="0"/>
    <w:pPr>
      <w:spacing w:line="480" w:lineRule="exact"/>
      <w:jc w:val="center"/>
    </w:pPr>
    <w:rPr>
      <w:rFonts w:ascii="黑体" w:hAnsi="黑体" w:eastAsia="黑体" w:cs="宋体"/>
      <w:szCs w:val="20"/>
    </w:rPr>
  </w:style>
  <w:style w:type="paragraph" w:customStyle="1" w:styleId="53">
    <w:name w:val="xl31"/>
    <w:basedOn w:val="1"/>
    <w:autoRedefine/>
    <w:qFormat/>
    <w:uiPriority w:val="0"/>
    <w:pPr>
      <w:widowControl/>
      <w:spacing w:before="100" w:beforeAutospacing="1" w:after="100" w:afterAutospacing="1"/>
      <w:jc w:val="center"/>
      <w:textAlignment w:val="center"/>
    </w:pPr>
    <w:rPr>
      <w:rFonts w:ascii="Arial Unicode MS" w:hAnsi="Arial Unicode MS" w:eastAsia="Arial Unicode MS"/>
      <w:kern w:val="0"/>
    </w:rPr>
  </w:style>
  <w:style w:type="paragraph" w:customStyle="1" w:styleId="54">
    <w:name w:val="普通(网站)2"/>
    <w:basedOn w:val="1"/>
    <w:autoRedefine/>
    <w:qFormat/>
    <w:uiPriority w:val="0"/>
    <w:pPr>
      <w:widowControl/>
      <w:spacing w:before="100" w:beforeAutospacing="1" w:after="100" w:afterAutospacing="1"/>
      <w:jc w:val="left"/>
    </w:pPr>
    <w:rPr>
      <w:rFonts w:ascii="宋体" w:hAnsi="宋体"/>
      <w:szCs w:val="20"/>
    </w:rPr>
  </w:style>
  <w:style w:type="paragraph" w:customStyle="1" w:styleId="55">
    <w:name w:val="正文缩进1"/>
    <w:basedOn w:val="1"/>
    <w:autoRedefine/>
    <w:qFormat/>
    <w:uiPriority w:val="99"/>
    <w:pPr>
      <w:ind w:firstLine="200"/>
    </w:pPr>
    <w:rPr>
      <w:rFonts w:eastAsia="楷体_GB2312"/>
    </w:rPr>
  </w:style>
  <w:style w:type="paragraph" w:customStyle="1" w:styleId="56">
    <w:name w:val="biaotou"/>
    <w:basedOn w:val="8"/>
    <w:autoRedefine/>
    <w:qFormat/>
    <w:uiPriority w:val="99"/>
    <w:pPr>
      <w:spacing w:after="0" w:line="460" w:lineRule="exact"/>
      <w:jc w:val="center"/>
    </w:pPr>
    <w:rPr>
      <w:rFonts w:ascii="黑体" w:hAnsi="黑体" w:eastAsia="黑体" w:cs="宋体"/>
      <w:sz w:val="24"/>
    </w:rPr>
  </w:style>
  <w:style w:type="paragraph" w:customStyle="1" w:styleId="57">
    <w:name w:val="样式1"/>
    <w:basedOn w:val="20"/>
    <w:autoRedefine/>
    <w:qFormat/>
    <w:uiPriority w:val="0"/>
    <w:pPr>
      <w:adjustRightInd/>
      <w:snapToGrid/>
      <w:spacing w:before="20" w:after="20"/>
      <w:ind w:firstLine="0" w:firstLineChars="0"/>
    </w:pPr>
    <w:rPr>
      <w:sz w:val="21"/>
      <w:szCs w:val="21"/>
    </w:rPr>
  </w:style>
  <w:style w:type="paragraph" w:styleId="58">
    <w:name w:val="No Spacing"/>
    <w:autoRedefine/>
    <w:qFormat/>
    <w:uiPriority w:val="1"/>
    <w:pPr>
      <w:widowControl w:val="0"/>
      <w:adjustRightInd w:val="0"/>
      <w:snapToGrid w:val="0"/>
      <w:jc w:val="center"/>
    </w:pPr>
    <w:rPr>
      <w:rFonts w:ascii="Times New Roman" w:hAnsi="Times New Roman" w:eastAsia="宋体" w:cs="Times New Roman"/>
      <w:b/>
      <w:kern w:val="2"/>
      <w:sz w:val="21"/>
      <w:szCs w:val="22"/>
      <w:lang w:val="en-US" w:eastAsia="zh-CN" w:bidi="ar-SA"/>
    </w:rPr>
  </w:style>
  <w:style w:type="paragraph" w:customStyle="1" w:styleId="59">
    <w:name w:val="Date1"/>
    <w:basedOn w:val="1"/>
    <w:next w:val="1"/>
    <w:autoRedefine/>
    <w:qFormat/>
    <w:uiPriority w:val="0"/>
    <w:pPr>
      <w:textAlignment w:val="baseline"/>
    </w:pPr>
    <w:rPr>
      <w:szCs w:val="20"/>
    </w:rPr>
  </w:style>
  <w:style w:type="paragraph" w:customStyle="1" w:styleId="60">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1">
    <w:name w:val="Table Paragraph"/>
    <w:basedOn w:val="1"/>
    <w:autoRedefine/>
    <w:qFormat/>
    <w:uiPriority w:val="1"/>
    <w:rPr>
      <w:rFonts w:ascii="宋体" w:hAnsi="宋体" w:cs="宋体"/>
      <w:lang w:val="zh-CN" w:bidi="zh-CN"/>
    </w:rPr>
  </w:style>
  <w:style w:type="paragraph" w:styleId="62">
    <w:name w:val="List Paragraph"/>
    <w:basedOn w:val="1"/>
    <w:autoRedefine/>
    <w:qFormat/>
    <w:uiPriority w:val="34"/>
    <w:pPr>
      <w:ind w:firstLine="420"/>
    </w:pPr>
    <w:rPr>
      <w:rFonts w:ascii="Calibri" w:hAnsi="Calibri"/>
      <w:sz w:val="21"/>
      <w:szCs w:val="22"/>
    </w:rPr>
  </w:style>
  <w:style w:type="paragraph" w:customStyle="1" w:styleId="63">
    <w:name w:val="标准段落"/>
    <w:basedOn w:val="1"/>
    <w:next w:val="1"/>
    <w:autoRedefine/>
    <w:qFormat/>
    <w:uiPriority w:val="0"/>
    <w:pPr>
      <w:ind w:firstLine="480"/>
    </w:pPr>
    <w:rPr>
      <w:kern w:val="0"/>
    </w:rPr>
  </w:style>
  <w:style w:type="paragraph" w:customStyle="1" w:styleId="64">
    <w:name w:val="惠泽正文"/>
    <w:basedOn w:val="1"/>
    <w:autoRedefine/>
    <w:qFormat/>
    <w:uiPriority w:val="0"/>
    <w:pPr>
      <w:spacing w:line="480" w:lineRule="exact"/>
      <w:ind w:firstLine="480"/>
    </w:pPr>
    <w:rPr>
      <w:rFonts w:hAnsi="宋体" w:cs="宋体"/>
      <w:szCs w:val="20"/>
    </w:rPr>
  </w:style>
  <w:style w:type="paragraph" w:customStyle="1" w:styleId="65">
    <w:name w:val="2007正文"/>
    <w:autoRedefine/>
    <w:qFormat/>
    <w:uiPriority w:val="0"/>
    <w:pPr>
      <w:spacing w:line="500" w:lineRule="exact"/>
      <w:ind w:firstLine="560" w:firstLineChars="200"/>
      <w:jc w:val="both"/>
    </w:pPr>
    <w:rPr>
      <w:rFonts w:ascii="Times New Roman" w:hAnsi="Times New Roman" w:eastAsia="仿宋_GB2312" w:cs="Times New Roman"/>
      <w:kern w:val="2"/>
      <w:sz w:val="28"/>
      <w:lang w:val="en-GB" w:eastAsia="zh-CN" w:bidi="ar-SA"/>
    </w:rPr>
  </w:style>
  <w:style w:type="paragraph" w:customStyle="1" w:styleId="66">
    <w:name w:val="表格文字"/>
    <w:autoRedefine/>
    <w:qFormat/>
    <w:uiPriority w:val="0"/>
    <w:pPr>
      <w:widowControl w:val="0"/>
      <w:jc w:val="center"/>
    </w:pPr>
    <w:rPr>
      <w:rFonts w:ascii="仿宋_GB2312" w:hAnsi="Arial Black" w:eastAsia="仿宋_GB2312" w:cs="Times New Roman"/>
      <w:kern w:val="44"/>
      <w:sz w:val="24"/>
      <w:szCs w:val="24"/>
      <w:lang w:val="en-US" w:eastAsia="zh-CN" w:bidi="ar-SA"/>
    </w:rPr>
  </w:style>
  <w:style w:type="character" w:customStyle="1" w:styleId="67">
    <w:name w:val="font41"/>
    <w:basedOn w:val="30"/>
    <w:autoRedefine/>
    <w:qFormat/>
    <w:uiPriority w:val="0"/>
    <w:rPr>
      <w:rFonts w:hint="eastAsia" w:ascii="宋体" w:hAnsi="宋体" w:eastAsia="宋体" w:cs="宋体"/>
      <w:color w:val="00B050"/>
      <w:sz w:val="18"/>
      <w:szCs w:val="18"/>
      <w:u w:val="none"/>
    </w:rPr>
  </w:style>
  <w:style w:type="character" w:customStyle="1" w:styleId="68">
    <w:name w:val="font21"/>
    <w:basedOn w:val="30"/>
    <w:autoRedefine/>
    <w:qFormat/>
    <w:uiPriority w:val="0"/>
    <w:rPr>
      <w:rFonts w:hint="eastAsia" w:ascii="宋体" w:hAnsi="宋体" w:eastAsia="宋体" w:cs="宋体"/>
      <w:color w:val="FF0000"/>
      <w:sz w:val="18"/>
      <w:szCs w:val="18"/>
      <w:u w:val="none"/>
    </w:rPr>
  </w:style>
  <w:style w:type="character" w:customStyle="1" w:styleId="69">
    <w:name w:val="font01"/>
    <w:basedOn w:val="30"/>
    <w:autoRedefine/>
    <w:qFormat/>
    <w:uiPriority w:val="0"/>
    <w:rPr>
      <w:rFonts w:hint="default" w:ascii="Arial" w:hAnsi="Arial" w:cs="Arial"/>
      <w:color w:val="000000"/>
      <w:sz w:val="20"/>
      <w:szCs w:val="20"/>
      <w:u w:val="none"/>
    </w:rPr>
  </w:style>
  <w:style w:type="character" w:customStyle="1" w:styleId="70">
    <w:name w:val="font91"/>
    <w:basedOn w:val="30"/>
    <w:autoRedefine/>
    <w:qFormat/>
    <w:uiPriority w:val="0"/>
    <w:rPr>
      <w:rFonts w:hint="eastAsia" w:ascii="宋体" w:hAnsi="宋体" w:eastAsia="宋体" w:cs="宋体"/>
      <w:color w:val="000000"/>
      <w:sz w:val="24"/>
      <w:szCs w:val="24"/>
      <w:u w:val="none"/>
    </w:rPr>
  </w:style>
  <w:style w:type="paragraph" w:customStyle="1" w:styleId="71">
    <w:name w:val="Table Text"/>
    <w:basedOn w:val="1"/>
    <w:autoRedefine/>
    <w:semiHidden/>
    <w:qFormat/>
    <w:uiPriority w:val="0"/>
    <w:rPr>
      <w:rFonts w:ascii="宋体" w:hAnsi="宋体" w:cs="宋体"/>
      <w:sz w:val="20"/>
      <w:szCs w:val="20"/>
      <w:lang w:eastAsia="en-US"/>
    </w:rPr>
  </w:style>
  <w:style w:type="table" w:customStyle="1" w:styleId="72">
    <w:name w:val="Table Normal"/>
    <w:autoRedefine/>
    <w:unhideWhenUsed/>
    <w:qFormat/>
    <w:uiPriority w:val="0"/>
    <w:tblPr>
      <w:tblCellMar>
        <w:top w:w="0" w:type="dxa"/>
        <w:left w:w="0" w:type="dxa"/>
        <w:bottom w:w="0" w:type="dxa"/>
        <w:right w:w="0" w:type="dxa"/>
      </w:tblCellMar>
    </w:tblPr>
  </w:style>
  <w:style w:type="character" w:customStyle="1" w:styleId="73">
    <w:name w:val="font11"/>
    <w:basedOn w:val="30"/>
    <w:qFormat/>
    <w:uiPriority w:val="0"/>
    <w:rPr>
      <w:rFonts w:hint="eastAsia" w:ascii="宋体" w:hAnsi="宋体" w:eastAsia="宋体" w:cs="宋体"/>
      <w:color w:val="000000"/>
      <w:sz w:val="21"/>
      <w:szCs w:val="21"/>
      <w:u w:val="none"/>
    </w:rPr>
  </w:style>
  <w:style w:type="character" w:customStyle="1" w:styleId="74">
    <w:name w:val="font51"/>
    <w:basedOn w:val="30"/>
    <w:qFormat/>
    <w:uiPriority w:val="0"/>
    <w:rPr>
      <w:rFonts w:hint="default" w:ascii="Times New Roman" w:hAnsi="Times New Roman" w:cs="Times New Roman"/>
      <w:color w:val="000000"/>
      <w:sz w:val="21"/>
      <w:szCs w:val="21"/>
      <w:u w:val="none"/>
      <w:vertAlign w:val="superscript"/>
    </w:rPr>
  </w:style>
  <w:style w:type="paragraph" w:customStyle="1" w:styleId="75">
    <w:name w:val="样式 五号 居中"/>
    <w:basedOn w:val="1"/>
    <w:qFormat/>
    <w:uiPriority w:val="0"/>
    <w:pPr>
      <w:spacing w:line="240" w:lineRule="atLeast"/>
      <w:jc w:val="center"/>
    </w:pPr>
    <w:rPr>
      <w:rFonts w:cs="宋体"/>
      <w:szCs w:val="20"/>
    </w:rPr>
  </w:style>
  <w:style w:type="paragraph" w:customStyle="1" w:styleId="76">
    <w:name w:val="表"/>
    <w:basedOn w:val="24"/>
    <w:qFormat/>
    <w:uiPriority w:val="0"/>
    <w:pPr>
      <w:spacing w:line="300" w:lineRule="exact"/>
    </w:pPr>
    <w:rPr>
      <w:sz w:val="21"/>
    </w:rPr>
  </w:style>
  <w:style w:type="character" w:customStyle="1" w:styleId="77">
    <w:name w:val="font101"/>
    <w:qFormat/>
    <w:uiPriority w:val="0"/>
    <w:rPr>
      <w:rFonts w:ascii="宋体" w:hAnsi="宋体" w:eastAsia="宋体" w:cs="宋体"/>
      <w:b/>
      <w:bCs/>
      <w:color w:val="000000"/>
      <w:sz w:val="24"/>
      <w:szCs w:val="24"/>
      <w:u w:val="none"/>
    </w:rPr>
  </w:style>
  <w:style w:type="character" w:customStyle="1" w:styleId="78">
    <w:name w:val="font111"/>
    <w:qFormat/>
    <w:uiPriority w:val="0"/>
    <w:rPr>
      <w:rFonts w:ascii="宋体" w:hAnsi="宋体" w:eastAsia="宋体" w:cs="宋体"/>
      <w:color w:val="000000"/>
      <w:sz w:val="24"/>
      <w:szCs w:val="24"/>
      <w:u w:val="none"/>
    </w:rPr>
  </w:style>
  <w:style w:type="character" w:customStyle="1" w:styleId="79">
    <w:name w:val="font132"/>
    <w:qFormat/>
    <w:uiPriority w:val="0"/>
    <w:rPr>
      <w:rFonts w:ascii="宋体" w:hAnsi="宋体" w:eastAsia="宋体" w:cs="宋体"/>
      <w:color w:val="000000"/>
      <w:sz w:val="8"/>
      <w:szCs w:val="8"/>
      <w:u w:val="none"/>
    </w:rPr>
  </w:style>
  <w:style w:type="character" w:customStyle="1" w:styleId="80">
    <w:name w:val="font61"/>
    <w:qFormat/>
    <w:uiPriority w:val="0"/>
    <w:rPr>
      <w:rFonts w:ascii="宋体" w:hAnsi="宋体" w:eastAsia="宋体" w:cs="宋体"/>
      <w:color w:val="0067AC"/>
      <w:sz w:val="24"/>
      <w:szCs w:val="24"/>
      <w:u w:val="none"/>
    </w:rPr>
  </w:style>
  <w:style w:type="character" w:customStyle="1" w:styleId="81">
    <w:name w:val="font71"/>
    <w:qFormat/>
    <w:uiPriority w:val="0"/>
    <w:rPr>
      <w:rFonts w:ascii="宋体" w:hAnsi="宋体" w:eastAsia="宋体" w:cs="宋体"/>
      <w:color w:val="0068AE"/>
      <w:sz w:val="24"/>
      <w:szCs w:val="24"/>
      <w:u w:val="none"/>
    </w:rPr>
  </w:style>
  <w:style w:type="character" w:customStyle="1" w:styleId="82">
    <w:name w:val="font81"/>
    <w:qFormat/>
    <w:uiPriority w:val="0"/>
    <w:rPr>
      <w:rFonts w:ascii="宋体" w:hAnsi="宋体" w:eastAsia="宋体" w:cs="宋体"/>
      <w:color w:val="005E94"/>
      <w:sz w:val="24"/>
      <w:szCs w:val="24"/>
      <w:u w:val="none"/>
    </w:rPr>
  </w:style>
  <w:style w:type="paragraph" w:customStyle="1" w:styleId="83">
    <w:name w:val="0正文"/>
    <w:qFormat/>
    <w:uiPriority w:val="0"/>
    <w:pPr>
      <w:spacing w:after="120" w:line="360" w:lineRule="auto"/>
      <w:ind w:leftChars="200" w:firstLine="200" w:firstLineChars="200"/>
      <w:jc w:val="both"/>
    </w:pPr>
    <w:rPr>
      <w:rFonts w:ascii="Times New Roman" w:hAnsi="Times New Roman" w:eastAsia="宋体" w:cs="Times New Roman"/>
      <w:sz w:val="24"/>
      <w:lang w:val="en-US" w:eastAsia="zh-CN" w:bidi="ar-SA"/>
    </w:rPr>
  </w:style>
  <w:style w:type="paragraph" w:customStyle="1" w:styleId="84">
    <w:name w:val="项目正文，无格式"/>
    <w:qFormat/>
    <w:uiPriority w:val="0"/>
    <w:pPr>
      <w:widowControl w:val="0"/>
      <w:jc w:val="center"/>
    </w:pPr>
    <w:rPr>
      <w:rFonts w:ascii="Times New Roman" w:hAnsi="Times New Roman" w:eastAsia="宋体" w:cs="Times New Roman"/>
      <w:szCs w:val="18"/>
      <w:lang w:val="en-US" w:eastAsia="zh-CN" w:bidi="ar-SA"/>
    </w:rPr>
  </w:style>
  <w:style w:type="paragraph" w:customStyle="1" w:styleId="85">
    <w:name w:val="正文首行缩进2"/>
    <w:next w:val="1"/>
    <w:qFormat/>
    <w:uiPriority w:val="99"/>
    <w:rPr>
      <w:rFonts w:ascii="宋体" w:hAnsi="宋体" w:eastAsia="宋体" w:cs="Times New Roman"/>
      <w:color w:val="000000"/>
      <w:sz w:val="21"/>
      <w:szCs w:val="24"/>
      <w:lang w:val="en-US" w:eastAsia="zh-CN" w:bidi="en-US"/>
    </w:rPr>
  </w:style>
  <w:style w:type="paragraph" w:customStyle="1" w:styleId="86">
    <w:name w:val="图表文字"/>
    <w:qFormat/>
    <w:uiPriority w:val="0"/>
    <w:pPr>
      <w:snapToGrid w:val="0"/>
      <w:spacing w:before="60" w:line="259" w:lineRule="auto"/>
      <w:ind w:right="113"/>
      <w:jc w:val="center"/>
    </w:pPr>
    <w:rPr>
      <w:rFonts w:ascii="仿宋_GB2312" w:hAnsi="Times New Roman" w:eastAsia="仿宋_GB2312" w:cs="Times New Roman"/>
      <w:b/>
      <w:sz w:val="18"/>
      <w:lang w:val="en-US" w:eastAsia="zh-CN" w:bidi="ar-SA"/>
    </w:rPr>
  </w:style>
  <w:style w:type="paragraph" w:customStyle="1" w:styleId="87">
    <w:name w:val="002标题三"/>
    <w:qFormat/>
    <w:uiPriority w:val="0"/>
    <w:pPr>
      <w:keepNext/>
      <w:keepLines/>
      <w:widowControl w:val="0"/>
      <w:adjustRightInd w:val="0"/>
      <w:snapToGrid w:val="0"/>
      <w:spacing w:line="360" w:lineRule="auto"/>
      <w:jc w:val="both"/>
      <w:outlineLvl w:val="2"/>
    </w:pPr>
    <w:rPr>
      <w:rFonts w:ascii="宋体" w:hAnsi="Times New Roman" w:eastAsia="宋体" w:cs="Times New Roman"/>
      <w:spacing w:val="4"/>
      <w:kern w:val="2"/>
      <w:sz w:val="24"/>
      <w:szCs w:val="24"/>
      <w:lang w:val="en-US" w:eastAsia="zh-CN" w:bidi="ar-SA"/>
    </w:rPr>
  </w:style>
  <w:style w:type="paragraph" w:customStyle="1" w:styleId="88">
    <w:name w:val="六表内容"/>
    <w:qFormat/>
    <w:uiPriority w:val="0"/>
    <w:pPr>
      <w:spacing w:line="340" w:lineRule="exact"/>
      <w:jc w:val="center"/>
    </w:pPr>
    <w:rPr>
      <w:rFonts w:ascii="Times New Roman" w:hAnsi="Times New Roman" w:eastAsia="宋体" w:cs="Times New Roman"/>
      <w:szCs w:val="21"/>
      <w:lang w:val="en-US" w:eastAsia="zh-CN" w:bidi="ar-SA"/>
    </w:rPr>
  </w:style>
  <w:style w:type="paragraph" w:customStyle="1" w:styleId="89">
    <w:name w:val="p0"/>
    <w:qFormat/>
    <w:uiPriority w:val="0"/>
    <w:pPr>
      <w:spacing w:before="100" w:beforeAutospacing="1" w:after="100" w:afterAutospacing="1"/>
    </w:pPr>
    <w:rPr>
      <w:rFonts w:ascii="宋体" w:hAnsi="宋体" w:eastAsia="宋体" w:cs="宋体"/>
      <w:sz w:val="21"/>
      <w:szCs w:val="24"/>
      <w:lang w:val="en-US" w:eastAsia="zh-CN" w:bidi="ar-SA"/>
    </w:rPr>
  </w:style>
  <w:style w:type="paragraph" w:customStyle="1" w:styleId="90">
    <w:name w:val="_Style 1"/>
    <w:qFormat/>
    <w:uiPriority w:val="0"/>
    <w:pPr>
      <w:adjustRightInd w:val="0"/>
      <w:snapToGrid w:val="0"/>
      <w:spacing w:line="480" w:lineRule="exact"/>
      <w:ind w:firstLine="480" w:firstLineChars="200"/>
    </w:pPr>
    <w:rPr>
      <w:rFonts w:ascii="Times New Roman"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kwNzYzNzg2MzY2IiwKCSJHcm91cElkIiA6ICIyNzcwMjIyOTMiLAoJIkltYWdlIiA6ICJpVkJPUncwS0dnb0FBQUFOU1VoRVVnQUFBM2tBQUFIaENBWUFBQURUV25mU0FBQUFBWE5TUjBJQXJzNGM2UUFBSUFCSlJFRlVlSnpzM1h0NEZPWFpQL0R2UGJNNUFXS1FNMExSQ2g0Q2JIWW1ncUsxYW91VzExZXhSYXdLbmtCQlZBNVdyYWlBVmxCL1NxbDR3Q3BvUWFpSHFpRGdpMGlMZ3Fpb2dOblozV0FFQVVrMVZnVTVCbkxjbmZ2M1J6WnBEcHRrQTlIQTh2MWNWeTZ5enp6enpEMHJodjFtWnA0SElD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LRVBBQUFBQUJ3RVVJZUFBQUFBTGdJSVE4QUFBQUFYSVNRQndBQUFBQXVRc2dEQUFBQUFCY2g1QUVBQUFDQWl4RHlBQUFBQU1CRkNIa0FBQUFBNENMZVdCY0FBTUM1d3JJc2p6R21jYk5telh5eHJnV0lrY2FTNG1KZEJPQjJoRHdBQU00U1kweVNiZHZETE1zaTVPR2NaRmxXZ3FRVVNZZGpYUXZnWm9ROEFBREttZU00ZTIzYjNpc3B3UmlUSUNraDFqVUJzV0NNa2FURGxtWDlFQWdFOXNhNkhzQ3RyRmdYQUFEQU9jRE96TXhNdHl5cmRxd0xBWDROQW9IQUR4czJiTmdneVlsMUx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0FjdlgvQTA3ckV0RW1BbzBBQUFBQVNVVk9SSzVDWUlJPSIsCgkiVGhlbWUiIDogIiIsCgkiVHlwZSIgOiAiZmxvdyIsCgkiVmVyc2lvbiIgOiAiIgp9Cg=="/>
    </extobj>
    <extobj name="ECB019B1-382A-4266-B25C-5B523AA43C14-2">
      <extobjdata type="ECB019B1-382A-4266-B25C-5B523AA43C14" data="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"/>
    </extobj>
    <extobj name="ECB019B1-382A-4266-B25C-5B523AA43C14-3">
      <extobjdata type="ECB019B1-382A-4266-B25C-5B523AA43C14" data="ewoJIkZpbGVJZCIgOiAiMzQ2NzUzNTYyMjUwIiwKCSJHcm91cElkIiA6ICIyNzcwMjIyOTMiLAoJIkltYWdlIiA6ICJpVkJPUncwS0dnb0FBQUFOU1VoRVVnQUFCR2tBQUFFWUNBWUFBQUR2VXF0b0FBQUFBWE5TUjBJQXJzNGM2UUFBSUFCSlJFRlVlSnpzM1hsOFZOWDkvL0gzdVRQWkNNZ2lDdUtHaW9BQnd0eUo0Zy8zcFZxTFN5dGF0VnIzcGRxSzF0MFdzRlZ4QVJWRVpYT3JxQ0JRS2w5eFFhMjdSYWlTbVpBQUlxQkZwZXdJUW9Ba00zUFA3NDlrcHBOa3NtRWdDYnllajRjUFo4NDk1OHhuRW5MbXp1ZWVlNDRF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y9MLzhQdkdDTFFObmNtbVF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58</Pages>
  <Words>2194</Words>
  <Characters>2357</Characters>
  <Lines>292</Lines>
  <Paragraphs>82</Paragraphs>
  <TotalTime>19</TotalTime>
  <ScaleCrop>false</ScaleCrop>
  <LinksUpToDate>false</LinksUpToDate>
  <CharactersWithSpaces>2405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环环（微信号：eianet2016）</dc:creator>
  <cp:lastModifiedBy>moon</cp:lastModifiedBy>
  <cp:lastPrinted>2021-04-20T08:22:00Z</cp:lastPrinted>
  <dcterms:modified xsi:type="dcterms:W3CDTF">2025-03-04T04:22:08Z</dcterms:modified>
  <dc:title>建设项目环境影响报告表（污染影响类-填写指南）</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4AC42F78E6E444CA9EF54AAD2D71EB81_13</vt:lpwstr>
  </property>
  <property fmtid="{D5CDD505-2E9C-101B-9397-08002B2CF9AE}" pid="4" name="KSOTemplateDocerSaveRecord">
    <vt:lpwstr>eyJoZGlkIjoiMGU3MzVlM2U5YTNhZDAxN2I4ZGQ4NmUyOTg2M2M2MWEiLCJ1c2VySWQiOiIzMTI0OTkyMDUifQ==</vt:lpwstr>
  </property>
</Properties>
</file>