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71C6F6">
      <w:pPr>
        <w:ind w:firstLine="1040"/>
        <w:rPr>
          <w:rFonts w:eastAsia="仿宋"/>
          <w:color w:val="auto"/>
          <w:sz w:val="44"/>
          <w:szCs w:val="44"/>
        </w:rPr>
      </w:pPr>
    </w:p>
    <w:p w14:paraId="687C78F4">
      <w:pPr>
        <w:ind w:firstLine="1040"/>
        <w:rPr>
          <w:rFonts w:eastAsia="仿宋"/>
          <w:color w:val="auto"/>
          <w:sz w:val="44"/>
          <w:szCs w:val="44"/>
        </w:rPr>
      </w:pPr>
    </w:p>
    <w:p w14:paraId="7B46C509">
      <w:pPr>
        <w:ind w:firstLine="1040"/>
        <w:rPr>
          <w:rFonts w:eastAsia="仿宋"/>
          <w:color w:val="auto"/>
          <w:sz w:val="44"/>
          <w:szCs w:val="44"/>
        </w:rPr>
      </w:pPr>
    </w:p>
    <w:p w14:paraId="2E07BDC3">
      <w:pPr>
        <w:ind w:firstLine="1040"/>
        <w:rPr>
          <w:rFonts w:eastAsia="仿宋"/>
          <w:color w:val="auto"/>
          <w:sz w:val="44"/>
          <w:szCs w:val="44"/>
        </w:rPr>
      </w:pPr>
    </w:p>
    <w:p w14:paraId="3F451037">
      <w:pPr>
        <w:adjustRightInd w:val="0"/>
        <w:snapToGrid w:val="0"/>
        <w:jc w:val="center"/>
        <w:outlineLvl w:val="0"/>
        <w:rPr>
          <w:rFonts w:hint="eastAsia" w:ascii="方正小标宋_GBK" w:eastAsia="方正小标宋_GBK"/>
          <w:bCs/>
          <w:color w:val="auto"/>
          <w:sz w:val="72"/>
          <w:szCs w:val="72"/>
        </w:rPr>
      </w:pPr>
      <w:r>
        <w:rPr>
          <w:rFonts w:hint="eastAsia" w:ascii="方正小标宋_GBK" w:eastAsia="方正小标宋_GBK"/>
          <w:bCs/>
          <w:color w:val="auto"/>
          <w:sz w:val="72"/>
          <w:szCs w:val="72"/>
        </w:rPr>
        <w:t>建设项目环境影响报告表</w:t>
      </w:r>
    </w:p>
    <w:p w14:paraId="303BC0AA">
      <w:pPr>
        <w:adjustRightInd w:val="0"/>
        <w:snapToGrid w:val="0"/>
        <w:spacing w:before="192" w:beforeLines="80"/>
        <w:jc w:val="center"/>
        <w:rPr>
          <w:rFonts w:hint="eastAsia" w:ascii="楷体_GB2312" w:eastAsia="楷体_GB2312"/>
          <w:bCs/>
          <w:color w:val="auto"/>
          <w:sz w:val="48"/>
          <w:szCs w:val="48"/>
        </w:rPr>
      </w:pPr>
      <w:r>
        <w:rPr>
          <w:rFonts w:hint="eastAsia" w:ascii="楷体_GB2312" w:eastAsia="楷体_GB2312"/>
          <w:bCs/>
          <w:color w:val="auto"/>
          <w:sz w:val="48"/>
          <w:szCs w:val="48"/>
        </w:rPr>
        <w:t>（生态影响类）</w:t>
      </w:r>
    </w:p>
    <w:p w14:paraId="71CC2FF3">
      <w:pPr>
        <w:jc w:val="center"/>
        <w:rPr>
          <w:rFonts w:ascii="华文仿宋" w:hAnsi="华文仿宋" w:eastAsia="华文仿宋" w:cs="华文仿宋"/>
          <w:color w:val="auto"/>
          <w:kern w:val="44"/>
          <w:sz w:val="44"/>
          <w:szCs w:val="44"/>
        </w:rPr>
      </w:pPr>
      <w:bookmarkStart w:id="0" w:name="_Hlk57883728"/>
    </w:p>
    <w:p w14:paraId="7D34BC00">
      <w:pPr>
        <w:jc w:val="center"/>
        <w:rPr>
          <w:rFonts w:eastAsia="仿宋"/>
          <w:color w:val="auto"/>
          <w:sz w:val="52"/>
          <w:szCs w:val="52"/>
        </w:rPr>
      </w:pPr>
    </w:p>
    <w:p w14:paraId="37A56E86">
      <w:pPr>
        <w:ind w:firstLine="1040"/>
        <w:rPr>
          <w:rFonts w:eastAsia="仿宋"/>
          <w:color w:val="auto"/>
          <w:sz w:val="44"/>
          <w:szCs w:val="44"/>
        </w:rPr>
      </w:pPr>
    </w:p>
    <w:p w14:paraId="5FA3D59B">
      <w:pPr>
        <w:ind w:firstLine="1040"/>
        <w:rPr>
          <w:rFonts w:eastAsia="仿宋"/>
          <w:color w:val="auto"/>
          <w:sz w:val="44"/>
          <w:szCs w:val="44"/>
        </w:rPr>
      </w:pPr>
    </w:p>
    <w:p w14:paraId="2F8B8DE1">
      <w:pPr>
        <w:ind w:firstLine="1040"/>
        <w:rPr>
          <w:rFonts w:eastAsia="仿宋"/>
          <w:color w:val="auto"/>
          <w:sz w:val="44"/>
          <w:szCs w:val="44"/>
        </w:rPr>
      </w:pPr>
    </w:p>
    <w:p w14:paraId="3D46F469">
      <w:pPr>
        <w:ind w:firstLine="1040"/>
        <w:rPr>
          <w:rFonts w:eastAsia="仿宋"/>
          <w:color w:val="auto"/>
          <w:sz w:val="44"/>
          <w:szCs w:val="44"/>
        </w:rPr>
      </w:pPr>
    </w:p>
    <w:bookmarkEnd w:id="0"/>
    <w:p w14:paraId="0AB6AAA6">
      <w:pPr>
        <w:keepNext w:val="0"/>
        <w:keepLines w:val="0"/>
        <w:pageBreakBefore w:val="0"/>
        <w:widowControl w:val="0"/>
        <w:kinsoku/>
        <w:wordWrap/>
        <w:overflowPunct/>
        <w:topLinePunct w:val="0"/>
        <w:autoSpaceDE/>
        <w:autoSpaceDN/>
        <w:bidi w:val="0"/>
        <w:adjustRightInd w:val="0"/>
        <w:snapToGrid w:val="0"/>
        <w:spacing w:line="288" w:lineRule="auto"/>
        <w:ind w:firstLine="0"/>
        <w:textAlignment w:val="auto"/>
        <w:rPr>
          <w:rFonts w:hint="eastAsia" w:ascii="仿宋_GB2312" w:eastAsia="仿宋_GB2312"/>
          <w:color w:val="auto"/>
          <w:sz w:val="36"/>
          <w:szCs w:val="36"/>
          <w:u w:val="single"/>
        </w:rPr>
      </w:pPr>
      <w:r>
        <w:rPr>
          <w:rFonts w:hint="eastAsia" w:ascii="仿宋_GB2312" w:eastAsia="仿宋_GB2312"/>
          <w:color w:val="auto"/>
          <w:sz w:val="36"/>
          <w:szCs w:val="36"/>
        </w:rPr>
        <w:t>项目名称：</w:t>
      </w:r>
      <w:r>
        <w:rPr>
          <w:rFonts w:hint="eastAsia" w:ascii="仿宋_GB2312" w:eastAsia="仿宋_GB2312"/>
          <w:color w:val="auto"/>
          <w:sz w:val="36"/>
          <w:szCs w:val="36"/>
          <w:u w:val="single"/>
        </w:rPr>
        <w:t>北沙口紫境城小区地热井及回灌井建设项目</w:t>
      </w:r>
    </w:p>
    <w:p w14:paraId="423E44F3">
      <w:pPr>
        <w:keepNext w:val="0"/>
        <w:keepLines w:val="0"/>
        <w:pageBreakBefore w:val="0"/>
        <w:widowControl w:val="0"/>
        <w:kinsoku/>
        <w:wordWrap/>
        <w:overflowPunct/>
        <w:topLinePunct w:val="0"/>
        <w:autoSpaceDE/>
        <w:autoSpaceDN/>
        <w:bidi w:val="0"/>
        <w:adjustRightInd w:val="0"/>
        <w:snapToGrid w:val="0"/>
        <w:spacing w:line="288" w:lineRule="auto"/>
        <w:ind w:firstLine="0"/>
        <w:textAlignment w:val="auto"/>
        <w:rPr>
          <w:rFonts w:hint="eastAsia" w:ascii="仿宋_GB2312" w:hAnsi="Times New Roman" w:eastAsia="仿宋_GB2312" w:cs="Times New Roman"/>
          <w:color w:val="auto"/>
          <w:sz w:val="36"/>
          <w:szCs w:val="36"/>
          <w:u w:val="single"/>
          <w:lang w:val="en-US" w:eastAsia="zh-CN"/>
        </w:rPr>
      </w:pPr>
      <w:r>
        <w:rPr>
          <w:rFonts w:hint="eastAsia" w:ascii="仿宋_GB2312" w:eastAsia="仿宋_GB2312"/>
          <w:color w:val="auto"/>
          <w:sz w:val="36"/>
          <w:szCs w:val="36"/>
        </w:rPr>
        <w:t>建设单位（盖章）：</w:t>
      </w:r>
      <w:r>
        <w:rPr>
          <w:rFonts w:hint="eastAsia" w:ascii="仿宋_GB2312" w:hAnsi="Times New Roman" w:eastAsia="仿宋_GB2312" w:cs="Times New Roman"/>
          <w:color w:val="auto"/>
          <w:sz w:val="36"/>
          <w:szCs w:val="36"/>
          <w:u w:val="single"/>
          <w:lang w:val="en-US" w:eastAsia="zh-CN"/>
        </w:rPr>
        <w:t xml:space="preserve">     </w:t>
      </w:r>
      <w:r>
        <w:rPr>
          <w:rFonts w:hint="eastAsia" w:ascii="仿宋_GB2312" w:hAnsi="Times New Roman" w:eastAsia="仿宋_GB2312" w:cs="Times New Roman"/>
          <w:color w:val="auto"/>
          <w:sz w:val="36"/>
          <w:szCs w:val="36"/>
          <w:u w:val="single"/>
        </w:rPr>
        <w:t>陕西汇都置业有限公司</w:t>
      </w:r>
      <w:r>
        <w:rPr>
          <w:rFonts w:hint="eastAsia" w:ascii="仿宋_GB2312" w:hAnsi="Times New Roman" w:eastAsia="仿宋_GB2312" w:cs="Times New Roman"/>
          <w:color w:val="auto"/>
          <w:sz w:val="36"/>
          <w:szCs w:val="36"/>
          <w:u w:val="single"/>
          <w:lang w:val="en-US" w:eastAsia="zh-CN"/>
        </w:rPr>
        <w:t xml:space="preserve">      </w:t>
      </w:r>
    </w:p>
    <w:p w14:paraId="2E121B01">
      <w:pPr>
        <w:keepNext w:val="0"/>
        <w:keepLines w:val="0"/>
        <w:pageBreakBefore w:val="0"/>
        <w:widowControl w:val="0"/>
        <w:kinsoku/>
        <w:wordWrap/>
        <w:overflowPunct/>
        <w:topLinePunct w:val="0"/>
        <w:autoSpaceDE/>
        <w:autoSpaceDN/>
        <w:bidi w:val="0"/>
        <w:adjustRightInd w:val="0"/>
        <w:snapToGrid w:val="0"/>
        <w:spacing w:line="288" w:lineRule="auto"/>
        <w:ind w:firstLine="0"/>
        <w:textAlignment w:val="auto"/>
        <w:rPr>
          <w:rFonts w:hint="default" w:ascii="仿宋_GB2312" w:hAnsi="Times New Roman" w:eastAsia="仿宋_GB2312" w:cs="Times New Roman"/>
          <w:color w:val="auto"/>
          <w:sz w:val="36"/>
          <w:szCs w:val="36"/>
          <w:u w:val="single"/>
          <w:lang w:val="en-US" w:eastAsia="zh-CN"/>
        </w:rPr>
      </w:pPr>
      <w:r>
        <w:rPr>
          <w:rFonts w:hint="eastAsia" w:ascii="仿宋_GB2312" w:eastAsia="仿宋_GB2312"/>
          <w:color w:val="auto"/>
          <w:sz w:val="36"/>
          <w:szCs w:val="36"/>
        </w:rPr>
        <w:t>编制日期：</w:t>
      </w:r>
      <w:r>
        <w:rPr>
          <w:rFonts w:hint="eastAsia" w:ascii="仿宋_GB2312" w:hAnsi="Times New Roman" w:eastAsia="仿宋_GB2312" w:cs="Times New Roman"/>
          <w:color w:val="auto"/>
          <w:sz w:val="36"/>
          <w:szCs w:val="36"/>
          <w:u w:val="single"/>
          <w:lang w:val="en-US" w:eastAsia="zh-CN"/>
        </w:rPr>
        <w:t xml:space="preserve">          </w:t>
      </w:r>
      <w:r>
        <w:rPr>
          <w:rFonts w:hint="eastAsia" w:ascii="仿宋_GB2312" w:eastAsia="仿宋_GB2312" w:cs="Times New Roman"/>
          <w:color w:val="auto"/>
          <w:sz w:val="36"/>
          <w:szCs w:val="36"/>
          <w:u w:val="single"/>
          <w:lang w:val="en-US" w:eastAsia="zh-CN"/>
        </w:rPr>
        <w:t xml:space="preserve"> </w:t>
      </w:r>
      <w:r>
        <w:rPr>
          <w:rFonts w:hint="eastAsia" w:ascii="仿宋_GB2312" w:hAnsi="Times New Roman" w:eastAsia="仿宋_GB2312" w:cs="Times New Roman"/>
          <w:color w:val="auto"/>
          <w:sz w:val="36"/>
          <w:szCs w:val="36"/>
          <w:u w:val="single"/>
          <w:lang w:val="en-US" w:eastAsia="zh-CN"/>
        </w:rPr>
        <w:t xml:space="preserve"> </w:t>
      </w:r>
      <w:r>
        <w:rPr>
          <w:rFonts w:hint="eastAsia" w:ascii="仿宋_GB2312" w:eastAsia="仿宋_GB2312" w:cs="Times New Roman"/>
          <w:color w:val="auto"/>
          <w:sz w:val="36"/>
          <w:szCs w:val="36"/>
          <w:u w:val="single"/>
          <w:lang w:val="en-US" w:eastAsia="zh-CN"/>
        </w:rPr>
        <w:t xml:space="preserve"> </w:t>
      </w:r>
      <w:r>
        <w:rPr>
          <w:rFonts w:hint="default" w:ascii="仿宋_GB2312" w:hAnsi="Times New Roman" w:eastAsia="仿宋_GB2312" w:cs="Times New Roman"/>
          <w:color w:val="auto"/>
          <w:sz w:val="36"/>
          <w:szCs w:val="36"/>
          <w:u w:val="single"/>
          <w:lang w:val="en-US" w:eastAsia="zh-CN"/>
        </w:rPr>
        <w:t>二〇二</w:t>
      </w:r>
      <w:r>
        <w:rPr>
          <w:rFonts w:hint="eastAsia" w:ascii="仿宋_GB2312" w:eastAsia="仿宋_GB2312" w:cs="Times New Roman"/>
          <w:color w:val="auto"/>
          <w:sz w:val="36"/>
          <w:szCs w:val="36"/>
          <w:u w:val="single"/>
          <w:lang w:val="en-US" w:eastAsia="zh-CN"/>
        </w:rPr>
        <w:t>五</w:t>
      </w:r>
      <w:r>
        <w:rPr>
          <w:rFonts w:hint="default" w:ascii="仿宋_GB2312" w:hAnsi="Times New Roman" w:eastAsia="仿宋_GB2312" w:cs="Times New Roman"/>
          <w:color w:val="auto"/>
          <w:sz w:val="36"/>
          <w:szCs w:val="36"/>
          <w:u w:val="single"/>
          <w:lang w:val="en-US" w:eastAsia="zh-CN"/>
        </w:rPr>
        <w:t>年</w:t>
      </w:r>
      <w:r>
        <w:rPr>
          <w:rFonts w:hint="eastAsia" w:ascii="仿宋_GB2312" w:eastAsia="仿宋_GB2312" w:cs="Times New Roman"/>
          <w:color w:val="auto"/>
          <w:sz w:val="36"/>
          <w:szCs w:val="36"/>
          <w:u w:val="single"/>
          <w:lang w:val="en-US" w:eastAsia="zh-CN"/>
        </w:rPr>
        <w:t>三</w:t>
      </w:r>
      <w:r>
        <w:rPr>
          <w:rFonts w:hint="default" w:ascii="仿宋_GB2312" w:hAnsi="Times New Roman" w:eastAsia="仿宋_GB2312" w:cs="Times New Roman"/>
          <w:color w:val="auto"/>
          <w:sz w:val="36"/>
          <w:szCs w:val="36"/>
          <w:u w:val="single"/>
          <w:lang w:val="en-US" w:eastAsia="zh-CN"/>
        </w:rPr>
        <w:t>月</w:t>
      </w:r>
      <w:r>
        <w:rPr>
          <w:rFonts w:hint="eastAsia" w:ascii="仿宋_GB2312" w:hAnsi="Times New Roman" w:eastAsia="仿宋_GB2312" w:cs="Times New Roman"/>
          <w:color w:val="auto"/>
          <w:sz w:val="36"/>
          <w:szCs w:val="36"/>
          <w:u w:val="single"/>
          <w:lang w:val="en-US" w:eastAsia="zh-CN"/>
        </w:rPr>
        <w:t xml:space="preserve">        </w:t>
      </w:r>
      <w:r>
        <w:rPr>
          <w:rFonts w:hint="eastAsia" w:ascii="仿宋_GB2312" w:eastAsia="仿宋_GB2312" w:cs="Times New Roman"/>
          <w:color w:val="auto"/>
          <w:sz w:val="36"/>
          <w:szCs w:val="36"/>
          <w:u w:val="single"/>
          <w:lang w:val="en-US" w:eastAsia="zh-CN"/>
        </w:rPr>
        <w:t xml:space="preserve"> </w:t>
      </w:r>
      <w:r>
        <w:rPr>
          <w:rFonts w:hint="eastAsia" w:ascii="仿宋_GB2312" w:hAnsi="Times New Roman" w:eastAsia="仿宋_GB2312" w:cs="Times New Roman"/>
          <w:color w:val="auto"/>
          <w:sz w:val="36"/>
          <w:szCs w:val="36"/>
          <w:u w:val="single"/>
          <w:lang w:val="en-US" w:eastAsia="zh-CN"/>
        </w:rPr>
        <w:t xml:space="preserve">   </w:t>
      </w:r>
    </w:p>
    <w:p w14:paraId="7CCB96F0">
      <w:pPr>
        <w:adjustRightInd w:val="0"/>
        <w:snapToGrid w:val="0"/>
        <w:spacing w:line="288" w:lineRule="auto"/>
        <w:ind w:firstLine="1040"/>
        <w:rPr>
          <w:rFonts w:ascii="仿宋_GB2312" w:eastAsia="仿宋_GB2312"/>
          <w:color w:val="auto"/>
          <w:sz w:val="36"/>
          <w:szCs w:val="36"/>
          <w:u w:val="single"/>
        </w:rPr>
      </w:pPr>
    </w:p>
    <w:p w14:paraId="74B8D3C7">
      <w:pPr>
        <w:adjustRightInd w:val="0"/>
        <w:snapToGrid w:val="0"/>
        <w:spacing w:line="288" w:lineRule="auto"/>
        <w:ind w:firstLine="1040"/>
        <w:rPr>
          <w:rFonts w:ascii="仿宋_GB2312" w:eastAsia="仿宋_GB2312"/>
          <w:color w:val="auto"/>
          <w:sz w:val="36"/>
          <w:szCs w:val="36"/>
        </w:rPr>
      </w:pPr>
    </w:p>
    <w:p w14:paraId="0D02FA11">
      <w:pPr>
        <w:adjustRightInd w:val="0"/>
        <w:snapToGrid w:val="0"/>
        <w:spacing w:line="288" w:lineRule="auto"/>
        <w:ind w:firstLine="1040"/>
        <w:rPr>
          <w:rFonts w:ascii="仿宋_GB2312" w:eastAsia="仿宋_GB2312"/>
          <w:color w:val="auto"/>
          <w:sz w:val="36"/>
          <w:szCs w:val="36"/>
        </w:rPr>
      </w:pPr>
    </w:p>
    <w:p w14:paraId="21294844">
      <w:pPr>
        <w:adjustRightInd w:val="0"/>
        <w:snapToGrid w:val="0"/>
        <w:spacing w:line="288" w:lineRule="auto"/>
        <w:ind w:firstLine="1040"/>
        <w:rPr>
          <w:rFonts w:hint="eastAsia" w:ascii="仿宋_GB2312" w:eastAsia="仿宋_GB2312"/>
          <w:color w:val="auto"/>
          <w:sz w:val="36"/>
          <w:szCs w:val="36"/>
        </w:rPr>
      </w:pPr>
    </w:p>
    <w:p w14:paraId="00FEB8A5">
      <w:pPr>
        <w:adjustRightInd w:val="0"/>
        <w:snapToGrid w:val="0"/>
        <w:spacing w:line="288" w:lineRule="auto"/>
        <w:ind w:firstLine="1040"/>
        <w:rPr>
          <w:rFonts w:hint="eastAsia" w:ascii="仿宋_GB2312" w:eastAsia="仿宋_GB2312"/>
          <w:color w:val="auto"/>
          <w:sz w:val="36"/>
          <w:szCs w:val="36"/>
        </w:rPr>
      </w:pPr>
    </w:p>
    <w:p w14:paraId="663B3A6A">
      <w:pPr>
        <w:keepNext w:val="0"/>
        <w:keepLines w:val="0"/>
        <w:pageBreakBefore w:val="0"/>
        <w:widowControl w:val="0"/>
        <w:kinsoku/>
        <w:wordWrap/>
        <w:overflowPunct/>
        <w:topLinePunct w:val="0"/>
        <w:autoSpaceDE/>
        <w:autoSpaceDN/>
        <w:bidi w:val="0"/>
        <w:adjustRightInd w:val="0"/>
        <w:snapToGrid w:val="0"/>
        <w:spacing w:line="288" w:lineRule="auto"/>
        <w:jc w:val="center"/>
        <w:textAlignment w:val="auto"/>
        <w:rPr>
          <w:rFonts w:ascii="楷体_GB2312" w:eastAsia="楷体_GB2312"/>
          <w:color w:val="auto"/>
          <w:sz w:val="36"/>
          <w:szCs w:val="36"/>
        </w:rPr>
      </w:pPr>
      <w:r>
        <w:rPr>
          <w:rFonts w:hint="eastAsia" w:ascii="楷体_GB2312" w:eastAsia="楷体_GB2312"/>
          <w:color w:val="auto"/>
          <w:sz w:val="36"/>
          <w:szCs w:val="36"/>
        </w:rPr>
        <w:t>中华人民共和国生态环境部制</w:t>
      </w:r>
    </w:p>
    <w:p w14:paraId="144434DF">
      <w:pPr>
        <w:adjustRightInd w:val="0"/>
        <w:snapToGrid w:val="0"/>
        <w:spacing w:line="288" w:lineRule="auto"/>
        <w:ind w:firstLine="1040"/>
        <w:rPr>
          <w:rFonts w:ascii="仿宋_GB2312" w:eastAsia="仿宋_GB2312"/>
          <w:color w:val="auto"/>
          <w:sz w:val="36"/>
          <w:szCs w:val="36"/>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fmt="decimal" w:start="1"/>
          <w:cols w:space="720" w:num="1"/>
          <w:docGrid w:linePitch="312" w:charSpace="0"/>
        </w:sectPr>
      </w:pPr>
    </w:p>
    <w:p w14:paraId="3639C5B8">
      <w:pPr>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一、建设项目基本情况</w:t>
      </w:r>
    </w:p>
    <w:tbl>
      <w:tblPr>
        <w:tblStyle w:val="15"/>
        <w:tblW w:w="9039" w:type="dxa"/>
        <w:tblInd w:w="16"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892"/>
        <w:gridCol w:w="2618"/>
        <w:gridCol w:w="1977"/>
        <w:gridCol w:w="10"/>
        <w:gridCol w:w="2542"/>
      </w:tblGrid>
      <w:tr w14:paraId="1AB052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92" w:type="dxa"/>
            <w:noWrap w:val="0"/>
            <w:tcMar>
              <w:top w:w="16" w:type="dxa"/>
              <w:left w:w="16" w:type="dxa"/>
              <w:right w:w="16" w:type="dxa"/>
            </w:tcMar>
            <w:vAlign w:val="center"/>
          </w:tcPr>
          <w:p w14:paraId="26FD9669">
            <w:pPr>
              <w:adjustRightInd w:val="0"/>
              <w:snapToGrid w:val="0"/>
              <w:jc w:val="center"/>
              <w:rPr>
                <w:rFonts w:ascii="宋体" w:hAnsi="宋体" w:cs="宋体"/>
                <w:color w:val="auto"/>
                <w:sz w:val="24"/>
                <w:szCs w:val="24"/>
              </w:rPr>
            </w:pPr>
            <w:r>
              <w:rPr>
                <w:rFonts w:hint="eastAsia" w:ascii="宋体" w:hAnsi="宋体" w:cs="宋体"/>
                <w:color w:val="auto"/>
                <w:sz w:val="24"/>
                <w:szCs w:val="24"/>
              </w:rPr>
              <w:t>建设项目名称</w:t>
            </w:r>
          </w:p>
        </w:tc>
        <w:tc>
          <w:tcPr>
            <w:tcW w:w="7147" w:type="dxa"/>
            <w:gridSpan w:val="4"/>
            <w:noWrap w:val="0"/>
            <w:vAlign w:val="center"/>
          </w:tcPr>
          <w:p w14:paraId="1ECEF288">
            <w:pPr>
              <w:adjustRightInd w:val="0"/>
              <w:snapToGrid w:val="0"/>
              <w:jc w:val="center"/>
              <w:rPr>
                <w:rFonts w:hint="eastAsia" w:ascii="宋体" w:hAnsi="宋体" w:eastAsia="宋体" w:cs="宋体"/>
                <w:color w:val="auto"/>
                <w:sz w:val="24"/>
                <w:szCs w:val="24"/>
                <w:lang w:eastAsia="zh-CN"/>
              </w:rPr>
            </w:pPr>
            <w:r>
              <w:rPr>
                <w:rFonts w:hint="eastAsia" w:ascii="宋体" w:hAnsi="宋体" w:cs="宋体"/>
                <w:color w:val="auto"/>
                <w:sz w:val="24"/>
                <w:szCs w:val="24"/>
                <w:lang w:eastAsia="zh-CN"/>
              </w:rPr>
              <w:t>北沙口紫境城小区地热井及回灌井建设项目</w:t>
            </w:r>
          </w:p>
        </w:tc>
      </w:tr>
      <w:tr w14:paraId="7983ED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92" w:type="dxa"/>
            <w:noWrap w:val="0"/>
            <w:tcMar>
              <w:top w:w="16" w:type="dxa"/>
              <w:left w:w="16" w:type="dxa"/>
              <w:right w:w="16" w:type="dxa"/>
            </w:tcMar>
            <w:vAlign w:val="center"/>
          </w:tcPr>
          <w:p w14:paraId="5DCF99F7">
            <w:pPr>
              <w:adjustRightInd w:val="0"/>
              <w:snapToGri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项目代码</w:t>
            </w:r>
          </w:p>
        </w:tc>
        <w:tc>
          <w:tcPr>
            <w:tcW w:w="7147" w:type="dxa"/>
            <w:gridSpan w:val="4"/>
            <w:noWrap w:val="0"/>
            <w:vAlign w:val="center"/>
          </w:tcPr>
          <w:p w14:paraId="78E887DD">
            <w:pPr>
              <w:adjustRightInd w:val="0"/>
              <w:snapToGrid w:val="0"/>
              <w:jc w:val="center"/>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lang w:val="en-US" w:eastAsia="zh-CN"/>
              </w:rPr>
              <w:t>/</w:t>
            </w:r>
          </w:p>
        </w:tc>
      </w:tr>
      <w:tr w14:paraId="756800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92" w:type="dxa"/>
            <w:noWrap w:val="0"/>
            <w:tcMar>
              <w:top w:w="16" w:type="dxa"/>
              <w:left w:w="16" w:type="dxa"/>
              <w:right w:w="16" w:type="dxa"/>
            </w:tcMar>
            <w:vAlign w:val="center"/>
          </w:tcPr>
          <w:p w14:paraId="57BF9A01">
            <w:pPr>
              <w:adjustRightInd w:val="0"/>
              <w:snapToGri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建设单位联系人</w:t>
            </w:r>
          </w:p>
        </w:tc>
        <w:tc>
          <w:tcPr>
            <w:tcW w:w="2618" w:type="dxa"/>
            <w:noWrap w:val="0"/>
            <w:vAlign w:val="center"/>
          </w:tcPr>
          <w:p w14:paraId="09BE930B">
            <w:pPr>
              <w:adjustRightInd w:val="0"/>
              <w:snapToGri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李盘恩</w:t>
            </w:r>
          </w:p>
        </w:tc>
        <w:tc>
          <w:tcPr>
            <w:tcW w:w="1987" w:type="dxa"/>
            <w:gridSpan w:val="2"/>
            <w:noWrap w:val="0"/>
            <w:vAlign w:val="center"/>
          </w:tcPr>
          <w:p w14:paraId="64574B60">
            <w:pPr>
              <w:adjustRightInd w:val="0"/>
              <w:snapToGri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联系方式</w:t>
            </w:r>
          </w:p>
        </w:tc>
        <w:tc>
          <w:tcPr>
            <w:tcW w:w="2542" w:type="dxa"/>
            <w:noWrap w:val="0"/>
            <w:vAlign w:val="center"/>
          </w:tcPr>
          <w:p w14:paraId="3CD9FE6B">
            <w:pPr>
              <w:adjustRightInd w:val="0"/>
              <w:snapToGri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13119160317</w:t>
            </w:r>
          </w:p>
        </w:tc>
      </w:tr>
      <w:tr w14:paraId="77770D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92" w:type="dxa"/>
            <w:noWrap w:val="0"/>
            <w:tcMar>
              <w:top w:w="16" w:type="dxa"/>
              <w:left w:w="16" w:type="dxa"/>
              <w:right w:w="16" w:type="dxa"/>
            </w:tcMar>
            <w:vAlign w:val="center"/>
          </w:tcPr>
          <w:p w14:paraId="32898946">
            <w:pPr>
              <w:adjustRightInd w:val="0"/>
              <w:snapToGri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建设地点</w:t>
            </w:r>
          </w:p>
        </w:tc>
        <w:tc>
          <w:tcPr>
            <w:tcW w:w="7147" w:type="dxa"/>
            <w:gridSpan w:val="4"/>
            <w:noWrap w:val="0"/>
            <w:vAlign w:val="center"/>
          </w:tcPr>
          <w:p w14:paraId="0359158A">
            <w:pPr>
              <w:adjustRightInd w:val="0"/>
              <w:snapToGri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u w:val="none"/>
              </w:rPr>
              <w:t>陕西省西安市西咸新区沣东新城三桥街道北沙口村紫境城小区</w:t>
            </w:r>
          </w:p>
        </w:tc>
      </w:tr>
      <w:tr w14:paraId="00FA5F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92" w:type="dxa"/>
            <w:noWrap w:val="0"/>
            <w:tcMar>
              <w:top w:w="16" w:type="dxa"/>
              <w:left w:w="16" w:type="dxa"/>
              <w:right w:w="16" w:type="dxa"/>
            </w:tcMar>
            <w:vAlign w:val="center"/>
          </w:tcPr>
          <w:p w14:paraId="6583786F">
            <w:pPr>
              <w:adjustRightInd w:val="0"/>
              <w:snapToGri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地理坐标</w:t>
            </w:r>
          </w:p>
        </w:tc>
        <w:tc>
          <w:tcPr>
            <w:tcW w:w="7147" w:type="dxa"/>
            <w:gridSpan w:val="4"/>
            <w:noWrap w:val="0"/>
            <w:vAlign w:val="center"/>
          </w:tcPr>
          <w:p w14:paraId="3BE14F3A">
            <w:pPr>
              <w:adjustRightInd w:val="0"/>
              <w:snapToGri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东经</w:t>
            </w:r>
            <w:r>
              <w:rPr>
                <w:rFonts w:hint="default" w:ascii="Times New Roman" w:hAnsi="Times New Roman" w:cs="Times New Roman"/>
                <w:color w:val="auto"/>
                <w:sz w:val="24"/>
                <w:szCs w:val="24"/>
                <w:u w:val="none"/>
                <w:lang w:val="en-US" w:eastAsia="zh-CN"/>
              </w:rPr>
              <w:t>108</w:t>
            </w:r>
            <w:r>
              <w:rPr>
                <w:rFonts w:hint="default" w:ascii="Times New Roman" w:hAnsi="Times New Roman" w:cs="Times New Roman"/>
                <w:color w:val="auto"/>
                <w:sz w:val="24"/>
                <w:szCs w:val="24"/>
                <w:u w:val="none"/>
              </w:rPr>
              <w:t>度</w:t>
            </w:r>
            <w:r>
              <w:rPr>
                <w:rFonts w:hint="default" w:ascii="Times New Roman" w:hAnsi="Times New Roman" w:cs="Times New Roman"/>
                <w:color w:val="auto"/>
                <w:sz w:val="24"/>
                <w:szCs w:val="24"/>
                <w:u w:val="none"/>
                <w:lang w:val="en-US" w:eastAsia="zh-CN"/>
              </w:rPr>
              <w:t>49</w:t>
            </w:r>
            <w:r>
              <w:rPr>
                <w:rFonts w:hint="default" w:ascii="Times New Roman" w:hAnsi="Times New Roman" w:cs="Times New Roman"/>
                <w:color w:val="auto"/>
                <w:sz w:val="24"/>
                <w:szCs w:val="24"/>
                <w:u w:val="none"/>
              </w:rPr>
              <w:t>分</w:t>
            </w:r>
            <w:r>
              <w:rPr>
                <w:rFonts w:hint="eastAsia" w:ascii="Times New Roman" w:hAnsi="Times New Roman" w:cs="Times New Roman"/>
                <w:color w:val="auto"/>
                <w:sz w:val="24"/>
                <w:szCs w:val="24"/>
                <w:u w:val="none"/>
                <w:lang w:val="en-US" w:eastAsia="zh-CN"/>
              </w:rPr>
              <w:t>18.892</w:t>
            </w:r>
            <w:r>
              <w:rPr>
                <w:rFonts w:hint="default" w:ascii="Times New Roman" w:hAnsi="Times New Roman" w:cs="Times New Roman"/>
                <w:color w:val="auto"/>
                <w:sz w:val="24"/>
                <w:szCs w:val="24"/>
                <w:u w:val="none"/>
              </w:rPr>
              <w:t>秒，</w:t>
            </w:r>
            <w:r>
              <w:rPr>
                <w:rFonts w:hint="default" w:ascii="Times New Roman" w:hAnsi="Times New Roman" w:cs="Times New Roman"/>
                <w:color w:val="auto"/>
                <w:sz w:val="24"/>
                <w:szCs w:val="24"/>
                <w:u w:val="none"/>
                <w:lang w:val="en-US" w:eastAsia="zh-CN"/>
              </w:rPr>
              <w:t>北纬34</w:t>
            </w:r>
            <w:r>
              <w:rPr>
                <w:rFonts w:hint="default" w:ascii="Times New Roman" w:hAnsi="Times New Roman" w:cs="Times New Roman"/>
                <w:color w:val="auto"/>
                <w:sz w:val="24"/>
                <w:szCs w:val="24"/>
                <w:u w:val="none"/>
              </w:rPr>
              <w:t>度</w:t>
            </w:r>
            <w:r>
              <w:rPr>
                <w:rFonts w:hint="default" w:ascii="Times New Roman" w:hAnsi="Times New Roman" w:cs="Times New Roman"/>
                <w:color w:val="auto"/>
                <w:sz w:val="24"/>
                <w:szCs w:val="24"/>
                <w:u w:val="none"/>
                <w:lang w:val="en-US" w:eastAsia="zh-CN"/>
              </w:rPr>
              <w:t>18</w:t>
            </w:r>
            <w:r>
              <w:rPr>
                <w:rFonts w:hint="default" w:ascii="Times New Roman" w:hAnsi="Times New Roman" w:cs="Times New Roman"/>
                <w:color w:val="auto"/>
                <w:sz w:val="24"/>
                <w:szCs w:val="24"/>
                <w:u w:val="none"/>
              </w:rPr>
              <w:t>分</w:t>
            </w:r>
            <w:r>
              <w:rPr>
                <w:rFonts w:hint="eastAsia" w:ascii="Times New Roman" w:hAnsi="Times New Roman" w:cs="Times New Roman"/>
                <w:color w:val="auto"/>
                <w:sz w:val="24"/>
                <w:szCs w:val="24"/>
                <w:u w:val="none"/>
                <w:lang w:val="en-US" w:eastAsia="zh-CN"/>
              </w:rPr>
              <w:t>12.518</w:t>
            </w:r>
            <w:r>
              <w:rPr>
                <w:rFonts w:hint="default" w:ascii="Times New Roman" w:hAnsi="Times New Roman" w:cs="Times New Roman"/>
                <w:color w:val="auto"/>
                <w:sz w:val="24"/>
                <w:szCs w:val="24"/>
                <w:u w:val="none"/>
              </w:rPr>
              <w:t>秒</w:t>
            </w:r>
            <w:r>
              <w:rPr>
                <w:rFonts w:hint="default" w:ascii="Times New Roman" w:hAnsi="Times New Roman" w:cs="Times New Roman"/>
                <w:color w:val="auto"/>
                <w:sz w:val="24"/>
                <w:szCs w:val="24"/>
              </w:rPr>
              <w:t>）</w:t>
            </w:r>
          </w:p>
        </w:tc>
      </w:tr>
      <w:tr w14:paraId="5350E3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20" w:hRule="atLeast"/>
        </w:trPr>
        <w:tc>
          <w:tcPr>
            <w:tcW w:w="1892" w:type="dxa"/>
            <w:noWrap w:val="0"/>
            <w:tcMar>
              <w:top w:w="16" w:type="dxa"/>
              <w:left w:w="16" w:type="dxa"/>
              <w:right w:w="16" w:type="dxa"/>
            </w:tcMar>
            <w:vAlign w:val="center"/>
          </w:tcPr>
          <w:p w14:paraId="4656199C">
            <w:pPr>
              <w:adjustRightInd w:val="0"/>
              <w:snapToGrid w:val="0"/>
              <w:jc w:val="center"/>
              <w:rPr>
                <w:rFonts w:ascii="宋体" w:hAnsi="宋体" w:cs="宋体"/>
                <w:color w:val="auto"/>
                <w:sz w:val="24"/>
                <w:szCs w:val="24"/>
              </w:rPr>
            </w:pPr>
            <w:r>
              <w:rPr>
                <w:rFonts w:hint="eastAsia" w:ascii="宋体" w:hAnsi="宋体" w:cs="宋体"/>
                <w:color w:val="auto"/>
                <w:sz w:val="24"/>
                <w:szCs w:val="24"/>
              </w:rPr>
              <w:t>建设项目</w:t>
            </w:r>
          </w:p>
          <w:p w14:paraId="17B4C9FE">
            <w:pPr>
              <w:adjustRightInd w:val="0"/>
              <w:snapToGrid w:val="0"/>
              <w:jc w:val="center"/>
              <w:rPr>
                <w:rFonts w:ascii="宋体" w:hAnsi="宋体" w:cs="宋体"/>
                <w:color w:val="auto"/>
                <w:sz w:val="24"/>
                <w:szCs w:val="24"/>
              </w:rPr>
            </w:pPr>
            <w:r>
              <w:rPr>
                <w:rFonts w:hint="eastAsia" w:ascii="宋体" w:hAnsi="宋体" w:cs="宋体"/>
                <w:color w:val="auto"/>
                <w:sz w:val="24"/>
                <w:szCs w:val="24"/>
              </w:rPr>
              <w:t>行业类别</w:t>
            </w:r>
          </w:p>
        </w:tc>
        <w:tc>
          <w:tcPr>
            <w:tcW w:w="2618" w:type="dxa"/>
            <w:noWrap w:val="0"/>
            <w:vAlign w:val="center"/>
          </w:tcPr>
          <w:p w14:paraId="430CA95D">
            <w:pPr>
              <w:adjustRightInd w:val="0"/>
              <w:snapToGrid w:val="0"/>
              <w:jc w:val="center"/>
              <w:rPr>
                <w:rFonts w:ascii="宋体" w:hAnsi="宋体" w:cs="宋体"/>
                <w:color w:val="auto"/>
                <w:sz w:val="24"/>
                <w:szCs w:val="24"/>
              </w:rPr>
            </w:pPr>
            <w:r>
              <w:rPr>
                <w:rFonts w:hint="default" w:ascii="Times New Roman" w:hAnsi="Times New Roman" w:cs="Times New Roman"/>
                <w:color w:val="auto"/>
                <w:sz w:val="24"/>
                <w:szCs w:val="24"/>
              </w:rPr>
              <w:t>129、地下水开采（农村分散式家庭生活自用水井除外）—其他</w:t>
            </w:r>
          </w:p>
        </w:tc>
        <w:tc>
          <w:tcPr>
            <w:tcW w:w="1977" w:type="dxa"/>
            <w:noWrap w:val="0"/>
            <w:vAlign w:val="center"/>
          </w:tcPr>
          <w:p w14:paraId="0F8198F5">
            <w:pPr>
              <w:adjustRightInd w:val="0"/>
              <w:snapToGrid w:val="0"/>
              <w:jc w:val="center"/>
              <w:rPr>
                <w:rFonts w:ascii="宋体" w:hAnsi="宋体" w:cs="宋体"/>
                <w:color w:val="auto"/>
                <w:sz w:val="24"/>
                <w:szCs w:val="24"/>
              </w:rPr>
            </w:pPr>
            <w:r>
              <w:rPr>
                <w:rFonts w:hint="eastAsia" w:ascii="宋体" w:hAnsi="宋体" w:cs="宋体"/>
                <w:color w:val="auto"/>
                <w:sz w:val="24"/>
                <w:szCs w:val="24"/>
              </w:rPr>
              <w:t>用地面积（</w:t>
            </w:r>
            <w:r>
              <w:rPr>
                <w:rFonts w:hint="default" w:ascii="Times New Roman" w:hAnsi="Times New Roman" w:cs="Times New Roman"/>
                <w:color w:val="auto"/>
                <w:sz w:val="24"/>
                <w:szCs w:val="24"/>
              </w:rPr>
              <w:t>m</w:t>
            </w:r>
            <w:r>
              <w:rPr>
                <w:rFonts w:hint="default" w:ascii="Times New Roman" w:hAnsi="Times New Roman" w:cs="Times New Roman"/>
                <w:color w:val="auto"/>
                <w:sz w:val="24"/>
                <w:szCs w:val="24"/>
                <w:vertAlign w:val="superscript"/>
              </w:rPr>
              <w:t>2</w:t>
            </w:r>
            <w:r>
              <w:rPr>
                <w:rFonts w:hint="eastAsia" w:ascii="宋体" w:hAnsi="宋体" w:cs="宋体"/>
                <w:color w:val="auto"/>
                <w:sz w:val="24"/>
                <w:szCs w:val="24"/>
              </w:rPr>
              <w:t>）</w:t>
            </w:r>
            <w:r>
              <w:rPr>
                <w:rFonts w:ascii="宋体" w:hAnsi="宋体" w:cs="宋体"/>
                <w:color w:val="auto"/>
                <w:sz w:val="24"/>
                <w:szCs w:val="24"/>
              </w:rPr>
              <w:t>/</w:t>
            </w:r>
            <w:r>
              <w:rPr>
                <w:rFonts w:hint="eastAsia" w:ascii="宋体" w:hAnsi="宋体" w:cs="宋体"/>
                <w:color w:val="auto"/>
                <w:sz w:val="24"/>
                <w:szCs w:val="24"/>
              </w:rPr>
              <w:t>长度（</w:t>
            </w:r>
            <w:r>
              <w:rPr>
                <w:rFonts w:ascii="宋体" w:hAnsi="宋体" w:cs="宋体"/>
                <w:color w:val="auto"/>
                <w:sz w:val="24"/>
                <w:szCs w:val="24"/>
              </w:rPr>
              <w:t>km</w:t>
            </w:r>
            <w:r>
              <w:rPr>
                <w:rFonts w:hint="eastAsia" w:ascii="宋体" w:hAnsi="宋体" w:cs="宋体"/>
                <w:color w:val="auto"/>
                <w:sz w:val="24"/>
                <w:szCs w:val="24"/>
              </w:rPr>
              <w:t>）</w:t>
            </w:r>
          </w:p>
        </w:tc>
        <w:tc>
          <w:tcPr>
            <w:tcW w:w="2552" w:type="dxa"/>
            <w:gridSpan w:val="2"/>
            <w:noWrap w:val="0"/>
            <w:vAlign w:val="center"/>
          </w:tcPr>
          <w:p w14:paraId="0F794707">
            <w:pPr>
              <w:adjustRightInd w:val="0"/>
              <w:snapToGrid w:val="0"/>
              <w:jc w:val="center"/>
              <w:rPr>
                <w:rFonts w:hint="eastAsia" w:cs="Times New Roman"/>
                <w:color w:val="auto"/>
                <w:sz w:val="24"/>
                <w:szCs w:val="24"/>
                <w:lang w:val="en-US" w:eastAsia="zh-CN"/>
              </w:rPr>
            </w:pPr>
            <w:r>
              <w:rPr>
                <w:rFonts w:hint="eastAsia" w:cs="Times New Roman"/>
                <w:color w:val="auto"/>
                <w:sz w:val="24"/>
                <w:szCs w:val="24"/>
                <w:lang w:val="en-US" w:eastAsia="zh-CN"/>
              </w:rPr>
              <w:t>永久占地</w:t>
            </w:r>
            <w:r>
              <w:rPr>
                <w:rFonts w:hint="eastAsia" w:ascii="Times New Roman" w:hAnsi="Times New Roman" w:cs="Times New Roman"/>
                <w:color w:val="auto"/>
                <w:sz w:val="24"/>
                <w:szCs w:val="24"/>
                <w:lang w:val="en-US" w:eastAsia="zh-CN"/>
              </w:rPr>
              <w:t>587.25m</w:t>
            </w:r>
            <w:r>
              <w:rPr>
                <w:rFonts w:hint="eastAsia" w:ascii="Times New Roman" w:hAnsi="Times New Roman" w:cs="Times New Roman"/>
                <w:color w:val="auto"/>
                <w:sz w:val="24"/>
                <w:szCs w:val="24"/>
                <w:vertAlign w:val="superscript"/>
                <w:lang w:val="en-US" w:eastAsia="zh-CN"/>
              </w:rPr>
              <w:t>2</w:t>
            </w:r>
            <w:r>
              <w:rPr>
                <w:rFonts w:hint="eastAsia" w:cs="Times New Roman"/>
                <w:color w:val="auto"/>
                <w:sz w:val="24"/>
                <w:szCs w:val="24"/>
                <w:lang w:val="en-US" w:eastAsia="zh-CN"/>
              </w:rPr>
              <w:t>；</w:t>
            </w:r>
          </w:p>
          <w:p w14:paraId="0A472C54">
            <w:pPr>
              <w:adjustRightInd w:val="0"/>
              <w:snapToGrid w:val="0"/>
              <w:jc w:val="center"/>
              <w:rPr>
                <w:rFonts w:hint="default" w:ascii="宋体" w:hAnsi="宋体" w:cs="宋体"/>
                <w:color w:val="auto"/>
                <w:sz w:val="24"/>
                <w:szCs w:val="24"/>
                <w:lang w:val="en-US" w:eastAsia="zh-CN"/>
              </w:rPr>
            </w:pPr>
            <w:r>
              <w:rPr>
                <w:rFonts w:hint="eastAsia" w:ascii="Times New Roman" w:hAnsi="Times New Roman" w:cs="Times New Roman"/>
                <w:color w:val="auto"/>
                <w:sz w:val="24"/>
                <w:szCs w:val="24"/>
                <w:lang w:val="en-US" w:eastAsia="zh-CN"/>
              </w:rPr>
              <w:t>临时占地面积</w:t>
            </w:r>
            <w:r>
              <w:rPr>
                <w:rFonts w:hint="eastAsia" w:cs="Times New Roman"/>
                <w:color w:val="auto"/>
                <w:sz w:val="24"/>
                <w:szCs w:val="24"/>
                <w:lang w:val="en-US" w:eastAsia="zh-CN"/>
              </w:rPr>
              <w:t>1500</w:t>
            </w:r>
            <w:r>
              <w:rPr>
                <w:rFonts w:hint="eastAsia" w:ascii="Times New Roman" w:hAnsi="Times New Roman" w:cs="Times New Roman"/>
                <w:color w:val="auto"/>
                <w:sz w:val="24"/>
                <w:szCs w:val="24"/>
                <w:lang w:val="en-US" w:eastAsia="zh-CN"/>
              </w:rPr>
              <w:t>m</w:t>
            </w:r>
            <w:r>
              <w:rPr>
                <w:rFonts w:hint="eastAsia" w:ascii="Times New Roman" w:hAnsi="Times New Roman" w:cs="Times New Roman"/>
                <w:color w:val="auto"/>
                <w:sz w:val="24"/>
                <w:szCs w:val="24"/>
                <w:vertAlign w:val="superscript"/>
                <w:lang w:val="en-US" w:eastAsia="zh-CN"/>
              </w:rPr>
              <w:t>2</w:t>
            </w:r>
          </w:p>
        </w:tc>
      </w:tr>
      <w:tr w14:paraId="2AA915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4" w:hRule="atLeast"/>
        </w:trPr>
        <w:tc>
          <w:tcPr>
            <w:tcW w:w="1892" w:type="dxa"/>
            <w:noWrap w:val="0"/>
            <w:tcMar>
              <w:top w:w="16" w:type="dxa"/>
              <w:left w:w="16" w:type="dxa"/>
              <w:right w:w="16" w:type="dxa"/>
            </w:tcMar>
            <w:vAlign w:val="center"/>
          </w:tcPr>
          <w:p w14:paraId="56D7B49F">
            <w:pPr>
              <w:adjustRightInd w:val="0"/>
              <w:snapToGrid w:val="0"/>
              <w:jc w:val="center"/>
              <w:rPr>
                <w:rFonts w:ascii="宋体" w:hAnsi="宋体" w:cs="宋体"/>
                <w:color w:val="auto"/>
                <w:sz w:val="24"/>
                <w:szCs w:val="24"/>
              </w:rPr>
            </w:pPr>
            <w:r>
              <w:rPr>
                <w:rFonts w:hint="eastAsia" w:ascii="宋体" w:hAnsi="宋体" w:cs="宋体"/>
                <w:color w:val="auto"/>
                <w:sz w:val="24"/>
                <w:szCs w:val="24"/>
              </w:rPr>
              <w:t>建设性质</w:t>
            </w:r>
          </w:p>
        </w:tc>
        <w:tc>
          <w:tcPr>
            <w:tcW w:w="2618" w:type="dxa"/>
            <w:noWrap w:val="0"/>
            <w:vAlign w:val="center"/>
          </w:tcPr>
          <w:p w14:paraId="497C6AA5">
            <w:pPr>
              <w:adjustRightInd w:val="0"/>
              <w:snapToGrid w:val="0"/>
              <w:jc w:val="left"/>
              <w:rPr>
                <w:rFonts w:ascii="宋体" w:hAnsi="宋体" w:cs="宋体"/>
                <w:color w:val="auto"/>
                <w:sz w:val="24"/>
                <w:szCs w:val="24"/>
              </w:rPr>
            </w:pPr>
            <w:r>
              <w:rPr>
                <w:rFonts w:hint="eastAsia" w:ascii="宋体" w:hAnsi="宋体" w:cs="宋体"/>
                <w:color w:val="auto"/>
                <w:sz w:val="24"/>
                <w:szCs w:val="24"/>
              </w:rPr>
              <w:sym w:font="Wingdings 2" w:char="0052"/>
            </w:r>
            <w:r>
              <w:rPr>
                <w:rFonts w:hint="eastAsia" w:ascii="宋体" w:hAnsi="宋体" w:cs="宋体"/>
                <w:color w:val="auto"/>
                <w:sz w:val="24"/>
                <w:szCs w:val="24"/>
              </w:rPr>
              <w:t>新建（迁建）</w:t>
            </w:r>
          </w:p>
          <w:p w14:paraId="6F51DDE7">
            <w:pPr>
              <w:adjustRightInd w:val="0"/>
              <w:snapToGrid w:val="0"/>
              <w:jc w:val="left"/>
              <w:rPr>
                <w:rFonts w:ascii="宋体" w:hAnsi="宋体" w:cs="宋体"/>
                <w:color w:val="auto"/>
                <w:sz w:val="24"/>
                <w:szCs w:val="24"/>
              </w:rPr>
            </w:pPr>
            <w:r>
              <w:rPr>
                <w:rFonts w:hint="eastAsia" w:ascii="宋体" w:hAnsi="宋体" w:cs="宋体"/>
                <w:color w:val="auto"/>
                <w:sz w:val="24"/>
                <w:szCs w:val="24"/>
              </w:rPr>
              <w:t>□改建</w:t>
            </w:r>
          </w:p>
          <w:p w14:paraId="48A56551">
            <w:pPr>
              <w:adjustRightInd w:val="0"/>
              <w:snapToGrid w:val="0"/>
              <w:jc w:val="left"/>
              <w:rPr>
                <w:rFonts w:ascii="宋体" w:hAnsi="宋体" w:cs="宋体"/>
                <w:color w:val="auto"/>
                <w:sz w:val="24"/>
                <w:szCs w:val="24"/>
              </w:rPr>
            </w:pPr>
            <w:r>
              <w:rPr>
                <w:rFonts w:hint="eastAsia" w:ascii="宋体" w:hAnsi="宋体" w:cs="宋体"/>
                <w:color w:val="auto"/>
                <w:sz w:val="24"/>
                <w:szCs w:val="24"/>
              </w:rPr>
              <w:t>□扩建</w:t>
            </w:r>
          </w:p>
          <w:p w14:paraId="1F997F0B">
            <w:pPr>
              <w:adjustRightInd w:val="0"/>
              <w:snapToGrid w:val="0"/>
              <w:jc w:val="left"/>
              <w:rPr>
                <w:rFonts w:ascii="宋体" w:hAnsi="宋体" w:cs="宋体"/>
                <w:color w:val="auto"/>
                <w:sz w:val="24"/>
                <w:szCs w:val="24"/>
              </w:rPr>
            </w:pPr>
            <w:r>
              <w:rPr>
                <w:rFonts w:hint="eastAsia" w:ascii="宋体" w:hAnsi="宋体" w:cs="宋体"/>
                <w:color w:val="auto"/>
                <w:sz w:val="24"/>
                <w:szCs w:val="24"/>
              </w:rPr>
              <w:t>□技术改造</w:t>
            </w:r>
          </w:p>
        </w:tc>
        <w:tc>
          <w:tcPr>
            <w:tcW w:w="1977" w:type="dxa"/>
            <w:noWrap w:val="0"/>
            <w:vAlign w:val="center"/>
          </w:tcPr>
          <w:p w14:paraId="7F485B48">
            <w:pPr>
              <w:adjustRightInd w:val="0"/>
              <w:snapToGrid w:val="0"/>
              <w:jc w:val="center"/>
              <w:rPr>
                <w:rFonts w:ascii="宋体" w:hAnsi="宋体" w:cs="宋体"/>
                <w:color w:val="auto"/>
                <w:sz w:val="24"/>
                <w:szCs w:val="24"/>
              </w:rPr>
            </w:pPr>
            <w:r>
              <w:rPr>
                <w:rFonts w:hint="eastAsia" w:ascii="宋体" w:hAnsi="宋体" w:cs="宋体"/>
                <w:color w:val="auto"/>
                <w:sz w:val="24"/>
                <w:szCs w:val="24"/>
              </w:rPr>
              <w:t>建设项目</w:t>
            </w:r>
          </w:p>
          <w:p w14:paraId="2F814D3B">
            <w:pPr>
              <w:adjustRightInd w:val="0"/>
              <w:snapToGrid w:val="0"/>
              <w:jc w:val="center"/>
              <w:rPr>
                <w:rFonts w:ascii="宋体" w:hAnsi="宋体" w:cs="宋体"/>
                <w:color w:val="auto"/>
                <w:sz w:val="24"/>
                <w:szCs w:val="24"/>
              </w:rPr>
            </w:pPr>
            <w:r>
              <w:rPr>
                <w:rFonts w:hint="eastAsia" w:ascii="宋体" w:hAnsi="宋体" w:cs="宋体"/>
                <w:color w:val="auto"/>
                <w:sz w:val="24"/>
                <w:szCs w:val="24"/>
              </w:rPr>
              <w:t>申报情形</w:t>
            </w:r>
          </w:p>
        </w:tc>
        <w:tc>
          <w:tcPr>
            <w:tcW w:w="2552" w:type="dxa"/>
            <w:gridSpan w:val="2"/>
            <w:noWrap w:val="0"/>
            <w:vAlign w:val="center"/>
          </w:tcPr>
          <w:p w14:paraId="02E42C51">
            <w:pPr>
              <w:adjustRightInd w:val="0"/>
              <w:snapToGrid w:val="0"/>
              <w:jc w:val="left"/>
              <w:rPr>
                <w:rFonts w:ascii="宋体" w:hAnsi="宋体" w:cs="宋体"/>
                <w:color w:val="auto"/>
                <w:sz w:val="24"/>
                <w:szCs w:val="24"/>
              </w:rPr>
            </w:pPr>
            <w:r>
              <w:rPr>
                <w:rFonts w:hint="eastAsia" w:ascii="宋体" w:hAnsi="宋体" w:cs="宋体"/>
                <w:color w:val="auto"/>
                <w:sz w:val="24"/>
                <w:szCs w:val="24"/>
              </w:rPr>
              <w:sym w:font="Wingdings 2" w:char="0052"/>
            </w:r>
            <w:r>
              <w:rPr>
                <w:rFonts w:hint="eastAsia" w:ascii="宋体" w:hAnsi="宋体" w:cs="宋体"/>
                <w:color w:val="auto"/>
                <w:sz w:val="24"/>
                <w:szCs w:val="24"/>
              </w:rPr>
              <w:t>首次申报项目</w:t>
            </w:r>
          </w:p>
          <w:p w14:paraId="2A3FC24C">
            <w:pPr>
              <w:adjustRightInd w:val="0"/>
              <w:snapToGrid w:val="0"/>
              <w:jc w:val="left"/>
              <w:rPr>
                <w:rFonts w:ascii="宋体" w:hAnsi="宋体" w:cs="宋体"/>
                <w:color w:val="auto"/>
                <w:sz w:val="24"/>
                <w:szCs w:val="24"/>
              </w:rPr>
            </w:pPr>
            <w:r>
              <w:rPr>
                <w:rFonts w:hint="eastAsia" w:ascii="宋体" w:hAnsi="宋体" w:cs="宋体"/>
                <w:color w:val="auto"/>
                <w:sz w:val="24"/>
                <w:szCs w:val="24"/>
              </w:rPr>
              <w:t>□不予批准后再次申报项目</w:t>
            </w:r>
          </w:p>
          <w:p w14:paraId="55BC9F5A">
            <w:pPr>
              <w:adjustRightInd w:val="0"/>
              <w:snapToGrid w:val="0"/>
              <w:jc w:val="left"/>
              <w:rPr>
                <w:rFonts w:ascii="宋体" w:hAnsi="宋体" w:cs="宋体"/>
                <w:color w:val="auto"/>
                <w:sz w:val="24"/>
                <w:szCs w:val="24"/>
              </w:rPr>
            </w:pPr>
            <w:r>
              <w:rPr>
                <w:rFonts w:hint="eastAsia" w:ascii="宋体" w:hAnsi="宋体" w:cs="宋体"/>
                <w:color w:val="auto"/>
                <w:sz w:val="24"/>
                <w:szCs w:val="24"/>
              </w:rPr>
              <w:t>□超五年重新审核项目</w:t>
            </w:r>
          </w:p>
          <w:p w14:paraId="7ABA6F79">
            <w:pPr>
              <w:adjustRightInd w:val="0"/>
              <w:snapToGrid w:val="0"/>
              <w:rPr>
                <w:rFonts w:ascii="宋体" w:hAnsi="宋体" w:cs="宋体"/>
                <w:color w:val="auto"/>
                <w:sz w:val="24"/>
                <w:szCs w:val="24"/>
              </w:rPr>
            </w:pPr>
            <w:r>
              <w:rPr>
                <w:rFonts w:hint="eastAsia" w:ascii="宋体" w:hAnsi="宋体" w:cs="宋体"/>
                <w:color w:val="auto"/>
                <w:sz w:val="24"/>
                <w:szCs w:val="24"/>
              </w:rPr>
              <w:t>□重大变动重新报批项目</w:t>
            </w:r>
          </w:p>
        </w:tc>
      </w:tr>
      <w:tr w14:paraId="68A655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1892" w:type="dxa"/>
            <w:noWrap w:val="0"/>
            <w:tcMar>
              <w:top w:w="16" w:type="dxa"/>
              <w:left w:w="16" w:type="dxa"/>
              <w:right w:w="16" w:type="dxa"/>
            </w:tcMar>
            <w:vAlign w:val="center"/>
          </w:tcPr>
          <w:p w14:paraId="391F5FC1">
            <w:pPr>
              <w:adjustRightInd w:val="0"/>
              <w:snapToGri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项目审批（核准/</w:t>
            </w:r>
          </w:p>
          <w:p w14:paraId="4028837D">
            <w:pPr>
              <w:adjustRightInd w:val="0"/>
              <w:snapToGri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备案）部门（选填）</w:t>
            </w:r>
          </w:p>
        </w:tc>
        <w:tc>
          <w:tcPr>
            <w:tcW w:w="2618" w:type="dxa"/>
            <w:noWrap w:val="0"/>
            <w:vAlign w:val="center"/>
          </w:tcPr>
          <w:p w14:paraId="28162552">
            <w:pPr>
              <w:adjustRightInd w:val="0"/>
              <w:snapToGrid w:val="0"/>
              <w:jc w:val="center"/>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val="en-US" w:eastAsia="zh-CN"/>
              </w:rPr>
              <w:t>/</w:t>
            </w:r>
          </w:p>
        </w:tc>
        <w:tc>
          <w:tcPr>
            <w:tcW w:w="1977" w:type="dxa"/>
            <w:noWrap w:val="0"/>
            <w:vAlign w:val="center"/>
          </w:tcPr>
          <w:p w14:paraId="6441E6B2">
            <w:pPr>
              <w:adjustRightInd w:val="0"/>
              <w:snapToGri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项目审批（核准/</w:t>
            </w:r>
          </w:p>
          <w:p w14:paraId="6F125BD5">
            <w:pPr>
              <w:adjustRightInd w:val="0"/>
              <w:snapToGri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备案）文号（选填）</w:t>
            </w:r>
          </w:p>
        </w:tc>
        <w:tc>
          <w:tcPr>
            <w:tcW w:w="2552" w:type="dxa"/>
            <w:gridSpan w:val="2"/>
            <w:noWrap w:val="0"/>
            <w:vAlign w:val="center"/>
          </w:tcPr>
          <w:p w14:paraId="40C8D187">
            <w:pPr>
              <w:adjustRightInd w:val="0"/>
              <w:snapToGrid w:val="0"/>
              <w:jc w:val="center"/>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val="en-US" w:eastAsia="zh-CN"/>
              </w:rPr>
              <w:t>/</w:t>
            </w:r>
          </w:p>
        </w:tc>
      </w:tr>
      <w:tr w14:paraId="79F803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92" w:type="dxa"/>
            <w:noWrap w:val="0"/>
            <w:tcMar>
              <w:top w:w="16" w:type="dxa"/>
              <w:left w:w="16" w:type="dxa"/>
              <w:right w:w="16" w:type="dxa"/>
            </w:tcMar>
            <w:vAlign w:val="center"/>
          </w:tcPr>
          <w:p w14:paraId="23DF575C">
            <w:pPr>
              <w:adjustRightInd w:val="0"/>
              <w:snapToGri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总投资（万元）</w:t>
            </w:r>
          </w:p>
        </w:tc>
        <w:tc>
          <w:tcPr>
            <w:tcW w:w="2618" w:type="dxa"/>
            <w:noWrap w:val="0"/>
            <w:vAlign w:val="center"/>
          </w:tcPr>
          <w:p w14:paraId="5DE76EE5">
            <w:pPr>
              <w:adjustRightInd w:val="0"/>
              <w:snapToGrid w:val="0"/>
              <w:jc w:val="center"/>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106</w:t>
            </w:r>
            <w:r>
              <w:rPr>
                <w:rFonts w:hint="eastAsia" w:ascii="Times New Roman" w:hAnsi="Times New Roman" w:cs="Times New Roman"/>
                <w:color w:val="auto"/>
                <w:sz w:val="24"/>
                <w:szCs w:val="24"/>
                <w:lang w:val="en-US" w:eastAsia="zh-CN"/>
              </w:rPr>
              <w:t>.4</w:t>
            </w:r>
          </w:p>
        </w:tc>
        <w:tc>
          <w:tcPr>
            <w:tcW w:w="1977" w:type="dxa"/>
            <w:noWrap w:val="0"/>
            <w:tcMar>
              <w:top w:w="16" w:type="dxa"/>
              <w:left w:w="16" w:type="dxa"/>
              <w:right w:w="16" w:type="dxa"/>
            </w:tcMar>
            <w:vAlign w:val="center"/>
          </w:tcPr>
          <w:p w14:paraId="6E84D563">
            <w:pPr>
              <w:adjustRightInd w:val="0"/>
              <w:snapToGri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环保投资（万元）</w:t>
            </w:r>
          </w:p>
        </w:tc>
        <w:tc>
          <w:tcPr>
            <w:tcW w:w="2552" w:type="dxa"/>
            <w:gridSpan w:val="2"/>
            <w:noWrap w:val="0"/>
            <w:vAlign w:val="center"/>
          </w:tcPr>
          <w:p w14:paraId="0050CB6C">
            <w:pPr>
              <w:adjustRightInd w:val="0"/>
              <w:snapToGrid w:val="0"/>
              <w:jc w:val="center"/>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26</w:t>
            </w:r>
          </w:p>
        </w:tc>
      </w:tr>
      <w:tr w14:paraId="3FF255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1892" w:type="dxa"/>
            <w:noWrap w:val="0"/>
            <w:tcMar>
              <w:top w:w="16" w:type="dxa"/>
              <w:left w:w="16" w:type="dxa"/>
              <w:right w:w="16" w:type="dxa"/>
            </w:tcMar>
            <w:vAlign w:val="center"/>
          </w:tcPr>
          <w:p w14:paraId="79D93850">
            <w:pPr>
              <w:adjustRightInd w:val="0"/>
              <w:snapToGri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环保投资占比（%）</w:t>
            </w:r>
          </w:p>
        </w:tc>
        <w:tc>
          <w:tcPr>
            <w:tcW w:w="2618" w:type="dxa"/>
            <w:noWrap w:val="0"/>
            <w:vAlign w:val="center"/>
          </w:tcPr>
          <w:p w14:paraId="555B7C17">
            <w:pPr>
              <w:adjustRightInd w:val="0"/>
              <w:snapToGrid w:val="0"/>
              <w:jc w:val="center"/>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24.44</w:t>
            </w:r>
          </w:p>
        </w:tc>
        <w:tc>
          <w:tcPr>
            <w:tcW w:w="1977" w:type="dxa"/>
            <w:noWrap w:val="0"/>
            <w:tcMar>
              <w:top w:w="16" w:type="dxa"/>
              <w:left w:w="16" w:type="dxa"/>
              <w:right w:w="16" w:type="dxa"/>
            </w:tcMar>
            <w:vAlign w:val="center"/>
          </w:tcPr>
          <w:p w14:paraId="15E22EE2">
            <w:pPr>
              <w:adjustRightInd w:val="0"/>
              <w:snapToGri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施工工期</w:t>
            </w:r>
          </w:p>
        </w:tc>
        <w:tc>
          <w:tcPr>
            <w:tcW w:w="2552" w:type="dxa"/>
            <w:gridSpan w:val="2"/>
            <w:noWrap w:val="0"/>
            <w:vAlign w:val="center"/>
          </w:tcPr>
          <w:p w14:paraId="0A2B3A1E">
            <w:pPr>
              <w:adjustRightInd w:val="0"/>
              <w:snapToGrid w:val="0"/>
              <w:jc w:val="center"/>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3个月</w:t>
            </w:r>
          </w:p>
        </w:tc>
      </w:tr>
      <w:tr w14:paraId="194D2A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1892" w:type="dxa"/>
            <w:noWrap w:val="0"/>
            <w:tcMar>
              <w:top w:w="16" w:type="dxa"/>
              <w:left w:w="16" w:type="dxa"/>
              <w:right w:w="16" w:type="dxa"/>
            </w:tcMar>
            <w:vAlign w:val="center"/>
          </w:tcPr>
          <w:p w14:paraId="6A69133A">
            <w:pPr>
              <w:adjustRightInd w:val="0"/>
              <w:snapToGri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是否开工建设</w:t>
            </w:r>
          </w:p>
        </w:tc>
        <w:tc>
          <w:tcPr>
            <w:tcW w:w="7147" w:type="dxa"/>
            <w:gridSpan w:val="4"/>
            <w:noWrap w:val="0"/>
            <w:vAlign w:val="center"/>
          </w:tcPr>
          <w:p w14:paraId="4D318222">
            <w:pPr>
              <w:adjustRightInd w:val="0"/>
              <w:snapToGrid w:val="0"/>
              <w:ind w:firstLine="105"/>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sym w:font="Wingdings 2" w:char="0052"/>
            </w:r>
            <w:r>
              <w:rPr>
                <w:rFonts w:hint="default" w:ascii="Times New Roman" w:hAnsi="Times New Roman" w:cs="Times New Roman"/>
                <w:color w:val="auto"/>
                <w:sz w:val="24"/>
                <w:szCs w:val="24"/>
              </w:rPr>
              <w:t>否</w:t>
            </w:r>
            <w:r>
              <w:rPr>
                <w:rFonts w:hint="eastAsia" w:cs="Times New Roman"/>
                <w:color w:val="auto"/>
                <w:sz w:val="24"/>
                <w:szCs w:val="24"/>
                <w:lang w:eastAsia="zh-CN"/>
              </w:rPr>
              <w:t>：</w:t>
            </w:r>
            <w:r>
              <w:rPr>
                <w:rFonts w:hint="eastAsia" w:ascii="Times New Roman" w:hAnsi="Times New Roman" w:cs="Times New Roman"/>
                <w:color w:val="auto"/>
                <w:sz w:val="24"/>
                <w:szCs w:val="24"/>
                <w:lang w:val="en-US" w:eastAsia="zh-CN"/>
              </w:rPr>
              <w:t>地热井于小区建设时由开发商建成；回灌井</w:t>
            </w:r>
            <w:r>
              <w:rPr>
                <w:rFonts w:hint="eastAsia" w:cs="Times New Roman"/>
                <w:color w:val="auto"/>
                <w:sz w:val="24"/>
                <w:szCs w:val="24"/>
                <w:lang w:val="en-US" w:eastAsia="zh-CN"/>
              </w:rPr>
              <w:t>未开始建设</w:t>
            </w:r>
          </w:p>
          <w:p w14:paraId="5D3C67C9">
            <w:pPr>
              <w:adjustRightInd w:val="0"/>
              <w:snapToGrid w:val="0"/>
              <w:ind w:firstLine="92"/>
              <w:jc w:val="left"/>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w:t>
            </w:r>
            <w:r>
              <w:rPr>
                <w:rFonts w:hint="default" w:ascii="Times New Roman" w:hAnsi="Times New Roman" w:cs="Times New Roman"/>
                <w:color w:val="auto"/>
                <w:sz w:val="24"/>
                <w:szCs w:val="24"/>
              </w:rPr>
              <w:t>是：</w:t>
            </w:r>
          </w:p>
        </w:tc>
      </w:tr>
      <w:tr w14:paraId="4B3140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361" w:hRule="atLeast"/>
        </w:trPr>
        <w:tc>
          <w:tcPr>
            <w:tcW w:w="1892" w:type="dxa"/>
            <w:noWrap w:val="0"/>
            <w:tcMar>
              <w:top w:w="16" w:type="dxa"/>
              <w:left w:w="16" w:type="dxa"/>
              <w:right w:w="16" w:type="dxa"/>
            </w:tcMar>
            <w:vAlign w:val="center"/>
          </w:tcPr>
          <w:p w14:paraId="797977E3">
            <w:pPr>
              <w:autoSpaceDE w:val="0"/>
              <w:autoSpaceDN w:val="0"/>
              <w:adjustRightInd w:val="0"/>
              <w:snapToGrid w:val="0"/>
              <w:jc w:val="center"/>
              <w:rPr>
                <w:rFonts w:ascii="宋体" w:hAnsi="宋体" w:cs="宋体"/>
                <w:color w:val="auto"/>
                <w:kern w:val="0"/>
                <w:sz w:val="24"/>
                <w:szCs w:val="24"/>
              </w:rPr>
            </w:pPr>
            <w:r>
              <w:rPr>
                <w:rFonts w:hint="eastAsia" w:ascii="宋体" w:hAnsi="宋体" w:cs="宋体"/>
                <w:color w:val="auto"/>
                <w:kern w:val="0"/>
                <w:sz w:val="24"/>
                <w:szCs w:val="24"/>
              </w:rPr>
              <w:t>专项评价设置情况</w:t>
            </w:r>
          </w:p>
        </w:tc>
        <w:tc>
          <w:tcPr>
            <w:tcW w:w="7147" w:type="dxa"/>
            <w:gridSpan w:val="4"/>
            <w:noWrap w:val="0"/>
            <w:tcMar>
              <w:top w:w="16" w:type="dxa"/>
              <w:left w:w="16" w:type="dxa"/>
              <w:right w:w="16" w:type="dxa"/>
            </w:tcMar>
            <w:vAlign w:val="center"/>
          </w:tcPr>
          <w:p w14:paraId="2532935F">
            <w:pPr>
              <w:keepNext w:val="0"/>
              <w:keepLines w:val="0"/>
              <w:pageBreakBefore w:val="0"/>
              <w:widowControl w:val="0"/>
              <w:kinsoku/>
              <w:wordWrap/>
              <w:overflowPunct/>
              <w:topLinePunct w:val="0"/>
              <w:autoSpaceDE w:val="0"/>
              <w:autoSpaceDN w:val="0"/>
              <w:bidi w:val="0"/>
              <w:adjustRightInd w:val="0"/>
              <w:snapToGrid w:val="0"/>
              <w:spacing w:line="360" w:lineRule="auto"/>
              <w:jc w:val="both"/>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专项评价名称：北沙口紫境城小区地热井及回灌井建设项目地下水环境影响评价专篇</w:t>
            </w:r>
          </w:p>
          <w:p w14:paraId="31FB5CAA">
            <w:pPr>
              <w:keepNext w:val="0"/>
              <w:keepLines w:val="0"/>
              <w:pageBreakBefore w:val="0"/>
              <w:widowControl w:val="0"/>
              <w:kinsoku/>
              <w:wordWrap/>
              <w:overflowPunct/>
              <w:topLinePunct w:val="0"/>
              <w:autoSpaceDE w:val="0"/>
              <w:autoSpaceDN w:val="0"/>
              <w:bidi w:val="0"/>
              <w:adjustRightInd w:val="0"/>
              <w:snapToGrid w:val="0"/>
              <w:spacing w:line="360" w:lineRule="auto"/>
              <w:jc w:val="both"/>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设置原因：根据《建设项目环境影响报告编制技术指南（生态影响类）（试行）》表</w:t>
            </w:r>
            <w:r>
              <w:rPr>
                <w:rFonts w:hint="default" w:ascii="Times New Roman" w:hAnsi="Times New Roman" w:eastAsia="宋体" w:cs="Times New Roman"/>
                <w:color w:val="auto"/>
                <w:kern w:val="0"/>
                <w:sz w:val="24"/>
                <w:szCs w:val="24"/>
                <w:lang w:eastAsia="zh-CN"/>
              </w:rPr>
              <w:t>1</w:t>
            </w:r>
            <w:r>
              <w:rPr>
                <w:rFonts w:hint="eastAsia" w:ascii="宋体" w:hAnsi="宋体" w:eastAsia="宋体" w:cs="宋体"/>
                <w:color w:val="auto"/>
                <w:kern w:val="0"/>
                <w:sz w:val="24"/>
                <w:szCs w:val="24"/>
                <w:lang w:eastAsia="zh-CN"/>
              </w:rPr>
              <w:t>，本项目属于地下水开采，设置地下水专项评价。</w:t>
            </w:r>
          </w:p>
        </w:tc>
      </w:tr>
      <w:tr w14:paraId="07DF2D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892" w:type="dxa"/>
            <w:noWrap w:val="0"/>
            <w:tcMar>
              <w:top w:w="16" w:type="dxa"/>
              <w:left w:w="16" w:type="dxa"/>
              <w:right w:w="16" w:type="dxa"/>
            </w:tcMar>
            <w:vAlign w:val="center"/>
          </w:tcPr>
          <w:p w14:paraId="7C385457">
            <w:pPr>
              <w:autoSpaceDE w:val="0"/>
              <w:autoSpaceDN w:val="0"/>
              <w:adjustRightInd w:val="0"/>
              <w:snapToGrid w:val="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规划情况</w:t>
            </w:r>
          </w:p>
        </w:tc>
        <w:tc>
          <w:tcPr>
            <w:tcW w:w="7147" w:type="dxa"/>
            <w:gridSpan w:val="4"/>
            <w:noWrap w:val="0"/>
            <w:tcMar>
              <w:top w:w="16" w:type="dxa"/>
              <w:left w:w="16" w:type="dxa"/>
              <w:right w:w="16" w:type="dxa"/>
            </w:tcMar>
            <w:vAlign w:val="center"/>
          </w:tcPr>
          <w:p w14:paraId="23C62479">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lang w:val="en-US" w:eastAsia="zh-CN"/>
              </w:rPr>
              <w:t>规划名称：</w:t>
            </w:r>
            <w:r>
              <w:rPr>
                <w:rFonts w:hint="default" w:ascii="Times New Roman" w:hAnsi="Times New Roman" w:eastAsia="宋体" w:cs="Times New Roman"/>
                <w:color w:val="auto"/>
                <w:kern w:val="0"/>
                <w:sz w:val="24"/>
                <w:szCs w:val="24"/>
              </w:rPr>
              <w:t>《西咸新区—沣东新城分区规划</w:t>
            </w:r>
            <w:r>
              <w:rPr>
                <w:rFonts w:hint="eastAsia" w:ascii="Times New Roman" w:hAnsi="Times New Roman" w:eastAsia="宋体" w:cs="Times New Roman"/>
                <w:color w:val="auto"/>
                <w:kern w:val="0"/>
                <w:sz w:val="24"/>
                <w:szCs w:val="24"/>
                <w:lang w:eastAsia="zh-CN"/>
              </w:rPr>
              <w:t>》</w:t>
            </w:r>
            <w:r>
              <w:rPr>
                <w:rFonts w:hint="default" w:ascii="Times New Roman" w:hAnsi="Times New Roman" w:eastAsia="宋体" w:cs="Times New Roman"/>
                <w:color w:val="auto"/>
                <w:kern w:val="0"/>
                <w:sz w:val="24"/>
                <w:szCs w:val="24"/>
              </w:rPr>
              <w:t>（2010-2020）</w:t>
            </w:r>
          </w:p>
          <w:p w14:paraId="46BB3B0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kern w:val="0"/>
                <w:sz w:val="24"/>
                <w:lang w:val="en-US" w:eastAsia="zh-CN"/>
              </w:rPr>
            </w:pPr>
            <w:r>
              <w:rPr>
                <w:rFonts w:hint="eastAsia"/>
                <w:color w:val="auto"/>
                <w:kern w:val="0"/>
                <w:sz w:val="24"/>
                <w:lang w:val="en-US" w:eastAsia="zh-CN"/>
              </w:rPr>
              <w:t>审查机关：陕西省人民政府</w:t>
            </w:r>
          </w:p>
          <w:p w14:paraId="39001759">
            <w:pPr>
              <w:keepNext w:val="0"/>
              <w:keepLines w:val="0"/>
              <w:pageBreakBefore w:val="0"/>
              <w:widowControl w:val="0"/>
              <w:kinsoku/>
              <w:wordWrap/>
              <w:overflowPunct/>
              <w:topLinePunct w:val="0"/>
              <w:autoSpaceDE w:val="0"/>
              <w:autoSpaceDN w:val="0"/>
              <w:bidi w:val="0"/>
              <w:adjustRightInd w:val="0"/>
              <w:snapToGrid w:val="0"/>
              <w:spacing w:line="360" w:lineRule="auto"/>
              <w:jc w:val="both"/>
              <w:textAlignment w:val="auto"/>
              <w:rPr>
                <w:rFonts w:hint="default" w:ascii="Times New Roman" w:hAnsi="Times New Roman" w:eastAsia="宋体" w:cs="Times New Roman"/>
                <w:color w:val="auto"/>
                <w:kern w:val="0"/>
                <w:sz w:val="24"/>
                <w:szCs w:val="24"/>
              </w:rPr>
            </w:pPr>
            <w:r>
              <w:rPr>
                <w:rFonts w:hint="eastAsia"/>
                <w:color w:val="auto"/>
                <w:sz w:val="24"/>
              </w:rPr>
              <w:t>审查文件名称及文号：</w:t>
            </w:r>
            <w:r>
              <w:rPr>
                <w:rFonts w:hint="eastAsia"/>
                <w:color w:val="auto"/>
                <w:kern w:val="0"/>
                <w:sz w:val="24"/>
                <w:lang w:val="en-US" w:eastAsia="zh-CN"/>
              </w:rPr>
              <w:t>陕西省人民政府关于《西咸新区总体规划》的批复（</w:t>
            </w:r>
            <w:r>
              <w:rPr>
                <w:rFonts w:hint="eastAsia"/>
                <w:color w:val="auto"/>
                <w:sz w:val="24"/>
                <w:lang w:val="en-US" w:eastAsia="zh-CN"/>
              </w:rPr>
              <w:t>陕政</w:t>
            </w:r>
            <w:r>
              <w:rPr>
                <w:rFonts w:hint="eastAsia"/>
                <w:color w:val="auto"/>
                <w:sz w:val="24"/>
              </w:rPr>
              <w:t>函〔20</w:t>
            </w:r>
            <w:r>
              <w:rPr>
                <w:rFonts w:hint="eastAsia"/>
                <w:color w:val="auto"/>
                <w:sz w:val="24"/>
                <w:lang w:val="en-US" w:eastAsia="zh-CN"/>
              </w:rPr>
              <w:t>11</w:t>
            </w:r>
            <w:r>
              <w:rPr>
                <w:rFonts w:hint="eastAsia"/>
                <w:color w:val="auto"/>
                <w:sz w:val="24"/>
              </w:rPr>
              <w:t>〕</w:t>
            </w:r>
            <w:r>
              <w:rPr>
                <w:rFonts w:hint="eastAsia"/>
                <w:color w:val="auto"/>
                <w:sz w:val="24"/>
                <w:lang w:val="en-US" w:eastAsia="zh-CN"/>
              </w:rPr>
              <w:t>11</w:t>
            </w:r>
            <w:r>
              <w:rPr>
                <w:rFonts w:hint="eastAsia"/>
                <w:color w:val="auto"/>
                <w:sz w:val="24"/>
              </w:rPr>
              <w:t>0号</w:t>
            </w:r>
            <w:r>
              <w:rPr>
                <w:rFonts w:hint="eastAsia"/>
                <w:color w:val="auto"/>
                <w:kern w:val="0"/>
                <w:sz w:val="24"/>
                <w:lang w:val="en-US" w:eastAsia="zh-CN"/>
              </w:rPr>
              <w:t>）</w:t>
            </w:r>
          </w:p>
        </w:tc>
      </w:tr>
      <w:tr w14:paraId="56F110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984" w:hRule="atLeast"/>
        </w:trPr>
        <w:tc>
          <w:tcPr>
            <w:tcW w:w="1892" w:type="dxa"/>
            <w:noWrap w:val="0"/>
            <w:tcMar>
              <w:top w:w="16" w:type="dxa"/>
              <w:left w:w="16" w:type="dxa"/>
              <w:right w:w="16" w:type="dxa"/>
            </w:tcMar>
            <w:vAlign w:val="center"/>
          </w:tcPr>
          <w:p w14:paraId="0D652529">
            <w:pPr>
              <w:autoSpaceDE w:val="0"/>
              <w:autoSpaceDN w:val="0"/>
              <w:adjustRightInd w:val="0"/>
              <w:snapToGrid w:val="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规划环境影响</w:t>
            </w:r>
          </w:p>
          <w:p w14:paraId="21607940">
            <w:pPr>
              <w:autoSpaceDE w:val="0"/>
              <w:autoSpaceDN w:val="0"/>
              <w:adjustRightInd w:val="0"/>
              <w:snapToGrid w:val="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评价情况</w:t>
            </w:r>
          </w:p>
        </w:tc>
        <w:tc>
          <w:tcPr>
            <w:tcW w:w="7147" w:type="dxa"/>
            <w:gridSpan w:val="4"/>
            <w:noWrap w:val="0"/>
            <w:tcMar>
              <w:top w:w="16" w:type="dxa"/>
              <w:left w:w="16" w:type="dxa"/>
              <w:right w:w="16" w:type="dxa"/>
            </w:tcMar>
            <w:vAlign w:val="center"/>
          </w:tcPr>
          <w:p w14:paraId="5AA71C3B">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color w:val="auto"/>
                <w:sz w:val="24"/>
              </w:rPr>
            </w:pPr>
            <w:r>
              <w:rPr>
                <w:rFonts w:hint="eastAsia"/>
                <w:color w:val="auto"/>
                <w:sz w:val="24"/>
              </w:rPr>
              <w:t>文件名称：《西咸新区—沣东新城分区规划（2010-2020）环境影响报告书》</w:t>
            </w:r>
          </w:p>
          <w:p w14:paraId="2E3E337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eastAsia="宋体"/>
                <w:color w:val="auto"/>
                <w:sz w:val="24"/>
                <w:lang w:eastAsia="zh-CN"/>
              </w:rPr>
            </w:pPr>
            <w:r>
              <w:rPr>
                <w:rFonts w:hint="eastAsia"/>
                <w:color w:val="auto"/>
                <w:sz w:val="24"/>
              </w:rPr>
              <w:t>审</w:t>
            </w:r>
            <w:r>
              <w:rPr>
                <w:rFonts w:hint="eastAsia"/>
                <w:color w:val="auto"/>
                <w:sz w:val="24"/>
                <w:lang w:val="en-US" w:eastAsia="zh-CN"/>
              </w:rPr>
              <w:t>查</w:t>
            </w:r>
            <w:r>
              <w:rPr>
                <w:rFonts w:hint="eastAsia"/>
                <w:color w:val="auto"/>
                <w:sz w:val="24"/>
              </w:rPr>
              <w:t>机关：西安市环境保护局</w:t>
            </w:r>
            <w:r>
              <w:rPr>
                <w:rFonts w:hint="eastAsia"/>
                <w:color w:val="auto"/>
                <w:sz w:val="24"/>
                <w:lang w:eastAsia="zh-CN"/>
              </w:rPr>
              <w:t>（</w:t>
            </w:r>
            <w:r>
              <w:rPr>
                <w:rFonts w:hint="eastAsia"/>
                <w:color w:val="auto"/>
                <w:sz w:val="24"/>
                <w:lang w:val="en-US" w:eastAsia="zh-CN"/>
              </w:rPr>
              <w:t>2014年3月31日</w:t>
            </w:r>
            <w:r>
              <w:rPr>
                <w:rFonts w:hint="eastAsia"/>
                <w:color w:val="auto"/>
                <w:sz w:val="24"/>
                <w:lang w:eastAsia="zh-CN"/>
              </w:rPr>
              <w:t>）</w:t>
            </w:r>
          </w:p>
          <w:p w14:paraId="60D48178">
            <w:pPr>
              <w:keepNext w:val="0"/>
              <w:keepLines w:val="0"/>
              <w:pageBreakBefore w:val="0"/>
              <w:widowControl w:val="0"/>
              <w:kinsoku/>
              <w:wordWrap/>
              <w:overflowPunct/>
              <w:topLinePunct w:val="0"/>
              <w:autoSpaceDE w:val="0"/>
              <w:autoSpaceDN w:val="0"/>
              <w:bidi w:val="0"/>
              <w:adjustRightInd w:val="0"/>
              <w:snapToGrid w:val="0"/>
              <w:spacing w:line="360" w:lineRule="auto"/>
              <w:jc w:val="both"/>
              <w:textAlignment w:val="auto"/>
              <w:rPr>
                <w:rFonts w:hint="default" w:ascii="Times New Roman" w:hAnsi="Times New Roman" w:eastAsia="宋体" w:cs="Times New Roman"/>
                <w:color w:val="auto"/>
                <w:kern w:val="0"/>
                <w:sz w:val="24"/>
                <w:szCs w:val="24"/>
              </w:rPr>
            </w:pPr>
            <w:r>
              <w:rPr>
                <w:rFonts w:hint="eastAsia"/>
                <w:color w:val="auto"/>
                <w:sz w:val="24"/>
              </w:rPr>
              <w:t>审</w:t>
            </w:r>
            <w:r>
              <w:rPr>
                <w:rFonts w:hint="eastAsia"/>
                <w:color w:val="auto"/>
                <w:sz w:val="24"/>
                <w:lang w:val="en-US" w:eastAsia="zh-CN"/>
              </w:rPr>
              <w:t>查</w:t>
            </w:r>
            <w:r>
              <w:rPr>
                <w:rFonts w:hint="eastAsia"/>
                <w:color w:val="auto"/>
                <w:sz w:val="24"/>
              </w:rPr>
              <w:t>文件名称及文号：西安市环境保护局关于《西咸新区—沣东新城分区规划（2010-2020）环境影响报告书》的审查意见</w:t>
            </w:r>
            <w:r>
              <w:rPr>
                <w:rFonts w:hint="eastAsia"/>
                <w:color w:val="auto"/>
                <w:sz w:val="24"/>
                <w:lang w:eastAsia="zh-CN"/>
              </w:rPr>
              <w:t>（</w:t>
            </w:r>
            <w:r>
              <w:rPr>
                <w:rFonts w:hint="eastAsia"/>
                <w:color w:val="auto"/>
                <w:sz w:val="24"/>
              </w:rPr>
              <w:t>市环函〔2014〕20号</w:t>
            </w:r>
            <w:r>
              <w:rPr>
                <w:rFonts w:hint="eastAsia"/>
                <w:color w:val="auto"/>
                <w:sz w:val="24"/>
                <w:lang w:eastAsia="zh-CN"/>
              </w:rPr>
              <w:t>）</w:t>
            </w:r>
          </w:p>
        </w:tc>
      </w:tr>
      <w:tr w14:paraId="36C474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18" w:hRule="atLeast"/>
        </w:trPr>
        <w:tc>
          <w:tcPr>
            <w:tcW w:w="1892" w:type="dxa"/>
            <w:noWrap w:val="0"/>
            <w:tcMar>
              <w:top w:w="16" w:type="dxa"/>
              <w:left w:w="16" w:type="dxa"/>
              <w:right w:w="16" w:type="dxa"/>
            </w:tcMar>
            <w:vAlign w:val="center"/>
          </w:tcPr>
          <w:p w14:paraId="197511FF">
            <w:pPr>
              <w:autoSpaceDE w:val="0"/>
              <w:autoSpaceDN w:val="0"/>
              <w:adjustRightInd w:val="0"/>
              <w:snapToGrid w:val="0"/>
              <w:jc w:val="center"/>
              <w:rPr>
                <w:rFonts w:ascii="宋体" w:hAnsi="宋体" w:cs="宋体"/>
                <w:color w:val="auto"/>
                <w:kern w:val="0"/>
                <w:sz w:val="24"/>
                <w:szCs w:val="24"/>
              </w:rPr>
            </w:pPr>
            <w:r>
              <w:rPr>
                <w:rFonts w:hint="eastAsia" w:ascii="宋体" w:hAnsi="宋体" w:cs="宋体"/>
                <w:color w:val="auto"/>
                <w:kern w:val="0"/>
                <w:sz w:val="24"/>
                <w:szCs w:val="24"/>
              </w:rPr>
              <w:t>规划及</w:t>
            </w:r>
            <w:r>
              <w:rPr>
                <w:rFonts w:hint="eastAsia" w:ascii="宋体" w:hAnsi="宋体" w:cs="宋体"/>
                <w:color w:val="auto"/>
                <w:sz w:val="24"/>
                <w:szCs w:val="24"/>
              </w:rPr>
              <w:t>规划环境影响评价</w:t>
            </w:r>
            <w:r>
              <w:rPr>
                <w:rFonts w:hint="eastAsia" w:ascii="宋体" w:hAnsi="宋体" w:cs="宋体"/>
                <w:color w:val="auto"/>
                <w:kern w:val="0"/>
                <w:sz w:val="24"/>
                <w:szCs w:val="24"/>
              </w:rPr>
              <w:t>符合性分析</w:t>
            </w:r>
          </w:p>
        </w:tc>
        <w:tc>
          <w:tcPr>
            <w:tcW w:w="7147" w:type="dxa"/>
            <w:gridSpan w:val="4"/>
            <w:noWrap w:val="0"/>
            <w:tcMar>
              <w:top w:w="16" w:type="dxa"/>
              <w:left w:w="16" w:type="dxa"/>
              <w:right w:w="16" w:type="dxa"/>
            </w:tcMar>
            <w:vAlign w:val="center"/>
          </w:tcPr>
          <w:p w14:paraId="281FED97">
            <w:pPr>
              <w:pStyle w:val="21"/>
              <w:rPr>
                <w:rFonts w:ascii="Times New Roman" w:hAnsi="Times New Roman" w:eastAsia="宋体" w:cs="Times New Roman"/>
                <w:b/>
                <w:bCs/>
                <w:color w:val="auto"/>
                <w:szCs w:val="24"/>
              </w:rPr>
            </w:pPr>
            <w:r>
              <w:rPr>
                <w:rFonts w:hint="eastAsia" w:ascii="Times New Roman" w:hAnsi="Times New Roman" w:eastAsia="宋体" w:cs="Times New Roman"/>
                <w:b/>
                <w:bCs/>
                <w:color w:val="auto"/>
                <w:szCs w:val="24"/>
              </w:rPr>
              <w:t>表1-1  项目与规划及规划环评相符情况</w:t>
            </w:r>
          </w:p>
          <w:tbl>
            <w:tblPr>
              <w:tblStyle w:val="15"/>
              <w:tblW w:w="49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307"/>
              <w:gridCol w:w="2937"/>
              <w:gridCol w:w="2268"/>
              <w:gridCol w:w="531"/>
            </w:tblGrid>
            <w:tr w14:paraId="2227A6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7" w:type="pct"/>
                  <w:noWrap w:val="0"/>
                  <w:vAlign w:val="center"/>
                </w:tcPr>
                <w:p w14:paraId="4F8F6D8A">
                  <w:pPr>
                    <w:adjustRightInd w:val="0"/>
                    <w:snapToGrid w:val="0"/>
                    <w:jc w:val="center"/>
                    <w:rPr>
                      <w:b/>
                      <w:bCs/>
                      <w:color w:val="auto"/>
                      <w:kern w:val="0"/>
                      <w:sz w:val="21"/>
                      <w:szCs w:val="21"/>
                    </w:rPr>
                  </w:pPr>
                  <w:r>
                    <w:rPr>
                      <w:rFonts w:hint="eastAsia"/>
                      <w:b/>
                      <w:bCs/>
                      <w:color w:val="auto"/>
                      <w:kern w:val="0"/>
                      <w:sz w:val="21"/>
                      <w:szCs w:val="21"/>
                    </w:rPr>
                    <w:t>类别</w:t>
                  </w:r>
                </w:p>
              </w:tc>
              <w:tc>
                <w:tcPr>
                  <w:tcW w:w="2085" w:type="pct"/>
                  <w:noWrap w:val="0"/>
                  <w:vAlign w:val="center"/>
                </w:tcPr>
                <w:p w14:paraId="6DD0D1B4">
                  <w:pPr>
                    <w:adjustRightInd w:val="0"/>
                    <w:snapToGrid w:val="0"/>
                    <w:jc w:val="center"/>
                    <w:rPr>
                      <w:b/>
                      <w:bCs/>
                      <w:color w:val="auto"/>
                      <w:kern w:val="0"/>
                      <w:sz w:val="21"/>
                      <w:szCs w:val="21"/>
                    </w:rPr>
                  </w:pPr>
                  <w:r>
                    <w:rPr>
                      <w:b/>
                      <w:bCs/>
                      <w:color w:val="auto"/>
                      <w:kern w:val="0"/>
                      <w:sz w:val="21"/>
                      <w:szCs w:val="21"/>
                    </w:rPr>
                    <w:t>主要要求</w:t>
                  </w:r>
                </w:p>
              </w:tc>
              <w:tc>
                <w:tcPr>
                  <w:tcW w:w="1610" w:type="pct"/>
                  <w:noWrap w:val="0"/>
                  <w:vAlign w:val="center"/>
                </w:tcPr>
                <w:p w14:paraId="200189EC">
                  <w:pPr>
                    <w:adjustRightInd w:val="0"/>
                    <w:snapToGrid w:val="0"/>
                    <w:jc w:val="center"/>
                    <w:rPr>
                      <w:b/>
                      <w:bCs/>
                      <w:color w:val="auto"/>
                      <w:kern w:val="0"/>
                      <w:sz w:val="21"/>
                      <w:szCs w:val="21"/>
                    </w:rPr>
                  </w:pPr>
                  <w:r>
                    <w:rPr>
                      <w:b/>
                      <w:bCs/>
                      <w:color w:val="auto"/>
                      <w:kern w:val="0"/>
                      <w:sz w:val="21"/>
                      <w:szCs w:val="21"/>
                    </w:rPr>
                    <w:t>本项目情况</w:t>
                  </w:r>
                </w:p>
              </w:tc>
              <w:tc>
                <w:tcPr>
                  <w:tcW w:w="376" w:type="pct"/>
                  <w:noWrap w:val="0"/>
                  <w:vAlign w:val="center"/>
                </w:tcPr>
                <w:p w14:paraId="022672B5">
                  <w:pPr>
                    <w:adjustRightInd w:val="0"/>
                    <w:snapToGrid w:val="0"/>
                    <w:jc w:val="center"/>
                    <w:rPr>
                      <w:b/>
                      <w:bCs/>
                      <w:color w:val="auto"/>
                      <w:kern w:val="0"/>
                      <w:sz w:val="21"/>
                      <w:szCs w:val="21"/>
                    </w:rPr>
                  </w:pPr>
                  <w:r>
                    <w:rPr>
                      <w:b/>
                      <w:bCs/>
                      <w:color w:val="auto"/>
                      <w:kern w:val="0"/>
                      <w:sz w:val="21"/>
                      <w:szCs w:val="21"/>
                    </w:rPr>
                    <w:t>符合性</w:t>
                  </w:r>
                </w:p>
              </w:tc>
            </w:tr>
            <w:tr w14:paraId="43A76F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7" w:type="pct"/>
                  <w:noWrap w:val="0"/>
                  <w:vAlign w:val="center"/>
                </w:tcPr>
                <w:p w14:paraId="038A354A">
                  <w:pPr>
                    <w:wordWrap w:val="0"/>
                    <w:autoSpaceDE w:val="0"/>
                    <w:autoSpaceDN w:val="0"/>
                    <w:adjustRightInd w:val="0"/>
                    <w:snapToGrid w:val="0"/>
                    <w:spacing w:line="300" w:lineRule="atLeast"/>
                    <w:jc w:val="center"/>
                    <w:rPr>
                      <w:rFonts w:hint="eastAsia"/>
                      <w:color w:val="auto"/>
                      <w:sz w:val="21"/>
                      <w:szCs w:val="21"/>
                    </w:rPr>
                  </w:pPr>
                  <w:r>
                    <w:rPr>
                      <w:rFonts w:hint="eastAsia"/>
                      <w:color w:val="auto"/>
                      <w:sz w:val="21"/>
                      <w:szCs w:val="21"/>
                    </w:rPr>
                    <w:t>《西咸新区—沣东新城分区规划（2010-2020）》</w:t>
                  </w:r>
                </w:p>
              </w:tc>
              <w:tc>
                <w:tcPr>
                  <w:tcW w:w="2085" w:type="pct"/>
                  <w:noWrap w:val="0"/>
                  <w:vAlign w:val="center"/>
                </w:tcPr>
                <w:p w14:paraId="4AE94D4A">
                  <w:pPr>
                    <w:adjustRightInd w:val="0"/>
                    <w:snapToGrid w:val="0"/>
                    <w:ind w:firstLine="420" w:firstLineChars="200"/>
                    <w:rPr>
                      <w:color w:val="auto"/>
                      <w:kern w:val="0"/>
                      <w:sz w:val="21"/>
                      <w:szCs w:val="21"/>
                    </w:rPr>
                  </w:pPr>
                  <w:r>
                    <w:rPr>
                      <w:rFonts w:hint="eastAsia"/>
                      <w:color w:val="auto"/>
                      <w:sz w:val="21"/>
                      <w:szCs w:val="21"/>
                    </w:rPr>
                    <w:t>沣东新城的定位为西部地区统筹科技资源示范基地，高新技术研发和会展中心，大西安未来将建设成为具有东方人文特色的生态化国际新城。</w:t>
                  </w:r>
                </w:p>
              </w:tc>
              <w:tc>
                <w:tcPr>
                  <w:tcW w:w="1610" w:type="pct"/>
                  <w:noWrap w:val="0"/>
                  <w:vAlign w:val="center"/>
                </w:tcPr>
                <w:p w14:paraId="042827AF">
                  <w:pPr>
                    <w:adjustRightInd w:val="0"/>
                    <w:snapToGrid w:val="0"/>
                    <w:rPr>
                      <w:color w:val="auto"/>
                      <w:kern w:val="0"/>
                      <w:sz w:val="21"/>
                      <w:szCs w:val="21"/>
                    </w:rPr>
                  </w:pPr>
                  <w:r>
                    <w:rPr>
                      <w:rFonts w:hint="eastAsia"/>
                      <w:color w:val="auto"/>
                      <w:kern w:val="21"/>
                      <w:sz w:val="21"/>
                      <w:szCs w:val="21"/>
                    </w:rPr>
                    <w:t>本项目位于沣东新城</w:t>
                  </w:r>
                  <w:r>
                    <w:rPr>
                      <w:rFonts w:hint="eastAsia"/>
                      <w:color w:val="auto"/>
                      <w:kern w:val="21"/>
                      <w:sz w:val="21"/>
                      <w:szCs w:val="21"/>
                      <w:lang w:eastAsia="zh-CN"/>
                    </w:rPr>
                    <w:t>，</w:t>
                  </w:r>
                  <w:r>
                    <w:rPr>
                      <w:rFonts w:hint="eastAsia"/>
                      <w:color w:val="auto"/>
                      <w:kern w:val="0"/>
                      <w:sz w:val="21"/>
                      <w:szCs w:val="21"/>
                      <w:lang w:val="en-US" w:eastAsia="zh-CN"/>
                    </w:rPr>
                    <w:t>为地热能供暖项目</w:t>
                  </w:r>
                  <w:r>
                    <w:rPr>
                      <w:rFonts w:hint="eastAsia"/>
                      <w:color w:val="auto"/>
                      <w:kern w:val="21"/>
                      <w:sz w:val="21"/>
                      <w:szCs w:val="21"/>
                      <w:lang w:eastAsia="zh-CN"/>
                    </w:rPr>
                    <w:t>，通过开采地热水资源向居民住户冬季供暖，为</w:t>
                  </w:r>
                  <w:r>
                    <w:rPr>
                      <w:rFonts w:hint="eastAsia"/>
                      <w:color w:val="auto"/>
                      <w:kern w:val="21"/>
                      <w:sz w:val="21"/>
                      <w:szCs w:val="21"/>
                      <w:lang w:val="en-US" w:eastAsia="zh-CN"/>
                    </w:rPr>
                    <w:t>小</w:t>
                  </w:r>
                  <w:r>
                    <w:rPr>
                      <w:rFonts w:hint="eastAsia"/>
                      <w:color w:val="auto"/>
                      <w:kern w:val="21"/>
                      <w:sz w:val="21"/>
                      <w:szCs w:val="21"/>
                      <w:lang w:eastAsia="zh-CN"/>
                    </w:rPr>
                    <w:t>区居民生活的配套设施，用地性质属于</w:t>
                  </w:r>
                  <w:r>
                    <w:rPr>
                      <w:rFonts w:hint="eastAsia"/>
                      <w:color w:val="auto"/>
                      <w:kern w:val="21"/>
                      <w:sz w:val="21"/>
                      <w:szCs w:val="21"/>
                      <w:lang w:val="en-US" w:eastAsia="zh-CN"/>
                    </w:rPr>
                    <w:t>居住</w:t>
                  </w:r>
                  <w:r>
                    <w:rPr>
                      <w:rFonts w:hint="eastAsia"/>
                      <w:color w:val="auto"/>
                      <w:kern w:val="21"/>
                      <w:sz w:val="21"/>
                      <w:szCs w:val="21"/>
                      <w:lang w:eastAsia="zh-CN"/>
                    </w:rPr>
                    <w:t>用地</w:t>
                  </w:r>
                  <w:r>
                    <w:rPr>
                      <w:rFonts w:hint="eastAsia"/>
                      <w:color w:val="auto"/>
                      <w:kern w:val="21"/>
                      <w:sz w:val="21"/>
                      <w:szCs w:val="21"/>
                    </w:rPr>
                    <w:t>。</w:t>
                  </w:r>
                </w:p>
              </w:tc>
              <w:tc>
                <w:tcPr>
                  <w:tcW w:w="376" w:type="pct"/>
                  <w:noWrap w:val="0"/>
                  <w:vAlign w:val="center"/>
                </w:tcPr>
                <w:p w14:paraId="7877AF67">
                  <w:pPr>
                    <w:adjustRightInd w:val="0"/>
                    <w:snapToGrid w:val="0"/>
                    <w:jc w:val="center"/>
                    <w:rPr>
                      <w:color w:val="auto"/>
                      <w:kern w:val="0"/>
                      <w:sz w:val="21"/>
                      <w:szCs w:val="21"/>
                    </w:rPr>
                  </w:pPr>
                  <w:r>
                    <w:rPr>
                      <w:rFonts w:hint="eastAsia"/>
                      <w:color w:val="auto"/>
                      <w:kern w:val="0"/>
                      <w:sz w:val="21"/>
                      <w:szCs w:val="21"/>
                    </w:rPr>
                    <w:t>符合</w:t>
                  </w:r>
                </w:p>
              </w:tc>
            </w:tr>
            <w:tr w14:paraId="59E93B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84" w:hRule="atLeast"/>
                <w:jc w:val="center"/>
              </w:trPr>
              <w:tc>
                <w:tcPr>
                  <w:tcW w:w="927" w:type="pct"/>
                  <w:vMerge w:val="restart"/>
                  <w:noWrap w:val="0"/>
                  <w:vAlign w:val="center"/>
                </w:tcPr>
                <w:p w14:paraId="0574A521">
                  <w:pPr>
                    <w:autoSpaceDE w:val="0"/>
                    <w:autoSpaceDN w:val="0"/>
                    <w:adjustRightInd w:val="0"/>
                    <w:snapToGrid w:val="0"/>
                    <w:jc w:val="center"/>
                    <w:rPr>
                      <w:color w:val="auto"/>
                      <w:sz w:val="21"/>
                      <w:szCs w:val="21"/>
                    </w:rPr>
                  </w:pPr>
                  <w:r>
                    <w:rPr>
                      <w:rFonts w:hint="eastAsia"/>
                      <w:color w:val="auto"/>
                      <w:sz w:val="21"/>
                      <w:szCs w:val="21"/>
                    </w:rPr>
                    <w:t>《西咸新区－沣东新城分区规划（2010-2020）环境影响报告书及审查意见》</w:t>
                  </w:r>
                </w:p>
              </w:tc>
              <w:tc>
                <w:tcPr>
                  <w:tcW w:w="2085" w:type="pct"/>
                  <w:noWrap w:val="0"/>
                  <w:vAlign w:val="center"/>
                </w:tcPr>
                <w:p w14:paraId="4BF0BC2A">
                  <w:pPr>
                    <w:ind w:firstLine="420" w:firstLineChars="200"/>
                    <w:rPr>
                      <w:color w:val="auto"/>
                      <w:sz w:val="21"/>
                      <w:szCs w:val="21"/>
                    </w:rPr>
                  </w:pPr>
                  <w:r>
                    <w:rPr>
                      <w:rFonts w:hint="eastAsia"/>
                      <w:color w:val="auto"/>
                      <w:sz w:val="21"/>
                      <w:szCs w:val="21"/>
                    </w:rPr>
                    <w:t>入区企业清洁生产必须达到国内先进水平，严禁</w:t>
                  </w:r>
                  <w:r>
                    <w:rPr>
                      <w:rFonts w:hint="eastAsia"/>
                      <w:color w:val="auto"/>
                      <w:sz w:val="21"/>
                      <w:szCs w:val="21"/>
                      <w:lang w:eastAsia="zh-CN"/>
                    </w:rPr>
                    <w:t>“</w:t>
                  </w:r>
                  <w:r>
                    <w:rPr>
                      <w:rFonts w:hint="eastAsia"/>
                      <w:color w:val="auto"/>
                      <w:sz w:val="21"/>
                      <w:szCs w:val="21"/>
                    </w:rPr>
                    <w:t>三高一低</w:t>
                  </w:r>
                  <w:r>
                    <w:rPr>
                      <w:rFonts w:hint="eastAsia"/>
                      <w:color w:val="auto"/>
                      <w:sz w:val="21"/>
                      <w:szCs w:val="21"/>
                      <w:lang w:eastAsia="zh-CN"/>
                    </w:rPr>
                    <w:t>“</w:t>
                  </w:r>
                  <w:r>
                    <w:rPr>
                      <w:rFonts w:hint="eastAsia"/>
                      <w:color w:val="auto"/>
                      <w:sz w:val="21"/>
                      <w:szCs w:val="21"/>
                    </w:rPr>
                    <w:t>企业入区、由总量指标限值企业类型和规模、污染物排放指标等工业企业的准入条件。</w:t>
                  </w:r>
                </w:p>
              </w:tc>
              <w:tc>
                <w:tcPr>
                  <w:tcW w:w="1610" w:type="pct"/>
                  <w:noWrap w:val="0"/>
                  <w:vAlign w:val="center"/>
                </w:tcPr>
                <w:p w14:paraId="6967776F">
                  <w:pPr>
                    <w:adjustRightInd w:val="0"/>
                    <w:snapToGrid w:val="0"/>
                    <w:rPr>
                      <w:rFonts w:hint="default" w:eastAsia="宋体"/>
                      <w:color w:val="auto"/>
                      <w:kern w:val="0"/>
                      <w:sz w:val="21"/>
                      <w:szCs w:val="21"/>
                      <w:lang w:val="en-US" w:eastAsia="zh-CN"/>
                    </w:rPr>
                  </w:pPr>
                  <w:r>
                    <w:rPr>
                      <w:rFonts w:hint="eastAsia"/>
                      <w:color w:val="auto"/>
                      <w:kern w:val="0"/>
                      <w:sz w:val="21"/>
                      <w:szCs w:val="21"/>
                      <w:lang w:val="en-US" w:eastAsia="zh-CN"/>
                    </w:rPr>
                    <w:t>本项目为地热能供暖项目，主要为开采地热水资源向居民冬季供暖服务；本项目运营期无废气污染物产生；</w:t>
                  </w:r>
                  <w:r>
                    <w:rPr>
                      <w:rFonts w:hint="eastAsia" w:ascii="Times New Roman" w:cs="Times New Roman"/>
                      <w:color w:val="auto"/>
                      <w:sz w:val="21"/>
                      <w:szCs w:val="21"/>
                      <w:lang w:eastAsia="zh-CN"/>
                    </w:rPr>
                    <w:t>软化浓水和反冲洗废水排入小区污水管网，经市政污水管网排入西安净水处理有限责任公司第六再生水厂</w:t>
                  </w:r>
                  <w:r>
                    <w:rPr>
                      <w:rFonts w:hint="eastAsia" w:ascii="Times New Roman" w:cs="Times New Roman"/>
                      <w:color w:val="auto"/>
                      <w:sz w:val="21"/>
                      <w:szCs w:val="21"/>
                      <w:lang w:val="en-US" w:eastAsia="zh-CN"/>
                    </w:rPr>
                    <w:t>处理</w:t>
                  </w:r>
                  <w:r>
                    <w:rPr>
                      <w:rFonts w:hint="eastAsia" w:cs="Times New Roman"/>
                      <w:color w:val="auto"/>
                      <w:sz w:val="21"/>
                      <w:szCs w:val="21"/>
                      <w:lang w:val="en-US" w:eastAsia="zh-CN"/>
                    </w:rPr>
                    <w:t>；</w:t>
                  </w:r>
                  <w:r>
                    <w:rPr>
                      <w:rFonts w:hint="eastAsia"/>
                      <w:color w:val="auto"/>
                      <w:kern w:val="0"/>
                      <w:sz w:val="21"/>
                      <w:szCs w:val="21"/>
                      <w:lang w:val="en-US" w:eastAsia="zh-CN"/>
                    </w:rPr>
                    <w:t>污染物产生量较少，均有进行治理或处置，不属于“三高一低“企业。</w:t>
                  </w:r>
                </w:p>
              </w:tc>
              <w:tc>
                <w:tcPr>
                  <w:tcW w:w="376" w:type="pct"/>
                  <w:noWrap w:val="0"/>
                  <w:vAlign w:val="center"/>
                </w:tcPr>
                <w:p w14:paraId="4979C7E7">
                  <w:pPr>
                    <w:adjustRightInd w:val="0"/>
                    <w:snapToGrid w:val="0"/>
                    <w:jc w:val="center"/>
                    <w:rPr>
                      <w:color w:val="auto"/>
                      <w:kern w:val="21"/>
                      <w:sz w:val="21"/>
                      <w:szCs w:val="21"/>
                    </w:rPr>
                  </w:pPr>
                  <w:r>
                    <w:rPr>
                      <w:rFonts w:hint="eastAsia"/>
                      <w:color w:val="auto"/>
                      <w:kern w:val="21"/>
                      <w:sz w:val="21"/>
                      <w:szCs w:val="21"/>
                    </w:rPr>
                    <w:t>符合</w:t>
                  </w:r>
                </w:p>
              </w:tc>
            </w:tr>
            <w:tr w14:paraId="489578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84" w:hRule="atLeast"/>
                <w:jc w:val="center"/>
              </w:trPr>
              <w:tc>
                <w:tcPr>
                  <w:tcW w:w="927" w:type="pct"/>
                  <w:vMerge w:val="continue"/>
                  <w:noWrap w:val="0"/>
                  <w:vAlign w:val="center"/>
                </w:tcPr>
                <w:p w14:paraId="14DD0042">
                  <w:pPr>
                    <w:autoSpaceDE w:val="0"/>
                    <w:autoSpaceDN w:val="0"/>
                    <w:adjustRightInd w:val="0"/>
                    <w:snapToGrid w:val="0"/>
                    <w:jc w:val="center"/>
                    <w:rPr>
                      <w:rFonts w:hint="eastAsia"/>
                      <w:color w:val="auto"/>
                      <w:sz w:val="21"/>
                      <w:szCs w:val="21"/>
                    </w:rPr>
                  </w:pPr>
                </w:p>
              </w:tc>
              <w:tc>
                <w:tcPr>
                  <w:tcW w:w="2085" w:type="pct"/>
                  <w:noWrap w:val="0"/>
                  <w:vAlign w:val="center"/>
                </w:tcPr>
                <w:p w14:paraId="5B82BA53">
                  <w:pPr>
                    <w:ind w:firstLine="420" w:firstLineChars="200"/>
                    <w:rPr>
                      <w:rFonts w:hint="eastAsia"/>
                      <w:color w:val="auto"/>
                      <w:sz w:val="21"/>
                      <w:szCs w:val="21"/>
                    </w:rPr>
                  </w:pPr>
                  <w:r>
                    <w:rPr>
                      <w:rFonts w:hint="eastAsia"/>
                      <w:color w:val="auto"/>
                      <w:sz w:val="21"/>
                      <w:szCs w:val="21"/>
                    </w:rPr>
                    <w:t>大气环境保护对策和措施：严格产业准入制度，控制企业污染排放。设置新城产业准入大气环境标准，对排污量大的行业进行限制，防止对新城产生影响。</w:t>
                  </w:r>
                </w:p>
              </w:tc>
              <w:tc>
                <w:tcPr>
                  <w:tcW w:w="1610" w:type="pct"/>
                  <w:noWrap w:val="0"/>
                  <w:vAlign w:val="center"/>
                </w:tcPr>
                <w:p w14:paraId="0AA31974">
                  <w:pPr>
                    <w:adjustRightInd w:val="0"/>
                    <w:snapToGrid w:val="0"/>
                    <w:rPr>
                      <w:rFonts w:hint="eastAsia"/>
                      <w:color w:val="auto"/>
                      <w:kern w:val="0"/>
                      <w:sz w:val="21"/>
                      <w:szCs w:val="21"/>
                      <w:lang w:val="en-US" w:eastAsia="zh-CN"/>
                    </w:rPr>
                  </w:pPr>
                  <w:r>
                    <w:rPr>
                      <w:rFonts w:hint="eastAsia"/>
                      <w:color w:val="auto"/>
                      <w:kern w:val="0"/>
                      <w:sz w:val="21"/>
                      <w:szCs w:val="21"/>
                      <w:lang w:val="en-US" w:eastAsia="zh-CN"/>
                    </w:rPr>
                    <w:t>本项目运营期采水、换热、回灌等均无废气排放，因此项目运营期不会对区域大气环境造成影响。</w:t>
                  </w:r>
                </w:p>
              </w:tc>
              <w:tc>
                <w:tcPr>
                  <w:tcW w:w="376" w:type="pct"/>
                  <w:noWrap w:val="0"/>
                  <w:vAlign w:val="center"/>
                </w:tcPr>
                <w:p w14:paraId="1B9BAA47">
                  <w:pPr>
                    <w:adjustRightInd w:val="0"/>
                    <w:snapToGrid w:val="0"/>
                    <w:jc w:val="center"/>
                    <w:rPr>
                      <w:rFonts w:hint="eastAsia" w:eastAsia="宋体"/>
                      <w:color w:val="auto"/>
                      <w:kern w:val="21"/>
                      <w:sz w:val="21"/>
                      <w:szCs w:val="21"/>
                      <w:lang w:val="en-US" w:eastAsia="zh-CN"/>
                    </w:rPr>
                  </w:pPr>
                  <w:r>
                    <w:rPr>
                      <w:rFonts w:hint="eastAsia"/>
                      <w:color w:val="auto"/>
                      <w:kern w:val="21"/>
                      <w:sz w:val="21"/>
                      <w:szCs w:val="21"/>
                      <w:lang w:val="en-US" w:eastAsia="zh-CN"/>
                    </w:rPr>
                    <w:t>符合</w:t>
                  </w:r>
                </w:p>
              </w:tc>
            </w:tr>
            <w:tr w14:paraId="7CA988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84" w:hRule="atLeast"/>
                <w:jc w:val="center"/>
              </w:trPr>
              <w:tc>
                <w:tcPr>
                  <w:tcW w:w="927" w:type="pct"/>
                  <w:vMerge w:val="continue"/>
                  <w:noWrap w:val="0"/>
                  <w:vAlign w:val="center"/>
                </w:tcPr>
                <w:p w14:paraId="6E2EC4DE">
                  <w:pPr>
                    <w:autoSpaceDE w:val="0"/>
                    <w:autoSpaceDN w:val="0"/>
                    <w:adjustRightInd w:val="0"/>
                    <w:snapToGrid w:val="0"/>
                    <w:jc w:val="center"/>
                    <w:rPr>
                      <w:rFonts w:hint="eastAsia"/>
                      <w:color w:val="auto"/>
                      <w:sz w:val="21"/>
                      <w:szCs w:val="21"/>
                    </w:rPr>
                  </w:pPr>
                </w:p>
              </w:tc>
              <w:tc>
                <w:tcPr>
                  <w:tcW w:w="2085" w:type="pct"/>
                  <w:noWrap w:val="0"/>
                  <w:vAlign w:val="center"/>
                </w:tcPr>
                <w:p w14:paraId="7E2256B7">
                  <w:pPr>
                    <w:ind w:firstLine="420" w:firstLineChars="200"/>
                    <w:rPr>
                      <w:rFonts w:hint="eastAsia"/>
                      <w:color w:val="auto"/>
                      <w:sz w:val="21"/>
                      <w:szCs w:val="21"/>
                    </w:rPr>
                  </w:pPr>
                  <w:r>
                    <w:rPr>
                      <w:rFonts w:hint="eastAsia"/>
                      <w:color w:val="auto"/>
                      <w:sz w:val="21"/>
                      <w:szCs w:val="21"/>
                    </w:rPr>
                    <w:t>水环境保护对策和措施：严格环境准入制度，防治企业污染排放。在规划建设中，要设置相应的环保准入门槛，限制造纸、化工、食品饮料加工、皮革、电镀等高耗水、重污染行业进入。</w:t>
                  </w:r>
                </w:p>
              </w:tc>
              <w:tc>
                <w:tcPr>
                  <w:tcW w:w="1610" w:type="pct"/>
                  <w:noWrap w:val="0"/>
                  <w:vAlign w:val="center"/>
                </w:tcPr>
                <w:p w14:paraId="6DB14693">
                  <w:pPr>
                    <w:adjustRightInd w:val="0"/>
                    <w:snapToGrid w:val="0"/>
                    <w:rPr>
                      <w:rFonts w:hint="eastAsia"/>
                      <w:color w:val="auto"/>
                      <w:kern w:val="0"/>
                      <w:sz w:val="21"/>
                      <w:szCs w:val="21"/>
                    </w:rPr>
                  </w:pPr>
                  <w:r>
                    <w:rPr>
                      <w:rFonts w:hint="default" w:ascii="Times New Roman" w:hAnsi="Times New Roman" w:eastAsia="宋体" w:cs="Times New Roman"/>
                      <w:color w:val="auto"/>
                      <w:kern w:val="2"/>
                      <w:sz w:val="21"/>
                      <w:szCs w:val="21"/>
                      <w:lang w:val="en-US" w:eastAsia="zh-CN" w:bidi="ar-SA"/>
                    </w:rPr>
                    <w:t>本项目属于地热能供暖项目，项目配套建设的回灌井可做到地热尾水100%回灌要求</w:t>
                  </w:r>
                  <w:r>
                    <w:rPr>
                      <w:rFonts w:hint="eastAsia" w:ascii="Times New Roman" w:hAnsi="Times New Roman" w:eastAsia="宋体" w:cs="Times New Roman"/>
                      <w:color w:val="auto"/>
                      <w:kern w:val="2"/>
                      <w:sz w:val="21"/>
                      <w:szCs w:val="21"/>
                      <w:lang w:val="en-US" w:eastAsia="zh-CN" w:bidi="ar-SA"/>
                    </w:rPr>
                    <w:t>；少量软化浓水和反冲洗废水排入小区污水管网，经市政污水管网排入西安净水处理有限责任公司第六再生水厂处理；</w:t>
                  </w:r>
                  <w:r>
                    <w:rPr>
                      <w:rFonts w:hint="default" w:ascii="Times New Roman" w:hAnsi="Times New Roman" w:eastAsia="宋体" w:cs="Times New Roman"/>
                      <w:color w:val="auto"/>
                      <w:kern w:val="2"/>
                      <w:sz w:val="21"/>
                      <w:szCs w:val="21"/>
                      <w:lang w:val="en-US" w:eastAsia="zh-CN" w:bidi="ar-SA"/>
                    </w:rPr>
                    <w:t>不属于高耗水、重污染行业。</w:t>
                  </w:r>
                </w:p>
              </w:tc>
              <w:tc>
                <w:tcPr>
                  <w:tcW w:w="376" w:type="pct"/>
                  <w:noWrap w:val="0"/>
                  <w:vAlign w:val="center"/>
                </w:tcPr>
                <w:p w14:paraId="73155149">
                  <w:pPr>
                    <w:adjustRightInd w:val="0"/>
                    <w:snapToGrid w:val="0"/>
                    <w:jc w:val="center"/>
                    <w:rPr>
                      <w:rFonts w:hint="eastAsia" w:eastAsia="宋体"/>
                      <w:color w:val="auto"/>
                      <w:kern w:val="21"/>
                      <w:sz w:val="21"/>
                      <w:szCs w:val="21"/>
                      <w:lang w:val="en-US" w:eastAsia="zh-CN"/>
                    </w:rPr>
                  </w:pPr>
                  <w:r>
                    <w:rPr>
                      <w:rFonts w:hint="eastAsia"/>
                      <w:color w:val="auto"/>
                      <w:kern w:val="21"/>
                      <w:sz w:val="21"/>
                      <w:szCs w:val="21"/>
                      <w:lang w:val="en-US" w:eastAsia="zh-CN"/>
                    </w:rPr>
                    <w:t>符合</w:t>
                  </w:r>
                </w:p>
              </w:tc>
            </w:tr>
            <w:tr w14:paraId="2378E4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8" w:hRule="atLeast"/>
                <w:jc w:val="center"/>
              </w:trPr>
              <w:tc>
                <w:tcPr>
                  <w:tcW w:w="927" w:type="pct"/>
                  <w:vMerge w:val="continue"/>
                  <w:noWrap w:val="0"/>
                  <w:vAlign w:val="center"/>
                </w:tcPr>
                <w:p w14:paraId="2CEAD99E">
                  <w:pPr>
                    <w:autoSpaceDE w:val="0"/>
                    <w:autoSpaceDN w:val="0"/>
                    <w:adjustRightInd w:val="0"/>
                    <w:snapToGrid w:val="0"/>
                    <w:jc w:val="left"/>
                    <w:rPr>
                      <w:rFonts w:hint="eastAsia"/>
                      <w:color w:val="auto"/>
                      <w:sz w:val="21"/>
                      <w:szCs w:val="21"/>
                    </w:rPr>
                  </w:pPr>
                </w:p>
              </w:tc>
              <w:tc>
                <w:tcPr>
                  <w:tcW w:w="2085" w:type="pct"/>
                  <w:noWrap w:val="0"/>
                  <w:vAlign w:val="center"/>
                </w:tcPr>
                <w:p w14:paraId="125E11B5">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color w:val="auto"/>
                      <w:sz w:val="21"/>
                      <w:szCs w:val="21"/>
                    </w:rPr>
                  </w:pPr>
                  <w:r>
                    <w:rPr>
                      <w:rFonts w:hint="eastAsia"/>
                      <w:color w:val="auto"/>
                      <w:sz w:val="21"/>
                      <w:szCs w:val="21"/>
                    </w:rPr>
                    <w:t>声环境保护对策和措施：加强环境噪声管理，建立完善的环境噪声管理办法。完善环境噪声达标区管理办法，加强对公共和个人娱乐区、商业区等的环境噪声管理，加强对建筑噪声以及固定噪声源的管理。</w:t>
                  </w:r>
                </w:p>
              </w:tc>
              <w:tc>
                <w:tcPr>
                  <w:tcW w:w="1610" w:type="pct"/>
                  <w:noWrap w:val="0"/>
                  <w:vAlign w:val="center"/>
                </w:tcPr>
                <w:p w14:paraId="0ABC827C">
                  <w:pPr>
                    <w:adjustRightInd w:val="0"/>
                    <w:snapToGrid w:val="0"/>
                    <w:rPr>
                      <w:rFonts w:hint="default"/>
                      <w:color w:val="auto"/>
                      <w:kern w:val="0"/>
                      <w:sz w:val="21"/>
                      <w:szCs w:val="21"/>
                      <w:lang w:val="en-US"/>
                    </w:rPr>
                  </w:pPr>
                  <w:r>
                    <w:rPr>
                      <w:rFonts w:hint="default"/>
                      <w:color w:val="auto"/>
                      <w:kern w:val="0"/>
                      <w:sz w:val="21"/>
                      <w:szCs w:val="21"/>
                      <w:lang w:val="en-US"/>
                    </w:rPr>
                    <w:t>本项目各类风机、水泵等均优先选用低噪声设备，并采取基础减振、隔声等措施，同时加强对设备的维修保养管理，噪声经基础减振、厂房隔声后，对周围声环境影响较小。</w:t>
                  </w:r>
                </w:p>
              </w:tc>
              <w:tc>
                <w:tcPr>
                  <w:tcW w:w="376" w:type="pct"/>
                  <w:noWrap w:val="0"/>
                  <w:vAlign w:val="center"/>
                </w:tcPr>
                <w:p w14:paraId="6352CBBE">
                  <w:pPr>
                    <w:adjustRightInd w:val="0"/>
                    <w:snapToGrid w:val="0"/>
                    <w:jc w:val="center"/>
                    <w:rPr>
                      <w:rFonts w:hint="eastAsia"/>
                      <w:color w:val="auto"/>
                      <w:kern w:val="21"/>
                      <w:sz w:val="21"/>
                      <w:szCs w:val="21"/>
                    </w:rPr>
                  </w:pPr>
                  <w:r>
                    <w:rPr>
                      <w:rFonts w:hint="eastAsia"/>
                      <w:color w:val="auto"/>
                      <w:kern w:val="21"/>
                      <w:sz w:val="21"/>
                      <w:szCs w:val="21"/>
                    </w:rPr>
                    <w:t>符合</w:t>
                  </w:r>
                </w:p>
              </w:tc>
            </w:tr>
            <w:tr w14:paraId="46A67F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8" w:hRule="atLeast"/>
                <w:jc w:val="center"/>
              </w:trPr>
              <w:tc>
                <w:tcPr>
                  <w:tcW w:w="927" w:type="pct"/>
                  <w:vMerge w:val="continue"/>
                  <w:noWrap w:val="0"/>
                  <w:vAlign w:val="center"/>
                </w:tcPr>
                <w:p w14:paraId="243213E3">
                  <w:pPr>
                    <w:autoSpaceDE w:val="0"/>
                    <w:autoSpaceDN w:val="0"/>
                    <w:adjustRightInd w:val="0"/>
                    <w:snapToGrid w:val="0"/>
                    <w:jc w:val="left"/>
                    <w:rPr>
                      <w:rFonts w:hint="eastAsia"/>
                      <w:color w:val="auto"/>
                      <w:sz w:val="21"/>
                      <w:szCs w:val="21"/>
                    </w:rPr>
                  </w:pPr>
                </w:p>
              </w:tc>
              <w:tc>
                <w:tcPr>
                  <w:tcW w:w="2085" w:type="pct"/>
                  <w:noWrap w:val="0"/>
                  <w:vAlign w:val="center"/>
                </w:tcPr>
                <w:p w14:paraId="796D0729">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color w:val="auto"/>
                      <w:sz w:val="21"/>
                      <w:szCs w:val="21"/>
                    </w:rPr>
                  </w:pPr>
                  <w:r>
                    <w:rPr>
                      <w:rFonts w:hint="eastAsia"/>
                      <w:color w:val="auto"/>
                      <w:sz w:val="21"/>
                      <w:szCs w:val="21"/>
                    </w:rPr>
                    <w:t>固体废物综合整治对策：提高全民的环境意识，提倡节约，减少城市生活垃圾产生量，推行生活垃圾分类收集，提高生活垃圾无害化处理率和固体废物的综合利用率。提高危险固废和医疗垃圾的安全处理、处置能力。</w:t>
                  </w:r>
                </w:p>
              </w:tc>
              <w:tc>
                <w:tcPr>
                  <w:tcW w:w="1610" w:type="pct"/>
                  <w:noWrap w:val="0"/>
                  <w:vAlign w:val="center"/>
                </w:tcPr>
                <w:p w14:paraId="32D50033">
                  <w:pPr>
                    <w:adjustRightInd w:val="0"/>
                    <w:snapToGrid w:val="0"/>
                    <w:rPr>
                      <w:rFonts w:hint="eastAsia"/>
                      <w:color w:val="auto"/>
                      <w:kern w:val="0"/>
                      <w:sz w:val="21"/>
                      <w:szCs w:val="21"/>
                    </w:rPr>
                  </w:pPr>
                  <w:r>
                    <w:rPr>
                      <w:rFonts w:hint="eastAsia"/>
                      <w:color w:val="auto"/>
                      <w:sz w:val="21"/>
                      <w:szCs w:val="21"/>
                      <w:lang w:val="en-US" w:eastAsia="zh-CN"/>
                    </w:rPr>
                    <w:t>项目产生的一般固体废物处置措施：废砂综合利用于修路</w:t>
                  </w:r>
                  <w:r>
                    <w:rPr>
                      <w:rFonts w:hint="eastAsia"/>
                      <w:color w:val="auto"/>
                      <w:kern w:val="0"/>
                      <w:sz w:val="21"/>
                      <w:szCs w:val="21"/>
                    </w:rPr>
                    <w:t>；</w:t>
                  </w:r>
                  <w:r>
                    <w:rPr>
                      <w:rFonts w:hint="eastAsia"/>
                      <w:color w:val="auto"/>
                      <w:sz w:val="21"/>
                      <w:szCs w:val="21"/>
                      <w:lang w:val="en-US" w:eastAsia="zh-CN"/>
                    </w:rPr>
                    <w:t>废离子交换树脂和废滤芯由厂家回收处置</w:t>
                  </w:r>
                  <w:r>
                    <w:rPr>
                      <w:rFonts w:hint="eastAsia"/>
                      <w:color w:val="auto"/>
                      <w:kern w:val="0"/>
                      <w:sz w:val="21"/>
                      <w:szCs w:val="21"/>
                    </w:rPr>
                    <w:t>。</w:t>
                  </w:r>
                </w:p>
              </w:tc>
              <w:tc>
                <w:tcPr>
                  <w:tcW w:w="376" w:type="pct"/>
                  <w:noWrap w:val="0"/>
                  <w:vAlign w:val="center"/>
                </w:tcPr>
                <w:p w14:paraId="6024AF99">
                  <w:pPr>
                    <w:adjustRightInd w:val="0"/>
                    <w:snapToGrid w:val="0"/>
                    <w:jc w:val="center"/>
                    <w:rPr>
                      <w:rFonts w:hint="eastAsia" w:eastAsia="宋体"/>
                      <w:color w:val="auto"/>
                      <w:kern w:val="21"/>
                      <w:sz w:val="21"/>
                      <w:szCs w:val="21"/>
                      <w:lang w:val="en-US" w:eastAsia="zh-CN"/>
                    </w:rPr>
                  </w:pPr>
                  <w:r>
                    <w:rPr>
                      <w:rFonts w:hint="eastAsia"/>
                      <w:color w:val="auto"/>
                      <w:kern w:val="21"/>
                      <w:sz w:val="21"/>
                      <w:szCs w:val="21"/>
                      <w:lang w:val="en-US" w:eastAsia="zh-CN"/>
                    </w:rPr>
                    <w:t>符合</w:t>
                  </w:r>
                </w:p>
              </w:tc>
            </w:tr>
          </w:tbl>
          <w:p w14:paraId="609270B9">
            <w:pPr>
              <w:autoSpaceDE w:val="0"/>
              <w:autoSpaceDN w:val="0"/>
              <w:adjustRightInd w:val="0"/>
              <w:snapToGrid w:val="0"/>
              <w:jc w:val="center"/>
              <w:rPr>
                <w:rFonts w:ascii="宋体" w:hAnsi="宋体" w:cs="宋体"/>
                <w:color w:val="auto"/>
                <w:kern w:val="0"/>
                <w:szCs w:val="21"/>
              </w:rPr>
            </w:pPr>
          </w:p>
        </w:tc>
      </w:tr>
      <w:tr w14:paraId="09F769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31" w:hRule="atLeast"/>
        </w:trPr>
        <w:tc>
          <w:tcPr>
            <w:tcW w:w="1892" w:type="dxa"/>
            <w:noWrap w:val="0"/>
            <w:tcMar>
              <w:top w:w="16" w:type="dxa"/>
              <w:left w:w="16" w:type="dxa"/>
              <w:right w:w="16" w:type="dxa"/>
            </w:tcMar>
            <w:vAlign w:val="center"/>
          </w:tcPr>
          <w:p w14:paraId="23F2A769">
            <w:pPr>
              <w:autoSpaceDE w:val="0"/>
              <w:autoSpaceDN w:val="0"/>
              <w:adjustRightInd w:val="0"/>
              <w:snapToGrid w:val="0"/>
              <w:jc w:val="center"/>
              <w:rPr>
                <w:rFonts w:ascii="宋体" w:hAnsi="宋体" w:cs="宋体"/>
                <w:color w:val="auto"/>
                <w:kern w:val="0"/>
                <w:szCs w:val="21"/>
              </w:rPr>
            </w:pPr>
            <w:bookmarkStart w:id="1" w:name="_Hlk56690880"/>
            <w:r>
              <w:rPr>
                <w:rFonts w:hint="eastAsia" w:ascii="宋体" w:hAnsi="宋体" w:cs="宋体"/>
                <w:color w:val="auto"/>
                <w:kern w:val="0"/>
                <w:sz w:val="24"/>
                <w:szCs w:val="24"/>
              </w:rPr>
              <w:t>其他符合性分析</w:t>
            </w:r>
            <w:bookmarkEnd w:id="1"/>
          </w:p>
        </w:tc>
        <w:tc>
          <w:tcPr>
            <w:tcW w:w="7147" w:type="dxa"/>
            <w:gridSpan w:val="4"/>
            <w:noWrap w:val="0"/>
            <w:tcMar>
              <w:top w:w="16" w:type="dxa"/>
              <w:left w:w="16" w:type="dxa"/>
              <w:right w:w="16" w:type="dxa"/>
            </w:tcMar>
            <w:vAlign w:val="center"/>
          </w:tcPr>
          <w:p w14:paraId="26765F45">
            <w:pPr>
              <w:pStyle w:val="22"/>
              <w:bidi w:val="0"/>
              <w:rPr>
                <w:rFonts w:hint="eastAsia"/>
                <w:b/>
                <w:bCs/>
                <w:color w:val="auto"/>
                <w:lang w:val="en-US" w:eastAsia="zh-CN"/>
              </w:rPr>
            </w:pPr>
            <w:r>
              <w:rPr>
                <w:rFonts w:hint="eastAsia"/>
                <w:b/>
                <w:bCs/>
                <w:color w:val="auto"/>
                <w:lang w:val="en-US" w:eastAsia="zh-CN"/>
              </w:rPr>
              <w:t>1、产业政策符合性分析</w:t>
            </w:r>
          </w:p>
          <w:p w14:paraId="69549829">
            <w:pPr>
              <w:pStyle w:val="22"/>
              <w:bidi w:val="0"/>
              <w:rPr>
                <w:rFonts w:hint="eastAsia"/>
                <w:color w:val="auto"/>
                <w:lang w:val="en-US" w:eastAsia="zh-CN"/>
              </w:rPr>
            </w:pPr>
            <w:r>
              <w:rPr>
                <w:rFonts w:hint="eastAsia"/>
                <w:color w:val="auto"/>
                <w:lang w:val="en-US" w:eastAsia="zh-CN"/>
              </w:rPr>
              <w:t>本项目为地热供暖项目，根据《产业结构调整指导目录（2024年本）》，本项目属于鼓励类“地热能利用技术开发与设备制造及城镇集中供热建设和改造工程”。</w:t>
            </w:r>
            <w:r>
              <w:rPr>
                <w:rFonts w:hint="eastAsia"/>
                <w:color w:val="auto"/>
                <w:sz w:val="24"/>
              </w:rPr>
              <w:t>项目不属于《市场准入负面清单（2022年版）》中禁止准入和许可准入类项目。</w:t>
            </w:r>
            <w:r>
              <w:rPr>
                <w:rFonts w:hint="default"/>
                <w:color w:val="auto"/>
                <w:lang w:val="en-US" w:eastAsia="zh-CN"/>
              </w:rPr>
              <w:t>且不属于《陕西省限制投资类产业指导目录》（陕发改产业</w:t>
            </w:r>
            <w:r>
              <w:rPr>
                <w:rFonts w:hint="eastAsia"/>
                <w:color w:val="auto"/>
                <w:lang w:val="en-US" w:eastAsia="zh-CN"/>
              </w:rPr>
              <w:t>〔2007〕97号</w:t>
            </w:r>
            <w:r>
              <w:rPr>
                <w:rFonts w:hint="default"/>
                <w:color w:val="auto"/>
                <w:lang w:val="en-US" w:eastAsia="zh-CN"/>
              </w:rPr>
              <w:t>）</w:t>
            </w:r>
            <w:r>
              <w:rPr>
                <w:rFonts w:hint="eastAsia"/>
                <w:color w:val="auto"/>
                <w:lang w:val="en-US" w:eastAsia="zh-CN"/>
              </w:rPr>
              <w:t>中限制投资类。</w:t>
            </w:r>
          </w:p>
          <w:p w14:paraId="0221DA90">
            <w:pPr>
              <w:pStyle w:val="22"/>
              <w:bidi w:val="0"/>
              <w:rPr>
                <w:rFonts w:hint="eastAsia"/>
                <w:color w:val="auto"/>
                <w:lang w:val="en-US" w:eastAsia="zh-CN"/>
              </w:rPr>
            </w:pPr>
            <w:r>
              <w:rPr>
                <w:rFonts w:hint="eastAsia"/>
                <w:color w:val="auto"/>
                <w:lang w:val="en-US" w:eastAsia="zh-CN"/>
              </w:rPr>
              <w:t>因此，本项目符合产业政策要求。</w:t>
            </w:r>
          </w:p>
          <w:p w14:paraId="427A9E4D">
            <w:pPr>
              <w:pStyle w:val="22"/>
              <w:bidi w:val="0"/>
              <w:rPr>
                <w:rFonts w:hint="eastAsia"/>
                <w:b/>
                <w:bCs/>
                <w:color w:val="auto"/>
                <w:lang w:val="en-US" w:eastAsia="zh-CN"/>
              </w:rPr>
            </w:pPr>
            <w:r>
              <w:rPr>
                <w:rFonts w:hint="eastAsia"/>
                <w:b/>
                <w:bCs/>
                <w:color w:val="auto"/>
                <w:lang w:val="en-US" w:eastAsia="zh-CN"/>
              </w:rPr>
              <w:t>2、“三线一单“符合性分析</w:t>
            </w:r>
          </w:p>
          <w:p w14:paraId="6078D886">
            <w:pPr>
              <w:pStyle w:val="22"/>
              <w:bidi w:val="0"/>
              <w:rPr>
                <w:rFonts w:hint="default"/>
                <w:color w:val="auto"/>
                <w:lang w:val="en-US" w:eastAsia="zh-CN"/>
              </w:rPr>
            </w:pPr>
            <w:r>
              <w:rPr>
                <w:rFonts w:hint="default"/>
                <w:color w:val="auto"/>
                <w:lang w:val="en-US" w:eastAsia="zh-CN"/>
              </w:rPr>
              <w:t>根据《陕西省人民政府关于加快实施</w:t>
            </w:r>
            <w:r>
              <w:rPr>
                <w:rFonts w:hint="eastAsia"/>
                <w:color w:val="auto"/>
                <w:lang w:val="en-US" w:eastAsia="zh-CN"/>
              </w:rPr>
              <w:t>“</w:t>
            </w:r>
            <w:r>
              <w:rPr>
                <w:rFonts w:hint="default"/>
                <w:color w:val="auto"/>
                <w:lang w:val="en-US" w:eastAsia="zh-CN"/>
              </w:rPr>
              <w:t>三线一单</w:t>
            </w:r>
            <w:r>
              <w:rPr>
                <w:rFonts w:hint="eastAsia"/>
                <w:color w:val="auto"/>
                <w:lang w:val="en-US" w:eastAsia="zh-CN"/>
              </w:rPr>
              <w:t>“</w:t>
            </w:r>
            <w:r>
              <w:rPr>
                <w:rFonts w:hint="default"/>
                <w:color w:val="auto"/>
                <w:lang w:val="en-US" w:eastAsia="zh-CN"/>
              </w:rPr>
              <w:t>生态环境分区管控的意见》（陕政发〔2020〕11号）、《西安市人民政府关于印发</w:t>
            </w:r>
            <w:r>
              <w:rPr>
                <w:rFonts w:hint="eastAsia"/>
                <w:color w:val="auto"/>
                <w:lang w:val="en-US" w:eastAsia="zh-CN"/>
              </w:rPr>
              <w:t>“</w:t>
            </w:r>
            <w:r>
              <w:rPr>
                <w:rFonts w:hint="default"/>
                <w:color w:val="auto"/>
                <w:lang w:val="en-US" w:eastAsia="zh-CN"/>
              </w:rPr>
              <w:t>三线一单</w:t>
            </w:r>
            <w:r>
              <w:rPr>
                <w:rFonts w:hint="eastAsia"/>
                <w:color w:val="auto"/>
                <w:lang w:val="en-US" w:eastAsia="zh-CN"/>
              </w:rPr>
              <w:t>“</w:t>
            </w:r>
            <w:r>
              <w:rPr>
                <w:rFonts w:hint="default"/>
                <w:color w:val="auto"/>
                <w:lang w:val="en-US" w:eastAsia="zh-CN"/>
              </w:rPr>
              <w:t>生态环境分区管控方案的通知》（市政发〔2021〕22号）及《陕西省</w:t>
            </w:r>
            <w:r>
              <w:rPr>
                <w:rFonts w:hint="eastAsia"/>
                <w:color w:val="auto"/>
                <w:lang w:val="en-US" w:eastAsia="zh-CN"/>
              </w:rPr>
              <w:t>“</w:t>
            </w:r>
            <w:r>
              <w:rPr>
                <w:rFonts w:hint="default"/>
                <w:color w:val="auto"/>
                <w:lang w:val="en-US" w:eastAsia="zh-CN"/>
              </w:rPr>
              <w:t>三线一单</w:t>
            </w:r>
            <w:r>
              <w:rPr>
                <w:rFonts w:hint="eastAsia"/>
                <w:color w:val="auto"/>
                <w:lang w:val="en-US" w:eastAsia="zh-CN"/>
              </w:rPr>
              <w:t>“</w:t>
            </w:r>
            <w:r>
              <w:rPr>
                <w:rFonts w:hint="default"/>
                <w:color w:val="auto"/>
                <w:lang w:val="en-US" w:eastAsia="zh-CN"/>
              </w:rPr>
              <w:t>生态环境分区管控应用技术指南：环境影响评价（试行）》，环评文件涉及</w:t>
            </w:r>
            <w:r>
              <w:rPr>
                <w:rFonts w:hint="eastAsia"/>
                <w:color w:val="auto"/>
                <w:lang w:val="en-US" w:eastAsia="zh-CN"/>
              </w:rPr>
              <w:t>“</w:t>
            </w:r>
            <w:r>
              <w:rPr>
                <w:rFonts w:hint="default"/>
                <w:color w:val="auto"/>
                <w:lang w:val="en-US" w:eastAsia="zh-CN"/>
              </w:rPr>
              <w:t>三线一单</w:t>
            </w:r>
            <w:r>
              <w:rPr>
                <w:rFonts w:hint="eastAsia"/>
                <w:color w:val="auto"/>
                <w:lang w:val="en-US" w:eastAsia="zh-CN"/>
              </w:rPr>
              <w:t>“</w:t>
            </w:r>
            <w:r>
              <w:rPr>
                <w:rFonts w:hint="default"/>
                <w:color w:val="auto"/>
                <w:lang w:val="en-US" w:eastAsia="zh-CN"/>
              </w:rPr>
              <w:t>生态环境分区管控符合性分析应采取</w:t>
            </w:r>
            <w:r>
              <w:rPr>
                <w:rFonts w:hint="eastAsia"/>
                <w:color w:val="auto"/>
                <w:lang w:val="en-US" w:eastAsia="zh-CN"/>
              </w:rPr>
              <w:t>“</w:t>
            </w:r>
            <w:r>
              <w:rPr>
                <w:rFonts w:hint="default"/>
                <w:color w:val="auto"/>
                <w:lang w:val="en-US" w:eastAsia="zh-CN"/>
              </w:rPr>
              <w:t>一图一表一说明</w:t>
            </w:r>
            <w:r>
              <w:rPr>
                <w:rFonts w:hint="eastAsia"/>
                <w:color w:val="auto"/>
                <w:lang w:val="en-US" w:eastAsia="zh-CN"/>
              </w:rPr>
              <w:t>“</w:t>
            </w:r>
            <w:r>
              <w:rPr>
                <w:rFonts w:hint="default"/>
                <w:color w:val="auto"/>
                <w:lang w:val="en-US" w:eastAsia="zh-CN"/>
              </w:rPr>
              <w:t>的表达方式，本项目</w:t>
            </w:r>
            <w:r>
              <w:rPr>
                <w:rFonts w:hint="eastAsia"/>
                <w:color w:val="auto"/>
                <w:lang w:val="en-US" w:eastAsia="zh-CN"/>
              </w:rPr>
              <w:t>“</w:t>
            </w:r>
            <w:r>
              <w:rPr>
                <w:rFonts w:hint="default"/>
                <w:color w:val="auto"/>
                <w:lang w:val="en-US" w:eastAsia="zh-CN"/>
              </w:rPr>
              <w:t>三线一单</w:t>
            </w:r>
            <w:r>
              <w:rPr>
                <w:rFonts w:hint="eastAsia"/>
                <w:color w:val="auto"/>
                <w:lang w:val="en-US" w:eastAsia="zh-CN"/>
              </w:rPr>
              <w:t>“</w:t>
            </w:r>
            <w:r>
              <w:rPr>
                <w:rFonts w:hint="default"/>
                <w:color w:val="auto"/>
                <w:lang w:val="en-US" w:eastAsia="zh-CN"/>
              </w:rPr>
              <w:t>符合性分析如下：</w:t>
            </w:r>
          </w:p>
          <w:p w14:paraId="3B74180B">
            <w:pPr>
              <w:pStyle w:val="22"/>
              <w:bidi w:val="0"/>
              <w:rPr>
                <w:rFonts w:hint="default"/>
                <w:color w:val="auto"/>
                <w:lang w:val="en-US" w:eastAsia="zh-CN"/>
              </w:rPr>
            </w:pPr>
            <w:r>
              <w:rPr>
                <w:rFonts w:hint="default"/>
                <w:color w:val="auto"/>
                <w:lang w:val="en-US" w:eastAsia="zh-CN"/>
              </w:rPr>
              <w:t>（1）</w:t>
            </w:r>
            <w:r>
              <w:rPr>
                <w:rFonts w:hint="eastAsia"/>
                <w:color w:val="auto"/>
                <w:lang w:val="en-US" w:eastAsia="zh-CN"/>
              </w:rPr>
              <w:t>“</w:t>
            </w:r>
            <w:r>
              <w:rPr>
                <w:rFonts w:hint="default"/>
                <w:color w:val="auto"/>
                <w:lang w:val="en-US" w:eastAsia="zh-CN"/>
              </w:rPr>
              <w:t>一图</w:t>
            </w:r>
            <w:r>
              <w:rPr>
                <w:rFonts w:hint="eastAsia"/>
                <w:color w:val="auto"/>
                <w:lang w:val="en-US" w:eastAsia="zh-CN"/>
              </w:rPr>
              <w:t>“</w:t>
            </w:r>
          </w:p>
          <w:p w14:paraId="0F63B336">
            <w:pPr>
              <w:pStyle w:val="22"/>
              <w:bidi w:val="0"/>
              <w:rPr>
                <w:rFonts w:hint="default" w:ascii="Times New Roman" w:hAnsi="Times New Roman" w:cs="Times New Roman"/>
                <w:color w:val="auto"/>
                <w:kern w:val="0"/>
                <w:szCs w:val="21"/>
                <w:lang w:val="en-US" w:eastAsia="zh-CN"/>
              </w:rPr>
            </w:pPr>
            <w:r>
              <w:rPr>
                <w:rFonts w:hint="default"/>
                <w:color w:val="auto"/>
                <w:lang w:val="en-US" w:eastAsia="zh-CN"/>
              </w:rPr>
              <w:t>根据陕西省</w:t>
            </w:r>
            <w:r>
              <w:rPr>
                <w:rFonts w:hint="eastAsia"/>
                <w:color w:val="auto"/>
                <w:lang w:val="en-US" w:eastAsia="zh-CN"/>
              </w:rPr>
              <w:t>“</w:t>
            </w:r>
            <w:r>
              <w:rPr>
                <w:rFonts w:hint="default"/>
                <w:color w:val="auto"/>
                <w:lang w:val="en-US" w:eastAsia="zh-CN"/>
              </w:rPr>
              <w:t>三线一单</w:t>
            </w:r>
            <w:r>
              <w:rPr>
                <w:rFonts w:hint="eastAsia"/>
                <w:color w:val="auto"/>
                <w:lang w:val="en-US" w:eastAsia="zh-CN"/>
              </w:rPr>
              <w:t>“</w:t>
            </w:r>
            <w:r>
              <w:rPr>
                <w:rFonts w:hint="default"/>
                <w:color w:val="auto"/>
                <w:lang w:val="en-US" w:eastAsia="zh-CN"/>
              </w:rPr>
              <w:t>数据应用系统叠图分析可知，本项目属于重点管控单元，不涉及生态保护红线。项目与环境管控单位对照分析示意图如下图所示：</w:t>
            </w:r>
          </w:p>
          <w:p w14:paraId="59A1F66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0" w:firstLineChars="0"/>
              <w:jc w:val="center"/>
              <w:textAlignment w:val="auto"/>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drawing>
                <wp:inline distT="0" distB="0" distL="114300" distR="114300">
                  <wp:extent cx="4119880" cy="3851910"/>
                  <wp:effectExtent l="0" t="0" r="13970" b="15240"/>
                  <wp:docPr id="1" name="图片 6" descr="三线一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三线一单"/>
                          <pic:cNvPicPr>
                            <a:picLocks noChangeAspect="1"/>
                          </pic:cNvPicPr>
                        </pic:nvPicPr>
                        <pic:blipFill>
                          <a:blip r:embed="rId7"/>
                          <a:stretch>
                            <a:fillRect/>
                          </a:stretch>
                        </pic:blipFill>
                        <pic:spPr>
                          <a:xfrm>
                            <a:off x="0" y="0"/>
                            <a:ext cx="4119880" cy="3851910"/>
                          </a:xfrm>
                          <a:prstGeom prst="rect">
                            <a:avLst/>
                          </a:prstGeom>
                          <a:noFill/>
                          <a:ln>
                            <a:noFill/>
                          </a:ln>
                        </pic:spPr>
                      </pic:pic>
                    </a:graphicData>
                  </a:graphic>
                </wp:inline>
              </w:drawing>
            </w:r>
          </w:p>
          <w:p w14:paraId="546D8486">
            <w:pPr>
              <w:pStyle w:val="2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宋体" w:hAnsi="宋体" w:cs="宋体"/>
                <w:color w:val="auto"/>
                <w:kern w:val="0"/>
                <w:szCs w:val="21"/>
                <w:lang w:val="en-US" w:eastAsia="zh-CN"/>
              </w:rPr>
            </w:pPr>
            <w:r>
              <w:rPr>
                <w:b/>
                <w:bCs/>
                <w:color w:val="auto"/>
              </w:rPr>
              <w:t>图1-1  本项目与环境管控单元对照分析示意图</w:t>
            </w:r>
          </w:p>
        </w:tc>
      </w:tr>
    </w:tbl>
    <w:p w14:paraId="6585887D">
      <w:pPr>
        <w:spacing w:line="360" w:lineRule="auto"/>
        <w:outlineLvl w:val="0"/>
        <w:rPr>
          <w:rFonts w:eastAsia="黑体"/>
          <w:color w:val="auto"/>
          <w:sz w:val="30"/>
        </w:rPr>
        <w:sectPr>
          <w:pgSz w:w="11906" w:h="16838"/>
          <w:pgMar w:top="1701" w:right="1531" w:bottom="1701" w:left="1531" w:header="851" w:footer="1077" w:gutter="0"/>
          <w:pgBorders>
            <w:top w:val="none" w:sz="0" w:space="0"/>
            <w:left w:val="none" w:sz="0" w:space="0"/>
            <w:bottom w:val="none" w:sz="0" w:space="0"/>
            <w:right w:val="none" w:sz="0" w:space="0"/>
          </w:pgBorders>
          <w:pgNumType w:fmt="decimal"/>
          <w:cols w:space="720" w:num="1"/>
          <w:docGrid w:linePitch="312" w:charSpace="0"/>
        </w:sectPr>
      </w:pPr>
    </w:p>
    <w:tbl>
      <w:tblPr>
        <w:tblStyle w:val="15"/>
        <w:tblW w:w="505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957"/>
        <w:gridCol w:w="12646"/>
      </w:tblGrid>
      <w:tr w14:paraId="1B5AEA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29" w:hRule="atLeast"/>
          <w:jc w:val="center"/>
        </w:trPr>
        <w:tc>
          <w:tcPr>
            <w:tcW w:w="957" w:type="dxa"/>
            <w:noWrap w:val="0"/>
            <w:tcMar>
              <w:top w:w="16" w:type="dxa"/>
              <w:left w:w="16" w:type="dxa"/>
              <w:right w:w="16" w:type="dxa"/>
            </w:tcMar>
            <w:vAlign w:val="center"/>
          </w:tcPr>
          <w:p w14:paraId="05F45B72">
            <w:pPr>
              <w:autoSpaceDE w:val="0"/>
              <w:autoSpaceDN w:val="0"/>
              <w:adjustRightInd w:val="0"/>
              <w:snapToGrid w:val="0"/>
              <w:jc w:val="center"/>
              <w:rPr>
                <w:rFonts w:ascii="宋体" w:hAnsi="宋体" w:cs="宋体"/>
                <w:color w:val="auto"/>
                <w:kern w:val="0"/>
                <w:szCs w:val="21"/>
              </w:rPr>
            </w:pPr>
            <w:r>
              <w:rPr>
                <w:rFonts w:hint="eastAsia" w:ascii="宋体" w:hAnsi="宋体" w:cs="宋体"/>
                <w:color w:val="auto"/>
                <w:kern w:val="0"/>
                <w:sz w:val="24"/>
                <w:szCs w:val="24"/>
              </w:rPr>
              <w:t>其他符合性分析</w:t>
            </w:r>
          </w:p>
        </w:tc>
        <w:tc>
          <w:tcPr>
            <w:tcW w:w="12646" w:type="dxa"/>
            <w:noWrap w:val="0"/>
            <w:tcMar>
              <w:top w:w="16" w:type="dxa"/>
              <w:left w:w="16" w:type="dxa"/>
              <w:right w:w="16" w:type="dxa"/>
            </w:tcMar>
            <w:vAlign w:val="center"/>
          </w:tcPr>
          <w:p w14:paraId="31586871">
            <w:pPr>
              <w:pStyle w:val="22"/>
              <w:bidi w:val="0"/>
              <w:rPr>
                <w:rFonts w:hint="default"/>
                <w:color w:val="auto"/>
                <w:lang w:val="en-US" w:eastAsia="zh-CN"/>
              </w:rPr>
            </w:pPr>
            <w:r>
              <w:rPr>
                <w:rFonts w:hint="default"/>
                <w:color w:val="auto"/>
                <w:lang w:val="en-US" w:eastAsia="zh-CN"/>
              </w:rPr>
              <w:t>（2）</w:t>
            </w:r>
            <w:r>
              <w:rPr>
                <w:rFonts w:hint="eastAsia"/>
                <w:color w:val="auto"/>
                <w:lang w:val="en-US" w:eastAsia="zh-CN"/>
              </w:rPr>
              <w:t>“</w:t>
            </w:r>
            <w:r>
              <w:rPr>
                <w:rFonts w:hint="default"/>
                <w:color w:val="auto"/>
                <w:lang w:val="en-US" w:eastAsia="zh-CN"/>
              </w:rPr>
              <w:t>一表</w:t>
            </w:r>
            <w:r>
              <w:rPr>
                <w:rFonts w:hint="eastAsia"/>
                <w:color w:val="auto"/>
                <w:lang w:val="en-US" w:eastAsia="zh-CN"/>
              </w:rPr>
              <w:t>“</w:t>
            </w:r>
          </w:p>
          <w:p w14:paraId="1A8E883D">
            <w:pPr>
              <w:pStyle w:val="22"/>
              <w:bidi w:val="0"/>
              <w:rPr>
                <w:rFonts w:hint="default"/>
                <w:color w:val="auto"/>
                <w:lang w:val="en-US" w:eastAsia="zh-CN"/>
              </w:rPr>
            </w:pPr>
            <w:r>
              <w:rPr>
                <w:rFonts w:hint="default"/>
                <w:color w:val="auto"/>
                <w:lang w:val="en-US" w:eastAsia="zh-CN"/>
              </w:rPr>
              <w:t>根据从陕西省</w:t>
            </w:r>
            <w:r>
              <w:rPr>
                <w:rFonts w:hint="eastAsia"/>
                <w:color w:val="auto"/>
                <w:lang w:val="en-US" w:eastAsia="zh-CN"/>
              </w:rPr>
              <w:t>“</w:t>
            </w:r>
            <w:r>
              <w:rPr>
                <w:rFonts w:hint="default"/>
                <w:color w:val="auto"/>
                <w:lang w:val="en-US" w:eastAsia="zh-CN"/>
              </w:rPr>
              <w:t>三线一单</w:t>
            </w:r>
            <w:r>
              <w:rPr>
                <w:rFonts w:hint="eastAsia"/>
                <w:color w:val="auto"/>
                <w:lang w:val="en-US" w:eastAsia="zh-CN"/>
              </w:rPr>
              <w:t>“</w:t>
            </w:r>
            <w:r>
              <w:rPr>
                <w:rFonts w:hint="default"/>
                <w:color w:val="auto"/>
                <w:lang w:val="en-US" w:eastAsia="zh-CN"/>
              </w:rPr>
              <w:t>数据应用系统（V1.0）中导出的分析文件（具体见附件），本项目所涉及的生态环境管控单元符合性分析如下表所示：</w:t>
            </w:r>
          </w:p>
          <w:p w14:paraId="5C273A05">
            <w:pPr>
              <w:pStyle w:val="4"/>
              <w:keepNext w:val="0"/>
              <w:keepLines w:val="0"/>
              <w:pageBreakBefore w:val="0"/>
              <w:widowControl w:val="0"/>
              <w:kinsoku/>
              <w:wordWrap/>
              <w:overflowPunct/>
              <w:topLinePunct w:val="0"/>
              <w:autoSpaceDE/>
              <w:autoSpaceDN/>
              <w:bidi w:val="0"/>
              <w:adjustRightInd/>
              <w:snapToGrid/>
              <w:ind w:firstLine="0"/>
              <w:jc w:val="center"/>
              <w:textAlignment w:val="auto"/>
              <w:rPr>
                <w:b/>
                <w:bCs/>
                <w:color w:val="auto"/>
                <w:kern w:val="0"/>
                <w:szCs w:val="24"/>
              </w:rPr>
            </w:pPr>
            <w:r>
              <w:rPr>
                <w:b/>
                <w:bCs/>
                <w:color w:val="auto"/>
                <w:kern w:val="0"/>
                <w:szCs w:val="24"/>
              </w:rPr>
              <w:t>表1-</w:t>
            </w:r>
            <w:r>
              <w:rPr>
                <w:rFonts w:hint="eastAsia"/>
                <w:b/>
                <w:bCs/>
                <w:color w:val="auto"/>
                <w:kern w:val="0"/>
                <w:szCs w:val="24"/>
              </w:rPr>
              <w:t xml:space="preserve">2 </w:t>
            </w:r>
            <w:r>
              <w:rPr>
                <w:b/>
                <w:bCs/>
                <w:color w:val="auto"/>
                <w:kern w:val="0"/>
                <w:szCs w:val="24"/>
              </w:rPr>
              <w:t xml:space="preserve"> 与</w:t>
            </w:r>
            <w:r>
              <w:rPr>
                <w:rFonts w:hint="eastAsia"/>
                <w:b/>
                <w:bCs/>
                <w:color w:val="auto"/>
                <w:kern w:val="0"/>
                <w:szCs w:val="24"/>
                <w:lang w:val="en-US" w:eastAsia="zh-CN"/>
              </w:rPr>
              <w:t>生态环境管控单元管控要求</w:t>
            </w:r>
            <w:r>
              <w:rPr>
                <w:b/>
                <w:bCs/>
                <w:color w:val="auto"/>
                <w:kern w:val="0"/>
                <w:szCs w:val="24"/>
              </w:rPr>
              <w:t>符合性分析一览表</w:t>
            </w:r>
          </w:p>
          <w:tbl>
            <w:tblPr>
              <w:tblStyle w:val="15"/>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99"/>
              <w:gridCol w:w="936"/>
              <w:gridCol w:w="586"/>
              <w:gridCol w:w="413"/>
              <w:gridCol w:w="688"/>
              <w:gridCol w:w="688"/>
              <w:gridCol w:w="4051"/>
              <w:gridCol w:w="999"/>
              <w:gridCol w:w="3216"/>
              <w:gridCol w:w="564"/>
            </w:tblGrid>
            <w:tr w14:paraId="668F0C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235" w:type="pct"/>
                  <w:noWrap w:val="0"/>
                  <w:vAlign w:val="center"/>
                </w:tcPr>
                <w:p w14:paraId="42B7CF6B">
                  <w:pPr>
                    <w:autoSpaceDE w:val="0"/>
                    <w:autoSpaceDN w:val="0"/>
                    <w:adjustRightInd w:val="0"/>
                    <w:snapToGrid w:val="0"/>
                    <w:spacing w:line="240" w:lineRule="auto"/>
                    <w:jc w:val="center"/>
                    <w:rPr>
                      <w:rFonts w:hint="eastAsia" w:eastAsia="宋体"/>
                      <w:b/>
                      <w:bCs/>
                      <w:color w:val="auto"/>
                      <w:kern w:val="0"/>
                      <w:sz w:val="21"/>
                      <w:szCs w:val="21"/>
                      <w:lang w:val="en-US" w:eastAsia="zh-CN"/>
                    </w:rPr>
                  </w:pPr>
                  <w:r>
                    <w:rPr>
                      <w:rFonts w:hint="eastAsia"/>
                      <w:b/>
                      <w:bCs/>
                      <w:color w:val="auto"/>
                      <w:kern w:val="0"/>
                      <w:sz w:val="21"/>
                      <w:szCs w:val="21"/>
                      <w:lang w:val="en-US" w:eastAsia="zh-CN"/>
                    </w:rPr>
                    <w:t>序号</w:t>
                  </w:r>
                </w:p>
              </w:tc>
              <w:tc>
                <w:tcPr>
                  <w:tcW w:w="367" w:type="pct"/>
                  <w:noWrap w:val="0"/>
                  <w:vAlign w:val="center"/>
                </w:tcPr>
                <w:p w14:paraId="122D86A9">
                  <w:pPr>
                    <w:autoSpaceDE w:val="0"/>
                    <w:autoSpaceDN w:val="0"/>
                    <w:adjustRightInd w:val="0"/>
                    <w:snapToGrid w:val="0"/>
                    <w:spacing w:line="240" w:lineRule="auto"/>
                    <w:jc w:val="center"/>
                    <w:rPr>
                      <w:rFonts w:hint="default"/>
                      <w:b/>
                      <w:bCs/>
                      <w:color w:val="auto"/>
                      <w:kern w:val="0"/>
                      <w:sz w:val="21"/>
                      <w:szCs w:val="21"/>
                      <w:lang w:val="en-US" w:eastAsia="zh-CN" w:bidi="ar-SA"/>
                    </w:rPr>
                  </w:pPr>
                  <w:r>
                    <w:rPr>
                      <w:rFonts w:hint="eastAsia"/>
                      <w:b/>
                      <w:bCs/>
                      <w:color w:val="auto"/>
                      <w:kern w:val="0"/>
                      <w:sz w:val="21"/>
                      <w:szCs w:val="21"/>
                    </w:rPr>
                    <w:t>环境管控单元名称</w:t>
                  </w:r>
                </w:p>
              </w:tc>
              <w:tc>
                <w:tcPr>
                  <w:tcW w:w="230" w:type="pct"/>
                  <w:noWrap w:val="0"/>
                  <w:vAlign w:val="center"/>
                </w:tcPr>
                <w:p w14:paraId="03108C0A">
                  <w:pPr>
                    <w:autoSpaceDE w:val="0"/>
                    <w:autoSpaceDN w:val="0"/>
                    <w:adjustRightInd w:val="0"/>
                    <w:snapToGrid w:val="0"/>
                    <w:spacing w:line="240" w:lineRule="auto"/>
                    <w:jc w:val="center"/>
                    <w:rPr>
                      <w:b/>
                      <w:bCs/>
                      <w:color w:val="auto"/>
                      <w:kern w:val="0"/>
                      <w:sz w:val="21"/>
                      <w:szCs w:val="21"/>
                    </w:rPr>
                  </w:pPr>
                  <w:r>
                    <w:rPr>
                      <w:rFonts w:hint="eastAsia"/>
                      <w:b/>
                      <w:bCs/>
                      <w:color w:val="auto"/>
                      <w:kern w:val="0"/>
                      <w:sz w:val="21"/>
                      <w:szCs w:val="21"/>
                      <w:lang w:val="en-US" w:eastAsia="zh-CN"/>
                    </w:rPr>
                    <w:t>市(区)</w:t>
                  </w:r>
                </w:p>
              </w:tc>
              <w:tc>
                <w:tcPr>
                  <w:tcW w:w="162" w:type="pct"/>
                  <w:noWrap w:val="0"/>
                  <w:vAlign w:val="center"/>
                </w:tcPr>
                <w:p w14:paraId="6BBA60BD">
                  <w:pPr>
                    <w:autoSpaceDE w:val="0"/>
                    <w:autoSpaceDN w:val="0"/>
                    <w:adjustRightInd w:val="0"/>
                    <w:snapToGrid w:val="0"/>
                    <w:spacing w:line="240" w:lineRule="auto"/>
                    <w:jc w:val="center"/>
                    <w:rPr>
                      <w:rFonts w:hint="eastAsia" w:eastAsia="宋体"/>
                      <w:b/>
                      <w:bCs/>
                      <w:color w:val="auto"/>
                      <w:kern w:val="0"/>
                      <w:sz w:val="21"/>
                      <w:szCs w:val="21"/>
                      <w:lang w:eastAsia="zh-CN"/>
                    </w:rPr>
                  </w:pPr>
                  <w:r>
                    <w:rPr>
                      <w:rFonts w:hint="eastAsia"/>
                      <w:b/>
                      <w:bCs/>
                      <w:color w:val="auto"/>
                      <w:kern w:val="0"/>
                      <w:sz w:val="21"/>
                      <w:szCs w:val="21"/>
                    </w:rPr>
                    <w:t>区县</w:t>
                  </w:r>
                </w:p>
              </w:tc>
              <w:tc>
                <w:tcPr>
                  <w:tcW w:w="270" w:type="pct"/>
                  <w:noWrap w:val="0"/>
                  <w:vAlign w:val="center"/>
                </w:tcPr>
                <w:p w14:paraId="12202C58">
                  <w:pPr>
                    <w:autoSpaceDE w:val="0"/>
                    <w:autoSpaceDN w:val="0"/>
                    <w:adjustRightInd w:val="0"/>
                    <w:snapToGrid w:val="0"/>
                    <w:spacing w:line="240" w:lineRule="auto"/>
                    <w:jc w:val="center"/>
                    <w:rPr>
                      <w:b/>
                      <w:bCs/>
                      <w:color w:val="auto"/>
                      <w:kern w:val="0"/>
                      <w:sz w:val="21"/>
                      <w:szCs w:val="21"/>
                    </w:rPr>
                  </w:pPr>
                  <w:r>
                    <w:rPr>
                      <w:rFonts w:hint="eastAsia"/>
                      <w:b/>
                      <w:bCs/>
                      <w:color w:val="auto"/>
                      <w:kern w:val="0"/>
                      <w:sz w:val="21"/>
                      <w:szCs w:val="21"/>
                    </w:rPr>
                    <w:t>单元要素属性</w:t>
                  </w:r>
                </w:p>
              </w:tc>
              <w:tc>
                <w:tcPr>
                  <w:tcW w:w="270" w:type="pct"/>
                  <w:noWrap w:val="0"/>
                  <w:vAlign w:val="center"/>
                </w:tcPr>
                <w:p w14:paraId="17C0C3A6">
                  <w:pPr>
                    <w:autoSpaceDE w:val="0"/>
                    <w:autoSpaceDN w:val="0"/>
                    <w:adjustRightInd w:val="0"/>
                    <w:snapToGrid w:val="0"/>
                    <w:spacing w:line="240" w:lineRule="auto"/>
                    <w:jc w:val="center"/>
                    <w:rPr>
                      <w:b/>
                      <w:bCs/>
                      <w:color w:val="auto"/>
                      <w:kern w:val="0"/>
                      <w:sz w:val="21"/>
                      <w:szCs w:val="21"/>
                    </w:rPr>
                  </w:pPr>
                  <w:r>
                    <w:rPr>
                      <w:b/>
                      <w:bCs/>
                      <w:color w:val="auto"/>
                      <w:kern w:val="0"/>
                      <w:sz w:val="21"/>
                      <w:szCs w:val="21"/>
                    </w:rPr>
                    <w:t>管控</w:t>
                  </w:r>
                  <w:r>
                    <w:rPr>
                      <w:rFonts w:hint="eastAsia"/>
                      <w:b/>
                      <w:bCs/>
                      <w:color w:val="auto"/>
                      <w:kern w:val="0"/>
                      <w:sz w:val="21"/>
                      <w:szCs w:val="21"/>
                    </w:rPr>
                    <w:t>要求分类</w:t>
                  </w:r>
                </w:p>
              </w:tc>
              <w:tc>
                <w:tcPr>
                  <w:tcW w:w="1589" w:type="pct"/>
                  <w:noWrap w:val="0"/>
                  <w:vAlign w:val="center"/>
                </w:tcPr>
                <w:p w14:paraId="1E29D6AD">
                  <w:pPr>
                    <w:autoSpaceDE w:val="0"/>
                    <w:autoSpaceDN w:val="0"/>
                    <w:adjustRightInd w:val="0"/>
                    <w:snapToGrid w:val="0"/>
                    <w:spacing w:line="240" w:lineRule="auto"/>
                    <w:jc w:val="center"/>
                    <w:rPr>
                      <w:b/>
                      <w:bCs/>
                      <w:color w:val="auto"/>
                      <w:kern w:val="0"/>
                      <w:sz w:val="21"/>
                      <w:szCs w:val="21"/>
                    </w:rPr>
                  </w:pPr>
                  <w:r>
                    <w:rPr>
                      <w:b/>
                      <w:bCs/>
                      <w:color w:val="auto"/>
                      <w:kern w:val="0"/>
                      <w:sz w:val="21"/>
                      <w:szCs w:val="21"/>
                    </w:rPr>
                    <w:t>管控要求</w:t>
                  </w:r>
                </w:p>
              </w:tc>
              <w:tc>
                <w:tcPr>
                  <w:tcW w:w="392" w:type="pct"/>
                  <w:noWrap w:val="0"/>
                  <w:vAlign w:val="center"/>
                </w:tcPr>
                <w:p w14:paraId="324E16AC">
                  <w:pPr>
                    <w:autoSpaceDE w:val="0"/>
                    <w:autoSpaceDN w:val="0"/>
                    <w:adjustRightInd w:val="0"/>
                    <w:snapToGrid w:val="0"/>
                    <w:spacing w:line="240" w:lineRule="auto"/>
                    <w:jc w:val="center"/>
                    <w:rPr>
                      <w:b/>
                      <w:bCs/>
                      <w:color w:val="auto"/>
                      <w:kern w:val="0"/>
                      <w:sz w:val="21"/>
                      <w:szCs w:val="21"/>
                    </w:rPr>
                  </w:pPr>
                  <w:r>
                    <w:rPr>
                      <w:rFonts w:hint="eastAsia"/>
                      <w:b/>
                      <w:bCs/>
                      <w:color w:val="auto"/>
                      <w:kern w:val="0"/>
                      <w:sz w:val="21"/>
                      <w:szCs w:val="21"/>
                    </w:rPr>
                    <w:t>面积/长度（平方米/米）</w:t>
                  </w:r>
                </w:p>
              </w:tc>
              <w:tc>
                <w:tcPr>
                  <w:tcW w:w="1261" w:type="pct"/>
                  <w:noWrap w:val="0"/>
                  <w:vAlign w:val="center"/>
                </w:tcPr>
                <w:p w14:paraId="5ABBDBD9">
                  <w:pPr>
                    <w:autoSpaceDE w:val="0"/>
                    <w:autoSpaceDN w:val="0"/>
                    <w:adjustRightInd w:val="0"/>
                    <w:snapToGrid w:val="0"/>
                    <w:spacing w:line="240" w:lineRule="auto"/>
                    <w:jc w:val="center"/>
                    <w:rPr>
                      <w:b/>
                      <w:bCs/>
                      <w:color w:val="auto"/>
                      <w:kern w:val="0"/>
                      <w:sz w:val="21"/>
                      <w:szCs w:val="21"/>
                    </w:rPr>
                  </w:pPr>
                  <w:r>
                    <w:rPr>
                      <w:b/>
                      <w:bCs/>
                      <w:color w:val="auto"/>
                      <w:kern w:val="0"/>
                      <w:sz w:val="21"/>
                      <w:szCs w:val="21"/>
                    </w:rPr>
                    <w:t>本项目情况</w:t>
                  </w:r>
                </w:p>
              </w:tc>
              <w:tc>
                <w:tcPr>
                  <w:tcW w:w="221" w:type="pct"/>
                  <w:noWrap w:val="0"/>
                  <w:vAlign w:val="center"/>
                </w:tcPr>
                <w:p w14:paraId="1EAEDD6E">
                  <w:pPr>
                    <w:autoSpaceDE w:val="0"/>
                    <w:autoSpaceDN w:val="0"/>
                    <w:adjustRightInd w:val="0"/>
                    <w:snapToGrid w:val="0"/>
                    <w:spacing w:line="240" w:lineRule="auto"/>
                    <w:jc w:val="center"/>
                    <w:rPr>
                      <w:b/>
                      <w:bCs/>
                      <w:color w:val="auto"/>
                      <w:kern w:val="0"/>
                      <w:sz w:val="21"/>
                      <w:szCs w:val="21"/>
                    </w:rPr>
                  </w:pPr>
                  <w:r>
                    <w:rPr>
                      <w:b/>
                      <w:bCs/>
                      <w:color w:val="auto"/>
                      <w:kern w:val="0"/>
                      <w:sz w:val="21"/>
                      <w:szCs w:val="21"/>
                    </w:rPr>
                    <w:t>符合性</w:t>
                  </w:r>
                </w:p>
              </w:tc>
            </w:tr>
            <w:tr w14:paraId="4CCE81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235" w:type="pct"/>
                  <w:vMerge w:val="restart"/>
                  <w:noWrap w:val="0"/>
                  <w:vAlign w:val="center"/>
                </w:tcPr>
                <w:p w14:paraId="17F5BEC4">
                  <w:pPr>
                    <w:autoSpaceDE w:val="0"/>
                    <w:autoSpaceDN w:val="0"/>
                    <w:adjustRightInd w:val="0"/>
                    <w:snapToGrid w:val="0"/>
                    <w:spacing w:line="240" w:lineRule="auto"/>
                    <w:jc w:val="center"/>
                    <w:rPr>
                      <w:rFonts w:hint="default"/>
                      <w:color w:val="auto"/>
                      <w:kern w:val="0"/>
                      <w:sz w:val="21"/>
                      <w:szCs w:val="21"/>
                      <w:lang w:val="en-US" w:eastAsia="zh-CN"/>
                    </w:rPr>
                  </w:pPr>
                  <w:r>
                    <w:rPr>
                      <w:rFonts w:hint="eastAsia"/>
                      <w:color w:val="auto"/>
                      <w:kern w:val="0"/>
                      <w:sz w:val="21"/>
                      <w:szCs w:val="21"/>
                      <w:lang w:val="en-US" w:eastAsia="zh-CN"/>
                    </w:rPr>
                    <w:t>1</w:t>
                  </w:r>
                </w:p>
              </w:tc>
              <w:tc>
                <w:tcPr>
                  <w:tcW w:w="367" w:type="pct"/>
                  <w:vMerge w:val="restart"/>
                  <w:noWrap w:val="0"/>
                  <w:vAlign w:val="center"/>
                </w:tcPr>
                <w:p w14:paraId="0EEFC4B4">
                  <w:pPr>
                    <w:autoSpaceDE w:val="0"/>
                    <w:autoSpaceDN w:val="0"/>
                    <w:adjustRightInd w:val="0"/>
                    <w:snapToGrid w:val="0"/>
                    <w:spacing w:line="240" w:lineRule="auto"/>
                    <w:jc w:val="center"/>
                    <w:rPr>
                      <w:rFonts w:hint="default"/>
                      <w:color w:val="auto"/>
                      <w:kern w:val="0"/>
                      <w:sz w:val="21"/>
                      <w:szCs w:val="21"/>
                      <w:lang w:val="en-US" w:eastAsia="zh-CN" w:bidi="ar-SA"/>
                    </w:rPr>
                  </w:pPr>
                  <w:r>
                    <w:rPr>
                      <w:rFonts w:hint="eastAsia"/>
                      <w:color w:val="auto"/>
                      <w:kern w:val="0"/>
                      <w:sz w:val="21"/>
                      <w:szCs w:val="21"/>
                    </w:rPr>
                    <w:t>陕西省西安市未央区重点管控单元2</w:t>
                  </w:r>
                </w:p>
              </w:tc>
              <w:tc>
                <w:tcPr>
                  <w:tcW w:w="230" w:type="pct"/>
                  <w:vMerge w:val="restart"/>
                  <w:noWrap w:val="0"/>
                  <w:vAlign w:val="center"/>
                </w:tcPr>
                <w:p w14:paraId="35167098">
                  <w:pPr>
                    <w:autoSpaceDE w:val="0"/>
                    <w:autoSpaceDN w:val="0"/>
                    <w:adjustRightInd w:val="0"/>
                    <w:snapToGrid w:val="0"/>
                    <w:spacing w:line="240" w:lineRule="auto"/>
                    <w:jc w:val="center"/>
                    <w:rPr>
                      <w:rFonts w:hint="default" w:eastAsia="宋体"/>
                      <w:color w:val="auto"/>
                      <w:kern w:val="0"/>
                      <w:sz w:val="21"/>
                      <w:szCs w:val="21"/>
                      <w:lang w:val="en-US" w:eastAsia="zh-CN" w:bidi="ar-SA"/>
                    </w:rPr>
                  </w:pPr>
                  <w:r>
                    <w:rPr>
                      <w:rFonts w:hint="eastAsia" w:eastAsia="宋体"/>
                      <w:color w:val="auto"/>
                      <w:kern w:val="0"/>
                      <w:sz w:val="21"/>
                      <w:szCs w:val="21"/>
                      <w:lang w:val="en-US" w:eastAsia="zh-CN"/>
                    </w:rPr>
                    <w:t>西安市</w:t>
                  </w:r>
                </w:p>
              </w:tc>
              <w:tc>
                <w:tcPr>
                  <w:tcW w:w="162" w:type="pct"/>
                  <w:vMerge w:val="restart"/>
                  <w:noWrap w:val="0"/>
                  <w:vAlign w:val="center"/>
                </w:tcPr>
                <w:p w14:paraId="6EA837BD">
                  <w:pPr>
                    <w:autoSpaceDE w:val="0"/>
                    <w:autoSpaceDN w:val="0"/>
                    <w:adjustRightInd w:val="0"/>
                    <w:snapToGrid w:val="0"/>
                    <w:spacing w:line="240" w:lineRule="auto"/>
                    <w:jc w:val="center"/>
                    <w:rPr>
                      <w:color w:val="auto"/>
                      <w:kern w:val="0"/>
                      <w:sz w:val="21"/>
                      <w:szCs w:val="21"/>
                      <w:lang w:val="en-US" w:eastAsia="zh-CN" w:bidi="ar-SA"/>
                    </w:rPr>
                  </w:pPr>
                  <w:r>
                    <w:rPr>
                      <w:rFonts w:hint="eastAsia"/>
                      <w:color w:val="auto"/>
                      <w:kern w:val="0"/>
                      <w:sz w:val="21"/>
                      <w:szCs w:val="21"/>
                      <w:lang w:val="en-US" w:eastAsia="zh-CN"/>
                    </w:rPr>
                    <w:t>未央区</w:t>
                  </w:r>
                </w:p>
              </w:tc>
              <w:tc>
                <w:tcPr>
                  <w:tcW w:w="270" w:type="pct"/>
                  <w:vMerge w:val="restart"/>
                  <w:noWrap w:val="0"/>
                  <w:vAlign w:val="center"/>
                </w:tcPr>
                <w:p w14:paraId="4381F08B">
                  <w:pPr>
                    <w:autoSpaceDE w:val="0"/>
                    <w:autoSpaceDN w:val="0"/>
                    <w:adjustRightInd w:val="0"/>
                    <w:snapToGrid w:val="0"/>
                    <w:spacing w:line="240" w:lineRule="auto"/>
                    <w:jc w:val="center"/>
                    <w:rPr>
                      <w:color w:val="auto"/>
                      <w:kern w:val="0"/>
                      <w:sz w:val="21"/>
                      <w:szCs w:val="21"/>
                    </w:rPr>
                  </w:pPr>
                  <w:r>
                    <w:rPr>
                      <w:rFonts w:hint="eastAsia"/>
                      <w:color w:val="auto"/>
                      <w:kern w:val="0"/>
                      <w:sz w:val="21"/>
                      <w:szCs w:val="21"/>
                    </w:rPr>
                    <w:t>大气环境受体敏感重点管控区</w:t>
                  </w:r>
                </w:p>
              </w:tc>
              <w:tc>
                <w:tcPr>
                  <w:tcW w:w="270" w:type="pct"/>
                  <w:noWrap w:val="0"/>
                  <w:vAlign w:val="center"/>
                </w:tcPr>
                <w:p w14:paraId="30BE84C8">
                  <w:pPr>
                    <w:autoSpaceDE w:val="0"/>
                    <w:autoSpaceDN w:val="0"/>
                    <w:adjustRightInd w:val="0"/>
                    <w:snapToGrid w:val="0"/>
                    <w:spacing w:line="240" w:lineRule="auto"/>
                    <w:jc w:val="center"/>
                    <w:rPr>
                      <w:color w:val="auto"/>
                      <w:kern w:val="0"/>
                      <w:sz w:val="21"/>
                      <w:szCs w:val="21"/>
                    </w:rPr>
                  </w:pPr>
                  <w:r>
                    <w:rPr>
                      <w:rFonts w:hint="eastAsia"/>
                      <w:color w:val="auto"/>
                      <w:kern w:val="0"/>
                      <w:sz w:val="21"/>
                      <w:szCs w:val="21"/>
                    </w:rPr>
                    <w:t>空间布局约束</w:t>
                  </w:r>
                </w:p>
              </w:tc>
              <w:tc>
                <w:tcPr>
                  <w:tcW w:w="1589" w:type="pct"/>
                  <w:noWrap w:val="0"/>
                  <w:vAlign w:val="center"/>
                </w:tcPr>
                <w:p w14:paraId="18AB75F5">
                  <w:pPr>
                    <w:autoSpaceDE w:val="0"/>
                    <w:autoSpaceDN w:val="0"/>
                    <w:adjustRightInd w:val="0"/>
                    <w:snapToGrid w:val="0"/>
                    <w:spacing w:line="240" w:lineRule="auto"/>
                    <w:rPr>
                      <w:rFonts w:hint="eastAsia"/>
                      <w:color w:val="auto"/>
                      <w:kern w:val="0"/>
                      <w:sz w:val="21"/>
                      <w:szCs w:val="21"/>
                    </w:rPr>
                  </w:pPr>
                  <w:r>
                    <w:rPr>
                      <w:rFonts w:hint="eastAsia"/>
                      <w:color w:val="auto"/>
                      <w:kern w:val="0"/>
                      <w:sz w:val="21"/>
                      <w:szCs w:val="21"/>
                    </w:rPr>
                    <w:t>大气环境受体敏感重点管控区：</w:t>
                  </w:r>
                </w:p>
                <w:p w14:paraId="2AD380C9">
                  <w:pPr>
                    <w:autoSpaceDE w:val="0"/>
                    <w:autoSpaceDN w:val="0"/>
                    <w:adjustRightInd w:val="0"/>
                    <w:snapToGrid w:val="0"/>
                    <w:spacing w:line="240" w:lineRule="auto"/>
                    <w:rPr>
                      <w:rFonts w:hint="eastAsia"/>
                      <w:color w:val="auto"/>
                      <w:kern w:val="0"/>
                      <w:sz w:val="21"/>
                      <w:szCs w:val="21"/>
                    </w:rPr>
                  </w:pPr>
                  <w:r>
                    <w:rPr>
                      <w:rFonts w:hint="eastAsia"/>
                      <w:color w:val="auto"/>
                      <w:kern w:val="0"/>
                      <w:sz w:val="21"/>
                      <w:szCs w:val="21"/>
                    </w:rPr>
                    <w:t>1.严格控制新增《陕西省</w:t>
                  </w:r>
                  <w:r>
                    <w:rPr>
                      <w:rFonts w:hint="eastAsia"/>
                      <w:color w:val="auto"/>
                      <w:kern w:val="0"/>
                      <w:sz w:val="21"/>
                      <w:szCs w:val="21"/>
                      <w:lang w:eastAsia="zh-CN"/>
                    </w:rPr>
                    <w:t>“</w:t>
                  </w:r>
                  <w:r>
                    <w:rPr>
                      <w:rFonts w:hint="eastAsia"/>
                      <w:color w:val="auto"/>
                      <w:kern w:val="0"/>
                      <w:sz w:val="21"/>
                      <w:szCs w:val="21"/>
                    </w:rPr>
                    <w:t>两高</w:t>
                  </w:r>
                  <w:r>
                    <w:rPr>
                      <w:rFonts w:hint="eastAsia"/>
                      <w:color w:val="auto"/>
                      <w:kern w:val="0"/>
                      <w:sz w:val="21"/>
                      <w:szCs w:val="21"/>
                      <w:lang w:eastAsia="zh-CN"/>
                    </w:rPr>
                    <w:t>“</w:t>
                  </w:r>
                  <w:r>
                    <w:rPr>
                      <w:rFonts w:hint="eastAsia"/>
                      <w:color w:val="auto"/>
                      <w:kern w:val="0"/>
                      <w:sz w:val="21"/>
                      <w:szCs w:val="21"/>
                    </w:rPr>
                    <w:t>项目管理暂行目录》行业项目（民生等项目除外，后续对</w:t>
                  </w:r>
                  <w:r>
                    <w:rPr>
                      <w:rFonts w:hint="eastAsia"/>
                      <w:color w:val="auto"/>
                      <w:kern w:val="0"/>
                      <w:sz w:val="21"/>
                      <w:szCs w:val="21"/>
                      <w:lang w:eastAsia="zh-CN"/>
                    </w:rPr>
                    <w:t>“</w:t>
                  </w:r>
                  <w:r>
                    <w:rPr>
                      <w:rFonts w:hint="eastAsia"/>
                      <w:color w:val="auto"/>
                      <w:kern w:val="0"/>
                      <w:sz w:val="21"/>
                      <w:szCs w:val="21"/>
                    </w:rPr>
                    <w:t>两高</w:t>
                  </w:r>
                  <w:r>
                    <w:rPr>
                      <w:rFonts w:hint="eastAsia"/>
                      <w:color w:val="auto"/>
                      <w:kern w:val="0"/>
                      <w:sz w:val="21"/>
                      <w:szCs w:val="21"/>
                      <w:lang w:eastAsia="zh-CN"/>
                    </w:rPr>
                    <w:t>“</w:t>
                  </w:r>
                  <w:r>
                    <w:rPr>
                      <w:rFonts w:hint="eastAsia"/>
                      <w:color w:val="auto"/>
                      <w:kern w:val="0"/>
                      <w:sz w:val="21"/>
                      <w:szCs w:val="21"/>
                    </w:rPr>
                    <w:t>范围国家如有新规定的，从其规定）。</w:t>
                  </w:r>
                </w:p>
                <w:p w14:paraId="6434587E">
                  <w:pPr>
                    <w:autoSpaceDE w:val="0"/>
                    <w:autoSpaceDN w:val="0"/>
                    <w:adjustRightInd w:val="0"/>
                    <w:snapToGrid w:val="0"/>
                    <w:spacing w:line="240" w:lineRule="auto"/>
                    <w:rPr>
                      <w:rFonts w:hint="eastAsia"/>
                      <w:color w:val="auto"/>
                      <w:kern w:val="0"/>
                      <w:sz w:val="21"/>
                      <w:szCs w:val="21"/>
                    </w:rPr>
                  </w:pPr>
                  <w:r>
                    <w:rPr>
                      <w:rFonts w:hint="eastAsia"/>
                      <w:color w:val="auto"/>
                      <w:kern w:val="0"/>
                      <w:sz w:val="21"/>
                      <w:szCs w:val="21"/>
                      <w:lang w:val="en-US" w:eastAsia="zh-CN"/>
                    </w:rPr>
                    <w:t>2</w:t>
                  </w:r>
                  <w:r>
                    <w:rPr>
                      <w:rFonts w:hint="eastAsia"/>
                      <w:color w:val="auto"/>
                      <w:kern w:val="0"/>
                      <w:sz w:val="21"/>
                      <w:szCs w:val="21"/>
                    </w:rPr>
                    <w:t>.严禁新增钢铁、焦化、水泥熟料、平板玻璃、电解铝、氧化铝、煤化工产能。</w:t>
                  </w:r>
                </w:p>
                <w:p w14:paraId="222FC4EA">
                  <w:pPr>
                    <w:autoSpaceDE w:val="0"/>
                    <w:autoSpaceDN w:val="0"/>
                    <w:adjustRightInd w:val="0"/>
                    <w:snapToGrid w:val="0"/>
                    <w:spacing w:line="240" w:lineRule="auto"/>
                    <w:rPr>
                      <w:color w:val="auto"/>
                      <w:kern w:val="0"/>
                      <w:sz w:val="21"/>
                      <w:szCs w:val="21"/>
                    </w:rPr>
                  </w:pPr>
                  <w:r>
                    <w:rPr>
                      <w:rFonts w:hint="eastAsia"/>
                      <w:color w:val="auto"/>
                      <w:kern w:val="0"/>
                      <w:sz w:val="21"/>
                      <w:szCs w:val="21"/>
                      <w:lang w:val="en-US" w:eastAsia="zh-CN"/>
                    </w:rPr>
                    <w:t>3.</w:t>
                  </w:r>
                  <w:r>
                    <w:rPr>
                      <w:rFonts w:hint="eastAsia"/>
                      <w:color w:val="auto"/>
                      <w:kern w:val="0"/>
                      <w:sz w:val="21"/>
                      <w:szCs w:val="21"/>
                    </w:rPr>
                    <w:t>推动重污染企业搬迁入园或依法关闭。</w:t>
                  </w:r>
                </w:p>
              </w:tc>
              <w:tc>
                <w:tcPr>
                  <w:tcW w:w="392" w:type="pct"/>
                  <w:vMerge w:val="restart"/>
                  <w:noWrap w:val="0"/>
                  <w:vAlign w:val="center"/>
                </w:tcPr>
                <w:p w14:paraId="3DC38ACF">
                  <w:pPr>
                    <w:autoSpaceDE w:val="0"/>
                    <w:autoSpaceDN w:val="0"/>
                    <w:adjustRightInd w:val="0"/>
                    <w:snapToGrid w:val="0"/>
                    <w:spacing w:line="240" w:lineRule="auto"/>
                    <w:jc w:val="center"/>
                    <w:rPr>
                      <w:rFonts w:hint="default" w:eastAsia="宋体"/>
                      <w:color w:val="auto"/>
                      <w:kern w:val="0"/>
                      <w:sz w:val="21"/>
                      <w:szCs w:val="21"/>
                      <w:lang w:val="en-US" w:eastAsia="zh-CN"/>
                    </w:rPr>
                  </w:pPr>
                  <w:r>
                    <w:rPr>
                      <w:rFonts w:hint="eastAsia"/>
                      <w:color w:val="auto"/>
                      <w:kern w:val="0"/>
                      <w:sz w:val="21"/>
                      <w:szCs w:val="21"/>
                      <w:lang w:val="en-US" w:eastAsia="zh-CN"/>
                    </w:rPr>
                    <w:t>581.49</w:t>
                  </w:r>
                </w:p>
              </w:tc>
              <w:tc>
                <w:tcPr>
                  <w:tcW w:w="1261" w:type="pct"/>
                  <w:noWrap w:val="0"/>
                  <w:vAlign w:val="center"/>
                </w:tcPr>
                <w:p w14:paraId="0C013C4B">
                  <w:pPr>
                    <w:autoSpaceDE w:val="0"/>
                    <w:autoSpaceDN w:val="0"/>
                    <w:adjustRightInd w:val="0"/>
                    <w:snapToGrid w:val="0"/>
                    <w:spacing w:line="240" w:lineRule="auto"/>
                    <w:rPr>
                      <w:rFonts w:hint="eastAsia"/>
                      <w:color w:val="auto"/>
                      <w:kern w:val="0"/>
                      <w:sz w:val="21"/>
                      <w:szCs w:val="21"/>
                      <w:lang w:eastAsia="zh-CN"/>
                    </w:rPr>
                  </w:pPr>
                  <w:r>
                    <w:rPr>
                      <w:rFonts w:hint="eastAsia"/>
                      <w:color w:val="auto"/>
                      <w:kern w:val="0"/>
                      <w:sz w:val="21"/>
                      <w:szCs w:val="21"/>
                      <w:lang w:val="en-US" w:eastAsia="zh-CN"/>
                    </w:rPr>
                    <w:t>1.</w:t>
                  </w:r>
                  <w:r>
                    <w:rPr>
                      <w:rFonts w:hint="eastAsia"/>
                      <w:color w:val="auto"/>
                      <w:kern w:val="0"/>
                      <w:sz w:val="21"/>
                      <w:szCs w:val="21"/>
                    </w:rPr>
                    <w:t>本项目</w:t>
                  </w:r>
                  <w:r>
                    <w:rPr>
                      <w:rFonts w:hint="eastAsia"/>
                      <w:color w:val="auto"/>
                      <w:kern w:val="0"/>
                      <w:sz w:val="21"/>
                      <w:szCs w:val="21"/>
                      <w:lang w:val="en-US" w:eastAsia="zh-CN"/>
                    </w:rPr>
                    <w:t>为</w:t>
                  </w:r>
                  <w:r>
                    <w:rPr>
                      <w:rFonts w:hint="eastAsia"/>
                      <w:color w:val="auto"/>
                      <w:kern w:val="0"/>
                      <w:sz w:val="21"/>
                      <w:szCs w:val="21"/>
                    </w:rPr>
                    <w:t>地下水开采（农村分散式家庭生活自用水井除外），</w:t>
                  </w:r>
                  <w:r>
                    <w:rPr>
                      <w:rFonts w:hint="eastAsia"/>
                      <w:color w:val="auto"/>
                      <w:kern w:val="0"/>
                      <w:sz w:val="21"/>
                      <w:szCs w:val="21"/>
                      <w:lang w:eastAsia="zh-CN"/>
                    </w:rPr>
                    <w:t>不属于</w:t>
                  </w:r>
                  <w:r>
                    <w:rPr>
                      <w:rFonts w:hint="eastAsia"/>
                      <w:color w:val="auto"/>
                      <w:kern w:val="0"/>
                      <w:sz w:val="21"/>
                      <w:szCs w:val="21"/>
                    </w:rPr>
                    <w:t>《陕西省</w:t>
                  </w:r>
                  <w:r>
                    <w:rPr>
                      <w:rFonts w:hint="eastAsia"/>
                      <w:color w:val="auto"/>
                      <w:kern w:val="0"/>
                      <w:sz w:val="21"/>
                      <w:szCs w:val="21"/>
                      <w:lang w:eastAsia="zh-CN"/>
                    </w:rPr>
                    <w:t>“</w:t>
                  </w:r>
                  <w:r>
                    <w:rPr>
                      <w:rFonts w:hint="eastAsia"/>
                      <w:color w:val="auto"/>
                      <w:kern w:val="0"/>
                      <w:sz w:val="21"/>
                      <w:szCs w:val="21"/>
                    </w:rPr>
                    <w:t>两高</w:t>
                  </w:r>
                  <w:r>
                    <w:rPr>
                      <w:rFonts w:hint="eastAsia"/>
                      <w:color w:val="auto"/>
                      <w:kern w:val="0"/>
                      <w:sz w:val="21"/>
                      <w:szCs w:val="21"/>
                      <w:lang w:eastAsia="zh-CN"/>
                    </w:rPr>
                    <w:t>“</w:t>
                  </w:r>
                  <w:r>
                    <w:rPr>
                      <w:rFonts w:hint="eastAsia"/>
                      <w:color w:val="auto"/>
                      <w:kern w:val="0"/>
                      <w:sz w:val="21"/>
                      <w:szCs w:val="21"/>
                    </w:rPr>
                    <w:t>项目管理暂行目录》</w:t>
                  </w:r>
                  <w:r>
                    <w:rPr>
                      <w:rFonts w:hint="eastAsia"/>
                      <w:color w:val="auto"/>
                      <w:kern w:val="0"/>
                      <w:sz w:val="21"/>
                      <w:szCs w:val="21"/>
                      <w:lang w:eastAsia="zh-CN"/>
                    </w:rPr>
                    <w:t>“两高“项目；</w:t>
                  </w:r>
                </w:p>
                <w:p w14:paraId="03482C1A">
                  <w:pPr>
                    <w:autoSpaceDE w:val="0"/>
                    <w:autoSpaceDN w:val="0"/>
                    <w:adjustRightInd w:val="0"/>
                    <w:snapToGrid w:val="0"/>
                    <w:spacing w:line="240" w:lineRule="auto"/>
                    <w:rPr>
                      <w:rFonts w:hint="eastAsia"/>
                      <w:color w:val="auto"/>
                      <w:kern w:val="0"/>
                      <w:sz w:val="21"/>
                      <w:szCs w:val="21"/>
                      <w:lang w:val="en-US" w:eastAsia="zh-CN"/>
                    </w:rPr>
                  </w:pPr>
                  <w:r>
                    <w:rPr>
                      <w:rFonts w:hint="eastAsia"/>
                      <w:color w:val="auto"/>
                      <w:kern w:val="0"/>
                      <w:sz w:val="21"/>
                      <w:szCs w:val="21"/>
                      <w:lang w:val="en-US" w:eastAsia="zh-CN"/>
                    </w:rPr>
                    <w:t>2.本项目不属于新增钢铁、焦化、水泥熟料、平板玻璃、电解铝、氧化铝、煤化工产能；</w:t>
                  </w:r>
                </w:p>
                <w:p w14:paraId="1A6915DC">
                  <w:pPr>
                    <w:autoSpaceDE w:val="0"/>
                    <w:autoSpaceDN w:val="0"/>
                    <w:adjustRightInd w:val="0"/>
                    <w:snapToGrid w:val="0"/>
                    <w:spacing w:line="240" w:lineRule="auto"/>
                    <w:rPr>
                      <w:rFonts w:hint="default" w:eastAsia="宋体"/>
                      <w:color w:val="auto"/>
                      <w:kern w:val="0"/>
                      <w:sz w:val="21"/>
                      <w:szCs w:val="21"/>
                      <w:lang w:val="en-US" w:eastAsia="zh-CN"/>
                    </w:rPr>
                  </w:pPr>
                  <w:r>
                    <w:rPr>
                      <w:rFonts w:hint="eastAsia"/>
                      <w:color w:val="auto"/>
                      <w:kern w:val="0"/>
                      <w:sz w:val="21"/>
                      <w:szCs w:val="21"/>
                      <w:lang w:val="en-US" w:eastAsia="zh-CN"/>
                    </w:rPr>
                    <w:t>3.运行过程中无废气产生</w:t>
                  </w:r>
                  <w:r>
                    <w:rPr>
                      <w:rFonts w:hint="eastAsia"/>
                      <w:bCs/>
                      <w:color w:val="auto"/>
                      <w:kern w:val="2"/>
                      <w:sz w:val="21"/>
                      <w:szCs w:val="21"/>
                      <w:lang w:val="en-US" w:eastAsia="zh-CN" w:bidi="ar-SA"/>
                    </w:rPr>
                    <w:t>，</w:t>
                  </w:r>
                  <w:r>
                    <w:rPr>
                      <w:rFonts w:hint="eastAsia"/>
                      <w:color w:val="auto"/>
                      <w:kern w:val="0"/>
                      <w:sz w:val="21"/>
                      <w:szCs w:val="21"/>
                      <w:lang w:val="en-US" w:eastAsia="zh-CN"/>
                    </w:rPr>
                    <w:t>不属于重污染项目。</w:t>
                  </w:r>
                </w:p>
              </w:tc>
              <w:tc>
                <w:tcPr>
                  <w:tcW w:w="221" w:type="pct"/>
                  <w:noWrap w:val="0"/>
                  <w:vAlign w:val="center"/>
                </w:tcPr>
                <w:p w14:paraId="76404C9D">
                  <w:pPr>
                    <w:autoSpaceDE w:val="0"/>
                    <w:autoSpaceDN w:val="0"/>
                    <w:adjustRightInd w:val="0"/>
                    <w:snapToGrid w:val="0"/>
                    <w:spacing w:line="240" w:lineRule="auto"/>
                    <w:jc w:val="center"/>
                    <w:rPr>
                      <w:color w:val="auto"/>
                      <w:kern w:val="0"/>
                      <w:sz w:val="21"/>
                      <w:szCs w:val="21"/>
                    </w:rPr>
                  </w:pPr>
                  <w:r>
                    <w:rPr>
                      <w:color w:val="auto"/>
                      <w:kern w:val="0"/>
                      <w:sz w:val="21"/>
                      <w:szCs w:val="21"/>
                    </w:rPr>
                    <w:t>符合</w:t>
                  </w:r>
                </w:p>
              </w:tc>
            </w:tr>
            <w:tr w14:paraId="5835DD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5" w:type="pct"/>
                  <w:vMerge w:val="continue"/>
                  <w:noWrap w:val="0"/>
                  <w:vAlign w:val="center"/>
                </w:tcPr>
                <w:p w14:paraId="18F40700">
                  <w:pPr>
                    <w:autoSpaceDE w:val="0"/>
                    <w:autoSpaceDN w:val="0"/>
                    <w:adjustRightInd w:val="0"/>
                    <w:snapToGrid w:val="0"/>
                    <w:spacing w:line="240" w:lineRule="auto"/>
                    <w:jc w:val="center"/>
                    <w:rPr>
                      <w:color w:val="auto"/>
                      <w:kern w:val="0"/>
                      <w:sz w:val="21"/>
                      <w:szCs w:val="21"/>
                    </w:rPr>
                  </w:pPr>
                </w:p>
              </w:tc>
              <w:tc>
                <w:tcPr>
                  <w:tcW w:w="367" w:type="pct"/>
                  <w:vMerge w:val="continue"/>
                  <w:noWrap w:val="0"/>
                  <w:vAlign w:val="center"/>
                </w:tcPr>
                <w:p w14:paraId="403DB078">
                  <w:pPr>
                    <w:autoSpaceDE w:val="0"/>
                    <w:autoSpaceDN w:val="0"/>
                    <w:adjustRightInd w:val="0"/>
                    <w:snapToGrid w:val="0"/>
                    <w:spacing w:line="240" w:lineRule="auto"/>
                    <w:jc w:val="center"/>
                    <w:rPr>
                      <w:color w:val="auto"/>
                      <w:kern w:val="0"/>
                      <w:sz w:val="21"/>
                      <w:szCs w:val="21"/>
                    </w:rPr>
                  </w:pPr>
                </w:p>
              </w:tc>
              <w:tc>
                <w:tcPr>
                  <w:tcW w:w="230" w:type="pct"/>
                  <w:vMerge w:val="continue"/>
                  <w:noWrap w:val="0"/>
                  <w:vAlign w:val="center"/>
                </w:tcPr>
                <w:p w14:paraId="44B51E70">
                  <w:pPr>
                    <w:autoSpaceDE w:val="0"/>
                    <w:autoSpaceDN w:val="0"/>
                    <w:adjustRightInd w:val="0"/>
                    <w:snapToGrid w:val="0"/>
                    <w:spacing w:line="240" w:lineRule="auto"/>
                    <w:jc w:val="center"/>
                    <w:rPr>
                      <w:color w:val="auto"/>
                      <w:kern w:val="0"/>
                      <w:sz w:val="21"/>
                      <w:szCs w:val="21"/>
                    </w:rPr>
                  </w:pPr>
                </w:p>
              </w:tc>
              <w:tc>
                <w:tcPr>
                  <w:tcW w:w="162" w:type="pct"/>
                  <w:vMerge w:val="continue"/>
                  <w:noWrap w:val="0"/>
                  <w:vAlign w:val="center"/>
                </w:tcPr>
                <w:p w14:paraId="2599146A">
                  <w:pPr>
                    <w:autoSpaceDE w:val="0"/>
                    <w:autoSpaceDN w:val="0"/>
                    <w:adjustRightInd w:val="0"/>
                    <w:snapToGrid w:val="0"/>
                    <w:spacing w:line="240" w:lineRule="auto"/>
                    <w:jc w:val="center"/>
                    <w:rPr>
                      <w:color w:val="auto"/>
                      <w:kern w:val="0"/>
                      <w:sz w:val="21"/>
                      <w:szCs w:val="21"/>
                    </w:rPr>
                  </w:pPr>
                </w:p>
              </w:tc>
              <w:tc>
                <w:tcPr>
                  <w:tcW w:w="270" w:type="pct"/>
                  <w:vMerge w:val="continue"/>
                  <w:noWrap w:val="0"/>
                  <w:vAlign w:val="center"/>
                </w:tcPr>
                <w:p w14:paraId="6CD97BF6">
                  <w:pPr>
                    <w:autoSpaceDE w:val="0"/>
                    <w:autoSpaceDN w:val="0"/>
                    <w:adjustRightInd w:val="0"/>
                    <w:snapToGrid w:val="0"/>
                    <w:spacing w:line="240" w:lineRule="auto"/>
                    <w:jc w:val="center"/>
                    <w:rPr>
                      <w:color w:val="auto"/>
                      <w:kern w:val="0"/>
                      <w:sz w:val="21"/>
                      <w:szCs w:val="21"/>
                    </w:rPr>
                  </w:pPr>
                </w:p>
              </w:tc>
              <w:tc>
                <w:tcPr>
                  <w:tcW w:w="270" w:type="pct"/>
                  <w:noWrap w:val="0"/>
                  <w:vAlign w:val="center"/>
                </w:tcPr>
                <w:p w14:paraId="10D5A4A9">
                  <w:pPr>
                    <w:autoSpaceDE w:val="0"/>
                    <w:autoSpaceDN w:val="0"/>
                    <w:adjustRightInd w:val="0"/>
                    <w:snapToGrid w:val="0"/>
                    <w:spacing w:line="240" w:lineRule="auto"/>
                    <w:rPr>
                      <w:color w:val="auto"/>
                      <w:kern w:val="0"/>
                      <w:sz w:val="21"/>
                      <w:szCs w:val="21"/>
                    </w:rPr>
                  </w:pPr>
                  <w:r>
                    <w:rPr>
                      <w:color w:val="auto"/>
                      <w:kern w:val="0"/>
                      <w:sz w:val="21"/>
                      <w:szCs w:val="21"/>
                    </w:rPr>
                    <w:t>污染物排放管控</w:t>
                  </w:r>
                </w:p>
              </w:tc>
              <w:tc>
                <w:tcPr>
                  <w:tcW w:w="1589" w:type="pct"/>
                  <w:noWrap w:val="0"/>
                  <w:vAlign w:val="center"/>
                </w:tcPr>
                <w:p w14:paraId="3FF3200C">
                  <w:pPr>
                    <w:autoSpaceDE w:val="0"/>
                    <w:autoSpaceDN w:val="0"/>
                    <w:adjustRightInd w:val="0"/>
                    <w:snapToGrid w:val="0"/>
                    <w:spacing w:line="240" w:lineRule="auto"/>
                    <w:rPr>
                      <w:rFonts w:hint="eastAsia"/>
                      <w:color w:val="auto"/>
                      <w:kern w:val="0"/>
                      <w:sz w:val="21"/>
                      <w:szCs w:val="21"/>
                    </w:rPr>
                  </w:pPr>
                  <w:r>
                    <w:rPr>
                      <w:rFonts w:hint="eastAsia"/>
                      <w:color w:val="auto"/>
                      <w:kern w:val="0"/>
                      <w:sz w:val="21"/>
                      <w:szCs w:val="21"/>
                    </w:rPr>
                    <w:t>大气环境受体敏感重点管控区：</w:t>
                  </w:r>
                </w:p>
                <w:p w14:paraId="135F4C2E">
                  <w:pPr>
                    <w:autoSpaceDE w:val="0"/>
                    <w:autoSpaceDN w:val="0"/>
                    <w:adjustRightInd w:val="0"/>
                    <w:snapToGrid w:val="0"/>
                    <w:spacing w:line="240" w:lineRule="auto"/>
                    <w:rPr>
                      <w:rFonts w:hint="eastAsia"/>
                      <w:color w:val="auto"/>
                      <w:kern w:val="0"/>
                      <w:sz w:val="21"/>
                      <w:szCs w:val="21"/>
                    </w:rPr>
                  </w:pPr>
                  <w:r>
                    <w:rPr>
                      <w:rFonts w:hint="eastAsia"/>
                      <w:color w:val="auto"/>
                      <w:kern w:val="0"/>
                      <w:sz w:val="21"/>
                      <w:szCs w:val="21"/>
                    </w:rPr>
                    <w:t>1.城市建成区产生油烟的餐饮服务单位全部安装油烟净化装置并保持正常运行和定期维护。</w:t>
                  </w:r>
                </w:p>
                <w:p w14:paraId="388671A8">
                  <w:pPr>
                    <w:autoSpaceDE w:val="0"/>
                    <w:autoSpaceDN w:val="0"/>
                    <w:adjustRightInd w:val="0"/>
                    <w:snapToGrid w:val="0"/>
                    <w:spacing w:line="240" w:lineRule="auto"/>
                    <w:rPr>
                      <w:rFonts w:hint="eastAsia"/>
                      <w:color w:val="auto"/>
                      <w:kern w:val="0"/>
                      <w:sz w:val="21"/>
                      <w:szCs w:val="21"/>
                    </w:rPr>
                  </w:pPr>
                  <w:r>
                    <w:rPr>
                      <w:rFonts w:hint="eastAsia"/>
                      <w:color w:val="auto"/>
                      <w:kern w:val="0"/>
                      <w:sz w:val="21"/>
                      <w:szCs w:val="21"/>
                    </w:rPr>
                    <w:t>2.持续因地制宜实施</w:t>
                  </w:r>
                  <w:r>
                    <w:rPr>
                      <w:rFonts w:hint="eastAsia"/>
                      <w:color w:val="auto"/>
                      <w:kern w:val="0"/>
                      <w:sz w:val="21"/>
                      <w:szCs w:val="21"/>
                      <w:lang w:eastAsia="zh-CN"/>
                    </w:rPr>
                    <w:t>“</w:t>
                  </w:r>
                  <w:r>
                    <w:rPr>
                      <w:rFonts w:hint="eastAsia"/>
                      <w:color w:val="auto"/>
                      <w:kern w:val="0"/>
                      <w:sz w:val="21"/>
                      <w:szCs w:val="21"/>
                    </w:rPr>
                    <w:t>煤改气</w:t>
                  </w:r>
                  <w:r>
                    <w:rPr>
                      <w:rFonts w:hint="eastAsia"/>
                      <w:color w:val="auto"/>
                      <w:kern w:val="0"/>
                      <w:sz w:val="21"/>
                      <w:szCs w:val="21"/>
                      <w:lang w:eastAsia="zh-CN"/>
                    </w:rPr>
                    <w:t>“</w:t>
                  </w:r>
                  <w:r>
                    <w:rPr>
                      <w:rFonts w:hint="eastAsia"/>
                      <w:color w:val="auto"/>
                      <w:kern w:val="0"/>
                      <w:sz w:val="21"/>
                      <w:szCs w:val="21"/>
                    </w:rPr>
                    <w:t>、</w:t>
                  </w:r>
                  <w:r>
                    <w:rPr>
                      <w:rFonts w:hint="eastAsia"/>
                      <w:color w:val="auto"/>
                      <w:kern w:val="0"/>
                      <w:sz w:val="21"/>
                      <w:szCs w:val="21"/>
                      <w:lang w:eastAsia="zh-CN"/>
                    </w:rPr>
                    <w:t>“</w:t>
                  </w:r>
                  <w:r>
                    <w:rPr>
                      <w:rFonts w:hint="eastAsia"/>
                      <w:color w:val="auto"/>
                      <w:kern w:val="0"/>
                      <w:sz w:val="21"/>
                      <w:szCs w:val="21"/>
                    </w:rPr>
                    <w:t>油改气</w:t>
                  </w:r>
                  <w:r>
                    <w:rPr>
                      <w:rFonts w:hint="eastAsia"/>
                      <w:color w:val="auto"/>
                      <w:kern w:val="0"/>
                      <w:sz w:val="21"/>
                      <w:szCs w:val="21"/>
                      <w:lang w:eastAsia="zh-CN"/>
                    </w:rPr>
                    <w:t>“</w:t>
                  </w:r>
                  <w:r>
                    <w:rPr>
                      <w:rFonts w:hint="eastAsia"/>
                      <w:color w:val="auto"/>
                      <w:kern w:val="0"/>
                      <w:sz w:val="21"/>
                      <w:szCs w:val="21"/>
                    </w:rPr>
                    <w:t>、电能、地热、生物质等清洁能源取暖措施。</w:t>
                  </w:r>
                </w:p>
                <w:p w14:paraId="49883BB8">
                  <w:pPr>
                    <w:autoSpaceDE w:val="0"/>
                    <w:autoSpaceDN w:val="0"/>
                    <w:adjustRightInd w:val="0"/>
                    <w:snapToGrid w:val="0"/>
                    <w:spacing w:line="240" w:lineRule="auto"/>
                    <w:rPr>
                      <w:rFonts w:hint="eastAsia" w:eastAsia="宋体"/>
                      <w:color w:val="auto"/>
                      <w:kern w:val="0"/>
                      <w:sz w:val="21"/>
                      <w:szCs w:val="21"/>
                      <w:lang w:eastAsia="zh-CN"/>
                    </w:rPr>
                  </w:pPr>
                  <w:r>
                    <w:rPr>
                      <w:rFonts w:hint="eastAsia"/>
                      <w:color w:val="auto"/>
                      <w:kern w:val="0"/>
                      <w:sz w:val="21"/>
                      <w:szCs w:val="21"/>
                      <w:lang w:val="en-US" w:eastAsia="zh-CN"/>
                    </w:rPr>
                    <w:t>3.</w:t>
                  </w:r>
                  <w:r>
                    <w:rPr>
                      <w:rFonts w:hint="eastAsia"/>
                      <w:color w:val="auto"/>
                      <w:kern w:val="0"/>
                      <w:sz w:val="21"/>
                      <w:szCs w:val="21"/>
                    </w:rPr>
                    <w:t>鼓励将老旧车辆和非道路移动机械替换为清洁能源车辆。推进新能源或清洁能源汽车使用。</w:t>
                  </w:r>
                </w:p>
              </w:tc>
              <w:tc>
                <w:tcPr>
                  <w:tcW w:w="392" w:type="pct"/>
                  <w:vMerge w:val="continue"/>
                  <w:noWrap w:val="0"/>
                  <w:vAlign w:val="center"/>
                </w:tcPr>
                <w:p w14:paraId="6CB5CA90">
                  <w:pPr>
                    <w:autoSpaceDE w:val="0"/>
                    <w:autoSpaceDN w:val="0"/>
                    <w:adjustRightInd w:val="0"/>
                    <w:snapToGrid w:val="0"/>
                    <w:spacing w:line="240" w:lineRule="auto"/>
                    <w:rPr>
                      <w:rFonts w:hint="eastAsia"/>
                      <w:color w:val="auto"/>
                      <w:kern w:val="0"/>
                      <w:sz w:val="21"/>
                      <w:szCs w:val="21"/>
                    </w:rPr>
                  </w:pPr>
                </w:p>
              </w:tc>
              <w:tc>
                <w:tcPr>
                  <w:tcW w:w="1261" w:type="pct"/>
                  <w:noWrap w:val="0"/>
                  <w:vAlign w:val="center"/>
                </w:tcPr>
                <w:p w14:paraId="4B7D340D">
                  <w:pPr>
                    <w:rPr>
                      <w:rFonts w:hint="eastAsia"/>
                      <w:color w:val="auto"/>
                      <w:kern w:val="0"/>
                      <w:sz w:val="21"/>
                      <w:szCs w:val="21"/>
                      <w:lang w:val="en-US" w:eastAsia="zh-CN"/>
                    </w:rPr>
                  </w:pPr>
                  <w:r>
                    <w:rPr>
                      <w:rFonts w:hint="eastAsia"/>
                      <w:color w:val="auto"/>
                      <w:kern w:val="0"/>
                      <w:sz w:val="21"/>
                      <w:szCs w:val="21"/>
                      <w:lang w:val="en-US" w:eastAsia="zh-CN"/>
                    </w:rPr>
                    <w:t>1.本项目不属于产生油烟的餐饮服务业；</w:t>
                  </w:r>
                </w:p>
                <w:p w14:paraId="47DD1430">
                  <w:pPr>
                    <w:rPr>
                      <w:rFonts w:hint="eastAsia"/>
                      <w:color w:val="auto"/>
                      <w:kern w:val="0"/>
                      <w:sz w:val="21"/>
                      <w:szCs w:val="21"/>
                      <w:lang w:val="en-US" w:eastAsia="zh-CN"/>
                    </w:rPr>
                  </w:pPr>
                  <w:r>
                    <w:rPr>
                      <w:rFonts w:hint="eastAsia"/>
                      <w:color w:val="auto"/>
                      <w:kern w:val="0"/>
                      <w:sz w:val="21"/>
                      <w:szCs w:val="21"/>
                      <w:lang w:val="en-US" w:eastAsia="zh-CN"/>
                    </w:rPr>
                    <w:t>2.本项目供暖运行中使用地热能，为清洁能源；</w:t>
                  </w:r>
                </w:p>
                <w:p w14:paraId="3D551A76">
                  <w:pPr>
                    <w:rPr>
                      <w:rFonts w:hint="eastAsia" w:eastAsia="宋体"/>
                      <w:color w:val="auto"/>
                      <w:kern w:val="0"/>
                      <w:sz w:val="21"/>
                      <w:szCs w:val="21"/>
                      <w:lang w:val="en-US" w:eastAsia="zh-CN"/>
                    </w:rPr>
                  </w:pPr>
                  <w:r>
                    <w:rPr>
                      <w:rFonts w:hint="eastAsia"/>
                      <w:color w:val="auto"/>
                      <w:kern w:val="0"/>
                      <w:sz w:val="21"/>
                      <w:szCs w:val="21"/>
                      <w:lang w:val="en-US" w:eastAsia="zh-CN"/>
                    </w:rPr>
                    <w:t>3.本项目不涉及</w:t>
                  </w:r>
                  <w:r>
                    <w:rPr>
                      <w:rFonts w:hint="eastAsia"/>
                      <w:color w:val="auto"/>
                      <w:kern w:val="0"/>
                      <w:sz w:val="21"/>
                      <w:szCs w:val="21"/>
                    </w:rPr>
                    <w:t>老旧车辆和非道路移动机械</w:t>
                  </w:r>
                  <w:r>
                    <w:rPr>
                      <w:rFonts w:hint="eastAsia"/>
                      <w:color w:val="auto"/>
                      <w:kern w:val="0"/>
                      <w:sz w:val="21"/>
                      <w:szCs w:val="21"/>
                      <w:lang w:eastAsia="zh-CN"/>
                    </w:rPr>
                    <w:t>。</w:t>
                  </w:r>
                </w:p>
              </w:tc>
              <w:tc>
                <w:tcPr>
                  <w:tcW w:w="221" w:type="pct"/>
                  <w:noWrap w:val="0"/>
                  <w:vAlign w:val="center"/>
                </w:tcPr>
                <w:p w14:paraId="346D894D">
                  <w:pPr>
                    <w:autoSpaceDE w:val="0"/>
                    <w:autoSpaceDN w:val="0"/>
                    <w:adjustRightInd w:val="0"/>
                    <w:snapToGrid w:val="0"/>
                    <w:spacing w:line="240" w:lineRule="auto"/>
                    <w:rPr>
                      <w:color w:val="auto"/>
                      <w:kern w:val="0"/>
                      <w:sz w:val="21"/>
                      <w:szCs w:val="21"/>
                    </w:rPr>
                  </w:pPr>
                  <w:r>
                    <w:rPr>
                      <w:color w:val="auto"/>
                      <w:kern w:val="0"/>
                      <w:sz w:val="21"/>
                      <w:szCs w:val="21"/>
                    </w:rPr>
                    <w:t>符合</w:t>
                  </w:r>
                </w:p>
              </w:tc>
            </w:tr>
            <w:tr w14:paraId="36A8BE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5" w:type="pct"/>
                  <w:vMerge w:val="continue"/>
                  <w:noWrap w:val="0"/>
                  <w:vAlign w:val="center"/>
                </w:tcPr>
                <w:p w14:paraId="0F43B8B1">
                  <w:pPr>
                    <w:autoSpaceDE w:val="0"/>
                    <w:autoSpaceDN w:val="0"/>
                    <w:adjustRightInd w:val="0"/>
                    <w:snapToGrid w:val="0"/>
                    <w:spacing w:line="240" w:lineRule="auto"/>
                    <w:rPr>
                      <w:color w:val="auto"/>
                      <w:kern w:val="0"/>
                      <w:sz w:val="21"/>
                      <w:szCs w:val="21"/>
                    </w:rPr>
                  </w:pPr>
                </w:p>
              </w:tc>
              <w:tc>
                <w:tcPr>
                  <w:tcW w:w="367" w:type="pct"/>
                  <w:vMerge w:val="continue"/>
                  <w:noWrap w:val="0"/>
                  <w:vAlign w:val="center"/>
                </w:tcPr>
                <w:p w14:paraId="55C97D56">
                  <w:pPr>
                    <w:autoSpaceDE w:val="0"/>
                    <w:autoSpaceDN w:val="0"/>
                    <w:adjustRightInd w:val="0"/>
                    <w:snapToGrid w:val="0"/>
                    <w:spacing w:line="240" w:lineRule="auto"/>
                    <w:rPr>
                      <w:color w:val="auto"/>
                      <w:kern w:val="0"/>
                      <w:sz w:val="21"/>
                      <w:szCs w:val="21"/>
                    </w:rPr>
                  </w:pPr>
                </w:p>
              </w:tc>
              <w:tc>
                <w:tcPr>
                  <w:tcW w:w="230" w:type="pct"/>
                  <w:vMerge w:val="continue"/>
                  <w:noWrap w:val="0"/>
                  <w:vAlign w:val="center"/>
                </w:tcPr>
                <w:p w14:paraId="3D39184E">
                  <w:pPr>
                    <w:autoSpaceDE w:val="0"/>
                    <w:autoSpaceDN w:val="0"/>
                    <w:adjustRightInd w:val="0"/>
                    <w:snapToGrid w:val="0"/>
                    <w:spacing w:line="240" w:lineRule="auto"/>
                    <w:rPr>
                      <w:color w:val="auto"/>
                      <w:kern w:val="0"/>
                      <w:sz w:val="21"/>
                      <w:szCs w:val="21"/>
                    </w:rPr>
                  </w:pPr>
                </w:p>
              </w:tc>
              <w:tc>
                <w:tcPr>
                  <w:tcW w:w="162" w:type="pct"/>
                  <w:vMerge w:val="continue"/>
                  <w:noWrap w:val="0"/>
                  <w:vAlign w:val="center"/>
                </w:tcPr>
                <w:p w14:paraId="056E9912">
                  <w:pPr>
                    <w:autoSpaceDE w:val="0"/>
                    <w:autoSpaceDN w:val="0"/>
                    <w:adjustRightInd w:val="0"/>
                    <w:snapToGrid w:val="0"/>
                    <w:spacing w:line="240" w:lineRule="auto"/>
                    <w:rPr>
                      <w:color w:val="auto"/>
                      <w:kern w:val="0"/>
                      <w:sz w:val="21"/>
                      <w:szCs w:val="21"/>
                    </w:rPr>
                  </w:pPr>
                </w:p>
              </w:tc>
              <w:tc>
                <w:tcPr>
                  <w:tcW w:w="270" w:type="pct"/>
                  <w:vMerge w:val="restart"/>
                  <w:noWrap w:val="0"/>
                  <w:vAlign w:val="center"/>
                </w:tcPr>
                <w:p w14:paraId="330F8F7C">
                  <w:pPr>
                    <w:autoSpaceDE w:val="0"/>
                    <w:autoSpaceDN w:val="0"/>
                    <w:adjustRightInd w:val="0"/>
                    <w:snapToGrid w:val="0"/>
                    <w:spacing w:line="240" w:lineRule="auto"/>
                    <w:rPr>
                      <w:color w:val="auto"/>
                      <w:kern w:val="0"/>
                      <w:sz w:val="21"/>
                      <w:szCs w:val="21"/>
                    </w:rPr>
                  </w:pPr>
                  <w:r>
                    <w:rPr>
                      <w:rFonts w:hint="eastAsia"/>
                      <w:color w:val="auto"/>
                      <w:kern w:val="0"/>
                      <w:sz w:val="21"/>
                      <w:szCs w:val="21"/>
                    </w:rPr>
                    <w:t>水环境城镇生活污染重点管控区</w:t>
                  </w:r>
                </w:p>
              </w:tc>
              <w:tc>
                <w:tcPr>
                  <w:tcW w:w="270" w:type="pct"/>
                  <w:noWrap w:val="0"/>
                  <w:vAlign w:val="center"/>
                </w:tcPr>
                <w:p w14:paraId="76FBB955">
                  <w:pPr>
                    <w:autoSpaceDE w:val="0"/>
                    <w:autoSpaceDN w:val="0"/>
                    <w:adjustRightInd w:val="0"/>
                    <w:snapToGrid w:val="0"/>
                    <w:spacing w:line="240" w:lineRule="auto"/>
                    <w:jc w:val="center"/>
                    <w:rPr>
                      <w:rFonts w:hint="eastAsia"/>
                      <w:color w:val="auto"/>
                      <w:kern w:val="0"/>
                      <w:sz w:val="21"/>
                      <w:szCs w:val="21"/>
                      <w:lang w:val="en-US" w:eastAsia="zh-CN" w:bidi="ar-SA"/>
                    </w:rPr>
                  </w:pPr>
                  <w:r>
                    <w:rPr>
                      <w:rFonts w:hint="eastAsia"/>
                      <w:color w:val="auto"/>
                      <w:kern w:val="0"/>
                      <w:sz w:val="21"/>
                      <w:szCs w:val="21"/>
                    </w:rPr>
                    <w:t>空间布局约束</w:t>
                  </w:r>
                </w:p>
              </w:tc>
              <w:tc>
                <w:tcPr>
                  <w:tcW w:w="1589" w:type="pct"/>
                  <w:noWrap w:val="0"/>
                  <w:vAlign w:val="center"/>
                </w:tcPr>
                <w:p w14:paraId="74337680">
                  <w:pPr>
                    <w:autoSpaceDE w:val="0"/>
                    <w:autoSpaceDN w:val="0"/>
                    <w:adjustRightInd w:val="0"/>
                    <w:snapToGrid w:val="0"/>
                    <w:spacing w:line="240" w:lineRule="auto"/>
                    <w:rPr>
                      <w:rFonts w:hint="eastAsia"/>
                      <w:color w:val="auto"/>
                      <w:sz w:val="21"/>
                      <w:szCs w:val="21"/>
                    </w:rPr>
                  </w:pPr>
                  <w:r>
                    <w:rPr>
                      <w:rFonts w:hint="eastAsia"/>
                      <w:color w:val="auto"/>
                      <w:sz w:val="21"/>
                      <w:szCs w:val="21"/>
                    </w:rPr>
                    <w:t>水环境城镇生活污染重点管控区：</w:t>
                  </w:r>
                </w:p>
                <w:p w14:paraId="7F04C25C">
                  <w:pPr>
                    <w:autoSpaceDE w:val="0"/>
                    <w:autoSpaceDN w:val="0"/>
                    <w:adjustRightInd w:val="0"/>
                    <w:snapToGrid w:val="0"/>
                    <w:spacing w:line="240" w:lineRule="auto"/>
                    <w:rPr>
                      <w:color w:val="auto"/>
                      <w:kern w:val="2"/>
                      <w:sz w:val="21"/>
                      <w:szCs w:val="21"/>
                      <w:lang w:val="en-US" w:eastAsia="zh-CN" w:bidi="ar-SA"/>
                    </w:rPr>
                  </w:pPr>
                  <w:r>
                    <w:rPr>
                      <w:rFonts w:hint="eastAsia"/>
                      <w:color w:val="auto"/>
                      <w:sz w:val="21"/>
                      <w:szCs w:val="21"/>
                    </w:rPr>
                    <w:t>1.持续推进城中村、老旧城区、城乡结合部污水截流、收集和城市雨污管道新建、改建。</w:t>
                  </w:r>
                </w:p>
              </w:tc>
              <w:tc>
                <w:tcPr>
                  <w:tcW w:w="392" w:type="pct"/>
                  <w:vMerge w:val="continue"/>
                  <w:noWrap w:val="0"/>
                  <w:vAlign w:val="center"/>
                </w:tcPr>
                <w:p w14:paraId="759CDADA">
                  <w:pPr>
                    <w:autoSpaceDE w:val="0"/>
                    <w:autoSpaceDN w:val="0"/>
                    <w:adjustRightInd w:val="0"/>
                    <w:snapToGrid w:val="0"/>
                    <w:spacing w:line="240" w:lineRule="auto"/>
                    <w:rPr>
                      <w:rFonts w:hint="eastAsia"/>
                      <w:color w:val="auto"/>
                      <w:kern w:val="0"/>
                      <w:sz w:val="21"/>
                      <w:szCs w:val="21"/>
                    </w:rPr>
                  </w:pPr>
                </w:p>
              </w:tc>
              <w:tc>
                <w:tcPr>
                  <w:tcW w:w="1261" w:type="pct"/>
                  <w:noWrap w:val="0"/>
                  <w:vAlign w:val="center"/>
                </w:tcPr>
                <w:p w14:paraId="69C9FB9A">
                  <w:pPr>
                    <w:rPr>
                      <w:rFonts w:hint="default"/>
                      <w:color w:val="auto"/>
                      <w:kern w:val="0"/>
                      <w:sz w:val="21"/>
                      <w:szCs w:val="21"/>
                      <w:lang w:val="en-US"/>
                    </w:rPr>
                  </w:pPr>
                  <w:r>
                    <w:rPr>
                      <w:rFonts w:hint="eastAsia"/>
                      <w:color w:val="auto"/>
                      <w:kern w:val="21"/>
                      <w:sz w:val="21"/>
                      <w:szCs w:val="21"/>
                      <w:lang w:val="en-US" w:eastAsia="zh-CN"/>
                    </w:rPr>
                    <w:t>1.本</w:t>
                  </w:r>
                  <w:r>
                    <w:rPr>
                      <w:rFonts w:hint="eastAsia"/>
                      <w:color w:val="auto"/>
                      <w:kern w:val="21"/>
                      <w:sz w:val="21"/>
                      <w:szCs w:val="21"/>
                    </w:rPr>
                    <w:t>项目</w:t>
                  </w:r>
                  <w:r>
                    <w:rPr>
                      <w:rFonts w:hint="eastAsia"/>
                      <w:color w:val="auto"/>
                      <w:kern w:val="21"/>
                      <w:sz w:val="21"/>
                      <w:szCs w:val="21"/>
                      <w:lang w:val="en-US" w:eastAsia="zh-CN"/>
                    </w:rPr>
                    <w:t>产生的</w:t>
                  </w:r>
                  <w:r>
                    <w:rPr>
                      <w:rFonts w:hint="eastAsia" w:ascii="Times New Roman" w:cs="Times New Roman"/>
                      <w:color w:val="auto"/>
                      <w:sz w:val="21"/>
                      <w:szCs w:val="21"/>
                    </w:rPr>
                    <w:t>生活污水排入小区污水管网，经化粪池处理后排入市政污水管网，最终进入西安净水处理有限责任公司第六再生水厂进行处理</w:t>
                  </w:r>
                  <w:r>
                    <w:rPr>
                      <w:rFonts w:hint="eastAsia" w:ascii="Times New Roman" w:cs="Times New Roman"/>
                      <w:color w:val="auto"/>
                      <w:sz w:val="21"/>
                      <w:szCs w:val="21"/>
                      <w:lang w:eastAsia="zh-CN"/>
                    </w:rPr>
                    <w:t>；软化浓水和反冲洗废水排入小区污水管网，经市政污水管网排入西安净水处理有限责任公司第六再生水厂</w:t>
                  </w:r>
                  <w:r>
                    <w:rPr>
                      <w:rFonts w:hint="eastAsia" w:ascii="Times New Roman" w:cs="Times New Roman"/>
                      <w:color w:val="auto"/>
                      <w:sz w:val="21"/>
                      <w:szCs w:val="21"/>
                      <w:lang w:val="en-US" w:eastAsia="zh-CN"/>
                    </w:rPr>
                    <w:t>处理</w:t>
                  </w:r>
                </w:p>
              </w:tc>
              <w:tc>
                <w:tcPr>
                  <w:tcW w:w="221" w:type="pct"/>
                  <w:noWrap w:val="0"/>
                  <w:vAlign w:val="center"/>
                </w:tcPr>
                <w:p w14:paraId="7CEFCC52">
                  <w:pPr>
                    <w:autoSpaceDE w:val="0"/>
                    <w:autoSpaceDN w:val="0"/>
                    <w:adjustRightInd w:val="0"/>
                    <w:snapToGrid w:val="0"/>
                    <w:spacing w:line="240" w:lineRule="auto"/>
                    <w:rPr>
                      <w:color w:val="auto"/>
                      <w:kern w:val="0"/>
                      <w:sz w:val="21"/>
                      <w:szCs w:val="21"/>
                    </w:rPr>
                  </w:pPr>
                  <w:r>
                    <w:rPr>
                      <w:color w:val="auto"/>
                      <w:kern w:val="0"/>
                      <w:sz w:val="21"/>
                      <w:szCs w:val="21"/>
                    </w:rPr>
                    <w:t>符合</w:t>
                  </w:r>
                </w:p>
              </w:tc>
            </w:tr>
            <w:tr w14:paraId="191F07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5" w:type="pct"/>
                  <w:vMerge w:val="continue"/>
                  <w:noWrap w:val="0"/>
                  <w:vAlign w:val="center"/>
                </w:tcPr>
                <w:p w14:paraId="6E9E6D7E">
                  <w:pPr>
                    <w:autoSpaceDE w:val="0"/>
                    <w:autoSpaceDN w:val="0"/>
                    <w:adjustRightInd w:val="0"/>
                    <w:snapToGrid w:val="0"/>
                    <w:spacing w:line="240" w:lineRule="auto"/>
                    <w:rPr>
                      <w:color w:val="auto"/>
                      <w:kern w:val="0"/>
                      <w:sz w:val="21"/>
                      <w:szCs w:val="21"/>
                    </w:rPr>
                  </w:pPr>
                </w:p>
              </w:tc>
              <w:tc>
                <w:tcPr>
                  <w:tcW w:w="367" w:type="pct"/>
                  <w:vMerge w:val="continue"/>
                  <w:noWrap w:val="0"/>
                  <w:vAlign w:val="center"/>
                </w:tcPr>
                <w:p w14:paraId="7E3650AD">
                  <w:pPr>
                    <w:autoSpaceDE w:val="0"/>
                    <w:autoSpaceDN w:val="0"/>
                    <w:adjustRightInd w:val="0"/>
                    <w:snapToGrid w:val="0"/>
                    <w:spacing w:line="240" w:lineRule="auto"/>
                    <w:rPr>
                      <w:color w:val="auto"/>
                      <w:kern w:val="0"/>
                      <w:sz w:val="21"/>
                      <w:szCs w:val="21"/>
                    </w:rPr>
                  </w:pPr>
                </w:p>
              </w:tc>
              <w:tc>
                <w:tcPr>
                  <w:tcW w:w="230" w:type="pct"/>
                  <w:vMerge w:val="continue"/>
                  <w:noWrap w:val="0"/>
                  <w:vAlign w:val="center"/>
                </w:tcPr>
                <w:p w14:paraId="580783C7">
                  <w:pPr>
                    <w:autoSpaceDE w:val="0"/>
                    <w:autoSpaceDN w:val="0"/>
                    <w:adjustRightInd w:val="0"/>
                    <w:snapToGrid w:val="0"/>
                    <w:spacing w:line="240" w:lineRule="auto"/>
                    <w:rPr>
                      <w:color w:val="auto"/>
                      <w:kern w:val="0"/>
                      <w:sz w:val="21"/>
                      <w:szCs w:val="21"/>
                    </w:rPr>
                  </w:pPr>
                </w:p>
              </w:tc>
              <w:tc>
                <w:tcPr>
                  <w:tcW w:w="162" w:type="pct"/>
                  <w:vMerge w:val="continue"/>
                  <w:noWrap w:val="0"/>
                  <w:vAlign w:val="center"/>
                </w:tcPr>
                <w:p w14:paraId="1595800C">
                  <w:pPr>
                    <w:autoSpaceDE w:val="0"/>
                    <w:autoSpaceDN w:val="0"/>
                    <w:adjustRightInd w:val="0"/>
                    <w:snapToGrid w:val="0"/>
                    <w:spacing w:line="240" w:lineRule="auto"/>
                    <w:rPr>
                      <w:color w:val="auto"/>
                      <w:kern w:val="0"/>
                      <w:sz w:val="21"/>
                      <w:szCs w:val="21"/>
                    </w:rPr>
                  </w:pPr>
                </w:p>
              </w:tc>
              <w:tc>
                <w:tcPr>
                  <w:tcW w:w="270" w:type="pct"/>
                  <w:vMerge w:val="continue"/>
                  <w:noWrap w:val="0"/>
                  <w:vAlign w:val="center"/>
                </w:tcPr>
                <w:p w14:paraId="563CA4C6">
                  <w:pPr>
                    <w:autoSpaceDE w:val="0"/>
                    <w:autoSpaceDN w:val="0"/>
                    <w:adjustRightInd w:val="0"/>
                    <w:snapToGrid w:val="0"/>
                    <w:spacing w:line="240" w:lineRule="auto"/>
                    <w:rPr>
                      <w:rFonts w:hint="eastAsia"/>
                      <w:color w:val="auto"/>
                      <w:kern w:val="0"/>
                      <w:sz w:val="21"/>
                      <w:szCs w:val="21"/>
                    </w:rPr>
                  </w:pPr>
                </w:p>
              </w:tc>
              <w:tc>
                <w:tcPr>
                  <w:tcW w:w="270" w:type="pct"/>
                  <w:noWrap w:val="0"/>
                  <w:vAlign w:val="center"/>
                </w:tcPr>
                <w:p w14:paraId="7F1BD889">
                  <w:pPr>
                    <w:autoSpaceDE w:val="0"/>
                    <w:autoSpaceDN w:val="0"/>
                    <w:adjustRightInd w:val="0"/>
                    <w:snapToGrid w:val="0"/>
                    <w:spacing w:line="240" w:lineRule="auto"/>
                    <w:jc w:val="center"/>
                    <w:rPr>
                      <w:color w:val="auto"/>
                      <w:kern w:val="0"/>
                      <w:sz w:val="21"/>
                      <w:szCs w:val="21"/>
                    </w:rPr>
                  </w:pPr>
                  <w:r>
                    <w:rPr>
                      <w:color w:val="auto"/>
                      <w:kern w:val="0"/>
                      <w:sz w:val="21"/>
                      <w:szCs w:val="21"/>
                    </w:rPr>
                    <w:t>污染物排放管控</w:t>
                  </w:r>
                </w:p>
              </w:tc>
              <w:tc>
                <w:tcPr>
                  <w:tcW w:w="1589" w:type="pct"/>
                  <w:noWrap w:val="0"/>
                  <w:vAlign w:val="center"/>
                </w:tcPr>
                <w:p w14:paraId="659EB59B">
                  <w:pPr>
                    <w:autoSpaceDE w:val="0"/>
                    <w:autoSpaceDN w:val="0"/>
                    <w:adjustRightInd w:val="0"/>
                    <w:snapToGrid w:val="0"/>
                    <w:spacing w:line="240" w:lineRule="auto"/>
                    <w:rPr>
                      <w:rFonts w:hint="eastAsia"/>
                      <w:color w:val="auto"/>
                      <w:sz w:val="21"/>
                      <w:szCs w:val="21"/>
                    </w:rPr>
                  </w:pPr>
                  <w:r>
                    <w:rPr>
                      <w:rFonts w:hint="eastAsia"/>
                      <w:color w:val="auto"/>
                      <w:sz w:val="21"/>
                      <w:szCs w:val="21"/>
                    </w:rPr>
                    <w:t>水环境城镇生活污染重点管控区：</w:t>
                  </w:r>
                </w:p>
                <w:p w14:paraId="7B68388A">
                  <w:pPr>
                    <w:autoSpaceDE w:val="0"/>
                    <w:autoSpaceDN w:val="0"/>
                    <w:adjustRightInd w:val="0"/>
                    <w:snapToGrid w:val="0"/>
                    <w:spacing w:line="240" w:lineRule="auto"/>
                    <w:jc w:val="both"/>
                    <w:rPr>
                      <w:rFonts w:hint="eastAsia"/>
                      <w:color w:val="auto"/>
                      <w:sz w:val="21"/>
                      <w:szCs w:val="21"/>
                    </w:rPr>
                  </w:pPr>
                  <w:r>
                    <w:rPr>
                      <w:rFonts w:hint="eastAsia"/>
                      <w:color w:val="auto"/>
                      <w:sz w:val="21"/>
                      <w:szCs w:val="21"/>
                    </w:rPr>
                    <w:t>1.加强城镇污水收集处理设施建设与提标改造。城镇生活污水处理达到《陕西省黄河流域污水综合排放标准》（DB61/224-2018）排放限值要求。</w:t>
                  </w:r>
                </w:p>
                <w:p w14:paraId="02EFD34C">
                  <w:pPr>
                    <w:autoSpaceDE w:val="0"/>
                    <w:autoSpaceDN w:val="0"/>
                    <w:adjustRightInd w:val="0"/>
                    <w:snapToGrid w:val="0"/>
                    <w:spacing w:line="240" w:lineRule="auto"/>
                    <w:rPr>
                      <w:rFonts w:hint="eastAsia"/>
                      <w:color w:val="auto"/>
                      <w:sz w:val="21"/>
                      <w:szCs w:val="21"/>
                    </w:rPr>
                  </w:pPr>
                  <w:r>
                    <w:rPr>
                      <w:rFonts w:hint="eastAsia"/>
                      <w:color w:val="auto"/>
                      <w:sz w:val="21"/>
                      <w:szCs w:val="21"/>
                      <w:lang w:val="en-US" w:eastAsia="zh-CN"/>
                    </w:rPr>
                    <w:t>2</w:t>
                  </w:r>
                  <w:r>
                    <w:rPr>
                      <w:rFonts w:hint="eastAsia"/>
                      <w:color w:val="auto"/>
                      <w:sz w:val="21"/>
                      <w:szCs w:val="21"/>
                    </w:rPr>
                    <w:t>.污水处理厂出水用于绿化、农灌等用途的，合理确定管控要求，确保达到相应污水再生利用标准。</w:t>
                  </w:r>
                </w:p>
              </w:tc>
              <w:tc>
                <w:tcPr>
                  <w:tcW w:w="392" w:type="pct"/>
                  <w:vMerge w:val="continue"/>
                  <w:noWrap w:val="0"/>
                  <w:vAlign w:val="center"/>
                </w:tcPr>
                <w:p w14:paraId="1E623F0D">
                  <w:pPr>
                    <w:autoSpaceDE w:val="0"/>
                    <w:autoSpaceDN w:val="0"/>
                    <w:adjustRightInd w:val="0"/>
                    <w:snapToGrid w:val="0"/>
                    <w:spacing w:line="240" w:lineRule="auto"/>
                    <w:rPr>
                      <w:rFonts w:hint="eastAsia"/>
                      <w:color w:val="auto"/>
                      <w:kern w:val="0"/>
                      <w:sz w:val="21"/>
                      <w:szCs w:val="21"/>
                    </w:rPr>
                  </w:pPr>
                </w:p>
              </w:tc>
              <w:tc>
                <w:tcPr>
                  <w:tcW w:w="1261" w:type="pct"/>
                  <w:noWrap w:val="0"/>
                  <w:vAlign w:val="center"/>
                </w:tcPr>
                <w:p w14:paraId="5C98EA2F">
                  <w:pPr>
                    <w:rPr>
                      <w:rFonts w:hint="eastAsia" w:ascii="Times New Roman" w:eastAsia="宋体" w:cs="Times New Roman"/>
                      <w:color w:val="auto"/>
                      <w:sz w:val="21"/>
                      <w:szCs w:val="21"/>
                      <w:lang w:val="en-US" w:eastAsia="zh-CN"/>
                    </w:rPr>
                  </w:pPr>
                  <w:r>
                    <w:rPr>
                      <w:rFonts w:hint="eastAsia" w:ascii="Times New Roman" w:cs="Times New Roman"/>
                      <w:color w:val="auto"/>
                      <w:sz w:val="21"/>
                      <w:szCs w:val="21"/>
                      <w:lang w:val="en-US" w:eastAsia="zh-CN"/>
                    </w:rPr>
                    <w:t>1.本项目小区</w:t>
                  </w:r>
                  <w:r>
                    <w:rPr>
                      <w:rFonts w:hint="eastAsia"/>
                      <w:bCs/>
                      <w:color w:val="auto"/>
                      <w:sz w:val="21"/>
                      <w:szCs w:val="21"/>
                    </w:rPr>
                    <w:t>生活污水管网系统建设完善</w:t>
                  </w:r>
                  <w:r>
                    <w:rPr>
                      <w:rFonts w:hint="eastAsia"/>
                      <w:bCs/>
                      <w:color w:val="auto"/>
                      <w:sz w:val="21"/>
                      <w:szCs w:val="21"/>
                      <w:lang w:eastAsia="zh-CN"/>
                    </w:rPr>
                    <w:t>；</w:t>
                  </w:r>
                </w:p>
                <w:p w14:paraId="6E157512">
                  <w:pPr>
                    <w:rPr>
                      <w:rFonts w:hint="default" w:ascii="Times New Roman" w:cs="Times New Roman"/>
                      <w:color w:val="auto"/>
                      <w:sz w:val="21"/>
                      <w:szCs w:val="21"/>
                      <w:lang w:val="en-US" w:eastAsia="zh-CN"/>
                    </w:rPr>
                  </w:pPr>
                  <w:r>
                    <w:rPr>
                      <w:rFonts w:hint="eastAsia" w:ascii="Times New Roman" w:cs="Times New Roman"/>
                      <w:color w:val="auto"/>
                      <w:sz w:val="21"/>
                      <w:szCs w:val="21"/>
                      <w:lang w:val="en-US" w:eastAsia="zh-CN"/>
                    </w:rPr>
                    <w:t>2.本项目不属于污水处理厂项目。</w:t>
                  </w:r>
                </w:p>
              </w:tc>
              <w:tc>
                <w:tcPr>
                  <w:tcW w:w="221" w:type="pct"/>
                  <w:noWrap w:val="0"/>
                  <w:vAlign w:val="center"/>
                </w:tcPr>
                <w:p w14:paraId="77521075">
                  <w:pPr>
                    <w:autoSpaceDE w:val="0"/>
                    <w:autoSpaceDN w:val="0"/>
                    <w:adjustRightInd w:val="0"/>
                    <w:snapToGrid w:val="0"/>
                    <w:spacing w:line="240" w:lineRule="auto"/>
                    <w:rPr>
                      <w:rFonts w:hint="eastAsia" w:eastAsia="宋体"/>
                      <w:color w:val="auto"/>
                      <w:kern w:val="0"/>
                      <w:sz w:val="21"/>
                      <w:szCs w:val="21"/>
                      <w:lang w:val="en-US" w:eastAsia="zh-CN"/>
                    </w:rPr>
                  </w:pPr>
                  <w:r>
                    <w:rPr>
                      <w:rFonts w:hint="eastAsia"/>
                      <w:color w:val="auto"/>
                      <w:kern w:val="0"/>
                      <w:sz w:val="21"/>
                      <w:szCs w:val="21"/>
                      <w:lang w:val="en-US" w:eastAsia="zh-CN"/>
                    </w:rPr>
                    <w:t>符合</w:t>
                  </w:r>
                </w:p>
              </w:tc>
            </w:tr>
            <w:tr w14:paraId="3979F9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5" w:type="pct"/>
                  <w:vMerge w:val="continue"/>
                  <w:noWrap w:val="0"/>
                  <w:vAlign w:val="center"/>
                </w:tcPr>
                <w:p w14:paraId="066D5554">
                  <w:pPr>
                    <w:autoSpaceDE w:val="0"/>
                    <w:autoSpaceDN w:val="0"/>
                    <w:adjustRightInd w:val="0"/>
                    <w:snapToGrid w:val="0"/>
                    <w:spacing w:line="240" w:lineRule="auto"/>
                    <w:jc w:val="center"/>
                    <w:rPr>
                      <w:color w:val="auto"/>
                      <w:kern w:val="0"/>
                      <w:sz w:val="21"/>
                      <w:szCs w:val="21"/>
                    </w:rPr>
                  </w:pPr>
                </w:p>
              </w:tc>
              <w:tc>
                <w:tcPr>
                  <w:tcW w:w="367" w:type="pct"/>
                  <w:vMerge w:val="continue"/>
                  <w:noWrap w:val="0"/>
                  <w:vAlign w:val="center"/>
                </w:tcPr>
                <w:p w14:paraId="431DC7B3">
                  <w:pPr>
                    <w:autoSpaceDE w:val="0"/>
                    <w:autoSpaceDN w:val="0"/>
                    <w:adjustRightInd w:val="0"/>
                    <w:snapToGrid w:val="0"/>
                    <w:spacing w:line="240" w:lineRule="auto"/>
                    <w:jc w:val="center"/>
                    <w:rPr>
                      <w:color w:val="auto"/>
                      <w:kern w:val="0"/>
                      <w:sz w:val="21"/>
                      <w:szCs w:val="21"/>
                    </w:rPr>
                  </w:pPr>
                </w:p>
              </w:tc>
              <w:tc>
                <w:tcPr>
                  <w:tcW w:w="230" w:type="pct"/>
                  <w:vMerge w:val="continue"/>
                  <w:noWrap w:val="0"/>
                  <w:vAlign w:val="center"/>
                </w:tcPr>
                <w:p w14:paraId="4BDC9524">
                  <w:pPr>
                    <w:autoSpaceDE w:val="0"/>
                    <w:autoSpaceDN w:val="0"/>
                    <w:adjustRightInd w:val="0"/>
                    <w:snapToGrid w:val="0"/>
                    <w:spacing w:line="240" w:lineRule="auto"/>
                    <w:jc w:val="center"/>
                    <w:rPr>
                      <w:color w:val="auto"/>
                      <w:kern w:val="0"/>
                      <w:sz w:val="21"/>
                      <w:szCs w:val="21"/>
                    </w:rPr>
                  </w:pPr>
                </w:p>
              </w:tc>
              <w:tc>
                <w:tcPr>
                  <w:tcW w:w="162" w:type="pct"/>
                  <w:vMerge w:val="continue"/>
                  <w:noWrap w:val="0"/>
                  <w:vAlign w:val="center"/>
                </w:tcPr>
                <w:p w14:paraId="6C2C3F04">
                  <w:pPr>
                    <w:autoSpaceDE w:val="0"/>
                    <w:autoSpaceDN w:val="0"/>
                    <w:adjustRightInd w:val="0"/>
                    <w:snapToGrid w:val="0"/>
                    <w:spacing w:line="240" w:lineRule="auto"/>
                    <w:jc w:val="center"/>
                    <w:rPr>
                      <w:color w:val="auto"/>
                      <w:kern w:val="0"/>
                      <w:sz w:val="21"/>
                      <w:szCs w:val="21"/>
                    </w:rPr>
                  </w:pPr>
                </w:p>
              </w:tc>
              <w:tc>
                <w:tcPr>
                  <w:tcW w:w="270" w:type="pct"/>
                  <w:noWrap w:val="0"/>
                  <w:vAlign w:val="center"/>
                </w:tcPr>
                <w:p w14:paraId="12459723">
                  <w:pPr>
                    <w:autoSpaceDE w:val="0"/>
                    <w:autoSpaceDN w:val="0"/>
                    <w:adjustRightInd w:val="0"/>
                    <w:snapToGrid w:val="0"/>
                    <w:spacing w:line="240" w:lineRule="auto"/>
                    <w:jc w:val="center"/>
                    <w:rPr>
                      <w:color w:val="auto"/>
                      <w:kern w:val="0"/>
                      <w:sz w:val="21"/>
                      <w:szCs w:val="21"/>
                    </w:rPr>
                  </w:pPr>
                  <w:r>
                    <w:rPr>
                      <w:rFonts w:hint="eastAsia"/>
                      <w:color w:val="auto"/>
                      <w:kern w:val="0"/>
                      <w:sz w:val="21"/>
                      <w:szCs w:val="21"/>
                    </w:rPr>
                    <w:t>高污染燃料禁燃区</w:t>
                  </w:r>
                </w:p>
              </w:tc>
              <w:tc>
                <w:tcPr>
                  <w:tcW w:w="270" w:type="pct"/>
                  <w:noWrap w:val="0"/>
                  <w:vAlign w:val="center"/>
                </w:tcPr>
                <w:p w14:paraId="7705EA47">
                  <w:pPr>
                    <w:autoSpaceDE w:val="0"/>
                    <w:autoSpaceDN w:val="0"/>
                    <w:adjustRightInd w:val="0"/>
                    <w:snapToGrid w:val="0"/>
                    <w:spacing w:line="240" w:lineRule="auto"/>
                    <w:jc w:val="center"/>
                    <w:rPr>
                      <w:rFonts w:hint="eastAsia"/>
                      <w:color w:val="auto"/>
                      <w:kern w:val="0"/>
                      <w:sz w:val="21"/>
                      <w:szCs w:val="21"/>
                    </w:rPr>
                  </w:pPr>
                  <w:r>
                    <w:rPr>
                      <w:rFonts w:hint="eastAsia"/>
                      <w:color w:val="auto"/>
                      <w:kern w:val="0"/>
                      <w:sz w:val="21"/>
                      <w:szCs w:val="21"/>
                    </w:rPr>
                    <w:t>资源开发效率要求</w:t>
                  </w:r>
                </w:p>
              </w:tc>
              <w:tc>
                <w:tcPr>
                  <w:tcW w:w="1589" w:type="pct"/>
                  <w:noWrap w:val="0"/>
                  <w:vAlign w:val="center"/>
                </w:tcPr>
                <w:p w14:paraId="0F47C1CD">
                  <w:pPr>
                    <w:autoSpaceDE w:val="0"/>
                    <w:autoSpaceDN w:val="0"/>
                    <w:adjustRightInd w:val="0"/>
                    <w:snapToGrid w:val="0"/>
                    <w:spacing w:line="240" w:lineRule="auto"/>
                    <w:rPr>
                      <w:rFonts w:hint="eastAsia"/>
                      <w:color w:val="auto"/>
                      <w:sz w:val="21"/>
                      <w:szCs w:val="21"/>
                    </w:rPr>
                  </w:pPr>
                  <w:r>
                    <w:rPr>
                      <w:rFonts w:hint="eastAsia"/>
                      <w:color w:val="auto"/>
                      <w:sz w:val="21"/>
                      <w:szCs w:val="21"/>
                    </w:rPr>
                    <w:t>高污染燃料禁燃区：</w:t>
                  </w:r>
                </w:p>
                <w:p w14:paraId="32C3B9B3">
                  <w:pPr>
                    <w:autoSpaceDE w:val="0"/>
                    <w:autoSpaceDN w:val="0"/>
                    <w:adjustRightInd w:val="0"/>
                    <w:snapToGrid w:val="0"/>
                    <w:spacing w:line="240" w:lineRule="auto"/>
                    <w:rPr>
                      <w:rFonts w:hint="eastAsia"/>
                      <w:color w:val="auto"/>
                      <w:sz w:val="21"/>
                      <w:szCs w:val="21"/>
                    </w:rPr>
                  </w:pPr>
                  <w:r>
                    <w:rPr>
                      <w:rFonts w:hint="eastAsia"/>
                      <w:color w:val="auto"/>
                      <w:sz w:val="21"/>
                      <w:szCs w:val="21"/>
                    </w:rPr>
                    <w:t>1.禁止销售、使用高污染燃料。禁止新建、扩建燃用高污染燃料的设施。已建成的，应当在市人民政府规定的期限内停止使用或者改用天然气、页岩气、煤层气、液化石油气、干热岩、电、太阳能或者其他清洁能源。</w:t>
                  </w:r>
                </w:p>
                <w:p w14:paraId="55CB535F">
                  <w:pPr>
                    <w:autoSpaceDE w:val="0"/>
                    <w:autoSpaceDN w:val="0"/>
                    <w:adjustRightInd w:val="0"/>
                    <w:snapToGrid w:val="0"/>
                    <w:spacing w:line="240" w:lineRule="auto"/>
                    <w:rPr>
                      <w:color w:val="auto"/>
                      <w:sz w:val="21"/>
                      <w:szCs w:val="21"/>
                    </w:rPr>
                  </w:pPr>
                  <w:r>
                    <w:rPr>
                      <w:rFonts w:hint="eastAsia"/>
                      <w:color w:val="auto"/>
                      <w:sz w:val="21"/>
                      <w:szCs w:val="21"/>
                    </w:rPr>
                    <w:t>2.禁止燃放烟花爆竹。</w:t>
                  </w:r>
                </w:p>
              </w:tc>
              <w:tc>
                <w:tcPr>
                  <w:tcW w:w="392" w:type="pct"/>
                  <w:vMerge w:val="continue"/>
                  <w:noWrap w:val="0"/>
                  <w:vAlign w:val="center"/>
                </w:tcPr>
                <w:p w14:paraId="7D0CE481">
                  <w:pPr>
                    <w:autoSpaceDE w:val="0"/>
                    <w:autoSpaceDN w:val="0"/>
                    <w:adjustRightInd w:val="0"/>
                    <w:snapToGrid w:val="0"/>
                    <w:spacing w:line="240" w:lineRule="auto"/>
                    <w:rPr>
                      <w:rFonts w:hint="eastAsia"/>
                      <w:color w:val="auto"/>
                      <w:sz w:val="21"/>
                      <w:szCs w:val="21"/>
                    </w:rPr>
                  </w:pPr>
                </w:p>
              </w:tc>
              <w:tc>
                <w:tcPr>
                  <w:tcW w:w="1261" w:type="pct"/>
                  <w:noWrap w:val="0"/>
                  <w:vAlign w:val="center"/>
                </w:tcPr>
                <w:p w14:paraId="13FD28D3">
                  <w:pPr>
                    <w:autoSpaceDE w:val="0"/>
                    <w:autoSpaceDN w:val="0"/>
                    <w:adjustRightInd w:val="0"/>
                    <w:snapToGrid w:val="0"/>
                    <w:rPr>
                      <w:rFonts w:hint="eastAsia" w:eastAsia="宋体"/>
                      <w:color w:val="auto"/>
                      <w:kern w:val="0"/>
                      <w:sz w:val="21"/>
                      <w:szCs w:val="21"/>
                      <w:lang w:eastAsia="zh-CN"/>
                    </w:rPr>
                  </w:pPr>
                  <w:r>
                    <w:rPr>
                      <w:rFonts w:hint="eastAsia"/>
                      <w:color w:val="auto"/>
                      <w:kern w:val="21"/>
                      <w:sz w:val="21"/>
                      <w:szCs w:val="21"/>
                    </w:rPr>
                    <w:t>本项目</w:t>
                  </w:r>
                  <w:r>
                    <w:rPr>
                      <w:rFonts w:hint="eastAsia"/>
                      <w:color w:val="auto"/>
                      <w:kern w:val="21"/>
                      <w:sz w:val="21"/>
                      <w:szCs w:val="21"/>
                      <w:lang w:val="en-US" w:eastAsia="zh-CN"/>
                    </w:rPr>
                    <w:t>为</w:t>
                  </w:r>
                  <w:r>
                    <w:rPr>
                      <w:rFonts w:hint="eastAsia"/>
                      <w:color w:val="auto"/>
                      <w:kern w:val="0"/>
                      <w:sz w:val="21"/>
                      <w:szCs w:val="21"/>
                    </w:rPr>
                    <w:t>地下水开采</w:t>
                  </w:r>
                  <w:r>
                    <w:rPr>
                      <w:rFonts w:hint="eastAsia"/>
                      <w:color w:val="auto"/>
                      <w:kern w:val="0"/>
                      <w:sz w:val="21"/>
                      <w:szCs w:val="21"/>
                      <w:lang w:val="en-US" w:eastAsia="zh-CN"/>
                    </w:rPr>
                    <w:t>项目</w:t>
                  </w:r>
                  <w:r>
                    <w:rPr>
                      <w:rFonts w:hint="eastAsia"/>
                      <w:color w:val="auto"/>
                      <w:kern w:val="0"/>
                      <w:sz w:val="21"/>
                      <w:szCs w:val="21"/>
                    </w:rPr>
                    <w:t>（农村分散式家庭生活自用水井除外）</w:t>
                  </w:r>
                  <w:r>
                    <w:rPr>
                      <w:rFonts w:hint="eastAsia"/>
                      <w:color w:val="auto"/>
                      <w:kern w:val="21"/>
                      <w:sz w:val="21"/>
                      <w:szCs w:val="21"/>
                      <w:lang w:val="en-US" w:eastAsia="zh-CN"/>
                    </w:rPr>
                    <w:t>，</w:t>
                  </w:r>
                  <w:r>
                    <w:rPr>
                      <w:rFonts w:hint="eastAsia"/>
                      <w:color w:val="auto"/>
                      <w:sz w:val="21"/>
                      <w:szCs w:val="21"/>
                    </w:rPr>
                    <w:t>使用</w:t>
                  </w:r>
                  <w:r>
                    <w:rPr>
                      <w:rFonts w:hint="eastAsia"/>
                      <w:color w:val="auto"/>
                      <w:sz w:val="21"/>
                      <w:szCs w:val="21"/>
                      <w:lang w:val="en-US" w:eastAsia="zh-CN"/>
                    </w:rPr>
                    <w:t>地热能，不属于</w:t>
                  </w:r>
                  <w:r>
                    <w:rPr>
                      <w:rFonts w:hint="eastAsia"/>
                      <w:color w:val="auto"/>
                      <w:sz w:val="21"/>
                      <w:szCs w:val="21"/>
                    </w:rPr>
                    <w:t>新建、扩建燃用高污染燃料的设施</w:t>
                  </w:r>
                  <w:r>
                    <w:rPr>
                      <w:rFonts w:hint="eastAsia"/>
                      <w:color w:val="auto"/>
                      <w:sz w:val="21"/>
                      <w:szCs w:val="21"/>
                      <w:lang w:eastAsia="zh-CN"/>
                    </w:rPr>
                    <w:t>。</w:t>
                  </w:r>
                </w:p>
              </w:tc>
              <w:tc>
                <w:tcPr>
                  <w:tcW w:w="221" w:type="pct"/>
                  <w:noWrap w:val="0"/>
                  <w:vAlign w:val="center"/>
                </w:tcPr>
                <w:p w14:paraId="0E120CB7">
                  <w:pPr>
                    <w:autoSpaceDE w:val="0"/>
                    <w:autoSpaceDN w:val="0"/>
                    <w:adjustRightInd w:val="0"/>
                    <w:snapToGrid w:val="0"/>
                    <w:spacing w:line="240" w:lineRule="auto"/>
                    <w:rPr>
                      <w:color w:val="auto"/>
                      <w:kern w:val="0"/>
                      <w:sz w:val="21"/>
                      <w:szCs w:val="21"/>
                    </w:rPr>
                  </w:pPr>
                  <w:r>
                    <w:rPr>
                      <w:rFonts w:hint="eastAsia"/>
                      <w:color w:val="auto"/>
                      <w:kern w:val="0"/>
                      <w:sz w:val="21"/>
                      <w:szCs w:val="21"/>
                    </w:rPr>
                    <w:t>符合</w:t>
                  </w:r>
                </w:p>
              </w:tc>
            </w:tr>
          </w:tbl>
          <w:p w14:paraId="54E7563B">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8" w:firstLineChars="200"/>
              <w:textAlignment w:val="auto"/>
              <w:rPr>
                <w:rFonts w:hint="eastAsia" w:eastAsia="宋体"/>
                <w:color w:val="auto"/>
                <w:sz w:val="24"/>
                <w:lang w:eastAsia="zh-CN"/>
              </w:rPr>
            </w:pPr>
            <w:r>
              <w:rPr>
                <w:rFonts w:hint="eastAsia"/>
                <w:color w:val="auto"/>
                <w:spacing w:val="2"/>
                <w:sz w:val="24"/>
                <w:lang w:eastAsia="zh-CN"/>
              </w:rPr>
              <w:t>（</w:t>
            </w:r>
            <w:r>
              <w:rPr>
                <w:rFonts w:hint="eastAsia"/>
                <w:color w:val="auto"/>
                <w:spacing w:val="2"/>
                <w:sz w:val="24"/>
                <w:lang w:val="en-US" w:eastAsia="zh-CN"/>
              </w:rPr>
              <w:t>3</w:t>
            </w:r>
            <w:r>
              <w:rPr>
                <w:rFonts w:hint="eastAsia"/>
                <w:color w:val="auto"/>
                <w:spacing w:val="2"/>
                <w:sz w:val="24"/>
                <w:lang w:eastAsia="zh-CN"/>
              </w:rPr>
              <w:t>）“</w:t>
            </w:r>
            <w:r>
              <w:rPr>
                <w:color w:val="auto"/>
                <w:spacing w:val="2"/>
                <w:sz w:val="24"/>
              </w:rPr>
              <w:t>一说明</w:t>
            </w:r>
            <w:r>
              <w:rPr>
                <w:rFonts w:hint="eastAsia"/>
                <w:color w:val="auto"/>
                <w:spacing w:val="2"/>
                <w:sz w:val="24"/>
                <w:lang w:eastAsia="zh-CN"/>
              </w:rPr>
              <w:t>“</w:t>
            </w:r>
          </w:p>
          <w:p w14:paraId="474115C0">
            <w:pPr>
              <w:adjustRightInd w:val="0"/>
              <w:snapToGrid w:val="0"/>
              <w:spacing w:line="360" w:lineRule="auto"/>
              <w:ind w:firstLine="480" w:firstLineChars="200"/>
              <w:rPr>
                <w:rFonts w:hint="eastAsia"/>
                <w:color w:val="auto"/>
                <w:sz w:val="24"/>
              </w:rPr>
            </w:pPr>
            <w:r>
              <w:rPr>
                <w:rFonts w:hint="eastAsia"/>
                <w:color w:val="auto"/>
                <w:sz w:val="24"/>
              </w:rPr>
              <w:t>本项目位于</w:t>
            </w:r>
            <w:r>
              <w:rPr>
                <w:rFonts w:hint="eastAsia"/>
                <w:color w:val="auto"/>
                <w:sz w:val="24"/>
                <w:lang w:val="en-US" w:eastAsia="zh-CN"/>
              </w:rPr>
              <w:t>陕西省</w:t>
            </w:r>
            <w:r>
              <w:rPr>
                <w:rFonts w:hint="eastAsia"/>
                <w:color w:val="auto"/>
                <w:sz w:val="24"/>
              </w:rPr>
              <w:t>西咸新区沣东新城三桥街道北沙口村紫境城小区，属于西安市生态环境管控单元分布示意图中的重点管控单元。</w:t>
            </w:r>
          </w:p>
          <w:p w14:paraId="18EBFE6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color w:val="auto"/>
                <w:kern w:val="0"/>
                <w:szCs w:val="21"/>
                <w:lang w:val="en-US" w:eastAsia="zh-CN"/>
              </w:rPr>
            </w:pPr>
            <w:r>
              <w:rPr>
                <w:rFonts w:hint="eastAsia"/>
                <w:color w:val="auto"/>
                <w:sz w:val="24"/>
              </w:rPr>
              <w:t>本项目满足重点管控单元在空间布局约束、污染物排放管控、环境风险防控</w:t>
            </w:r>
            <w:r>
              <w:rPr>
                <w:rFonts w:hint="eastAsia"/>
                <w:color w:val="auto"/>
                <w:sz w:val="24"/>
                <w:lang w:eastAsia="zh-CN"/>
              </w:rPr>
              <w:t>、</w:t>
            </w:r>
            <w:r>
              <w:rPr>
                <w:rFonts w:hint="eastAsia"/>
                <w:color w:val="auto"/>
                <w:sz w:val="24"/>
              </w:rPr>
              <w:t>资源利用效率等管控要求，因此，本项目的建设符合西安市</w:t>
            </w:r>
            <w:r>
              <w:rPr>
                <w:rFonts w:hint="eastAsia"/>
                <w:color w:val="auto"/>
                <w:sz w:val="24"/>
                <w:lang w:eastAsia="zh-CN"/>
              </w:rPr>
              <w:t>“</w:t>
            </w:r>
            <w:r>
              <w:rPr>
                <w:rFonts w:hint="eastAsia"/>
                <w:color w:val="auto"/>
                <w:sz w:val="24"/>
              </w:rPr>
              <w:t>三线一单</w:t>
            </w:r>
            <w:r>
              <w:rPr>
                <w:rFonts w:hint="eastAsia"/>
                <w:color w:val="auto"/>
                <w:sz w:val="24"/>
                <w:lang w:eastAsia="zh-CN"/>
              </w:rPr>
              <w:t>“</w:t>
            </w:r>
            <w:r>
              <w:rPr>
                <w:rFonts w:hint="eastAsia"/>
                <w:color w:val="auto"/>
                <w:sz w:val="24"/>
              </w:rPr>
              <w:t>生态环境分区管控要求。</w:t>
            </w:r>
          </w:p>
          <w:p w14:paraId="73171A1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textAlignment w:val="auto"/>
              <w:rPr>
                <w:rFonts w:hint="default" w:ascii="宋体" w:hAnsi="宋体" w:cs="宋体"/>
                <w:color w:val="auto"/>
                <w:kern w:val="0"/>
                <w:szCs w:val="21"/>
                <w:lang w:val="en-US" w:eastAsia="zh-CN"/>
              </w:rPr>
            </w:pPr>
          </w:p>
        </w:tc>
      </w:tr>
    </w:tbl>
    <w:p w14:paraId="0306BDAC">
      <w:pPr>
        <w:rPr>
          <w:color w:val="auto"/>
        </w:rPr>
        <w:sectPr>
          <w:pgSz w:w="16838" w:h="11906" w:orient="landscape"/>
          <w:pgMar w:top="1531" w:right="1701" w:bottom="1531" w:left="1701" w:header="851" w:footer="1077" w:gutter="0"/>
          <w:pgBorders>
            <w:top w:val="none" w:sz="0" w:space="0"/>
            <w:left w:val="none" w:sz="0" w:space="0"/>
            <w:bottom w:val="none" w:sz="0" w:space="0"/>
            <w:right w:val="none" w:sz="0" w:space="0"/>
          </w:pgBorders>
          <w:pgNumType w:fmt="decimal"/>
          <w:cols w:space="720" w:num="1"/>
          <w:docGrid w:linePitch="312" w:charSpace="0"/>
        </w:sectPr>
      </w:pPr>
    </w:p>
    <w:tbl>
      <w:tblPr>
        <w:tblStyle w:val="15"/>
        <w:tblW w:w="9039" w:type="dxa"/>
        <w:tblInd w:w="16"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977"/>
        <w:gridCol w:w="8062"/>
      </w:tblGrid>
      <w:tr w14:paraId="44D186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31" w:hRule="atLeast"/>
        </w:trPr>
        <w:tc>
          <w:tcPr>
            <w:tcW w:w="977" w:type="dxa"/>
            <w:noWrap w:val="0"/>
            <w:tcMar>
              <w:top w:w="16" w:type="dxa"/>
              <w:left w:w="16" w:type="dxa"/>
              <w:right w:w="16" w:type="dxa"/>
            </w:tcMar>
            <w:vAlign w:val="center"/>
          </w:tcPr>
          <w:p w14:paraId="47E9F6AD">
            <w:pPr>
              <w:autoSpaceDE w:val="0"/>
              <w:autoSpaceDN w:val="0"/>
              <w:adjustRightInd w:val="0"/>
              <w:snapToGrid w:val="0"/>
              <w:jc w:val="center"/>
              <w:rPr>
                <w:rFonts w:ascii="宋体" w:hAnsi="宋体" w:cs="宋体"/>
                <w:color w:val="auto"/>
                <w:kern w:val="0"/>
                <w:szCs w:val="21"/>
              </w:rPr>
            </w:pPr>
            <w:r>
              <w:rPr>
                <w:rFonts w:hint="eastAsia" w:ascii="宋体" w:hAnsi="宋体" w:cs="宋体"/>
                <w:color w:val="auto"/>
                <w:kern w:val="0"/>
                <w:sz w:val="24"/>
                <w:szCs w:val="24"/>
              </w:rPr>
              <w:t>其他符合性分析</w:t>
            </w:r>
          </w:p>
        </w:tc>
        <w:tc>
          <w:tcPr>
            <w:tcW w:w="8062" w:type="dxa"/>
            <w:noWrap w:val="0"/>
            <w:tcMar>
              <w:top w:w="16" w:type="dxa"/>
              <w:left w:w="16" w:type="dxa"/>
              <w:right w:w="16" w:type="dxa"/>
            </w:tcMar>
            <w:vAlign w:val="center"/>
          </w:tcPr>
          <w:p w14:paraId="1D9C4BE0">
            <w:pPr>
              <w:pStyle w:val="22"/>
              <w:bidi w:val="0"/>
              <w:rPr>
                <w:rFonts w:hint="eastAsia"/>
                <w:b/>
                <w:bCs/>
                <w:color w:val="auto"/>
                <w:lang w:val="en-US" w:eastAsia="zh-CN"/>
              </w:rPr>
            </w:pPr>
            <w:r>
              <w:rPr>
                <w:rFonts w:hint="eastAsia"/>
                <w:b/>
                <w:bCs/>
                <w:color w:val="auto"/>
                <w:lang w:val="en-US" w:eastAsia="zh-CN"/>
              </w:rPr>
              <w:t>3、项目与其他相关环保政策及标准符合性分析</w:t>
            </w:r>
          </w:p>
          <w:p w14:paraId="554A96A9">
            <w:pPr>
              <w:pStyle w:val="23"/>
              <w:adjustRightInd w:val="0"/>
              <w:spacing w:before="0" w:afterLines="0"/>
              <w:ind w:firstLine="0"/>
              <w:rPr>
                <w:rFonts w:hint="eastAsia" w:ascii="Times New Roman" w:hAnsi="Times New Roman" w:eastAsia="宋体"/>
                <w:b/>
                <w:color w:val="auto"/>
                <w:sz w:val="24"/>
                <w:szCs w:val="24"/>
              </w:rPr>
            </w:pPr>
            <w:r>
              <w:rPr>
                <w:rFonts w:ascii="Times New Roman" w:hAnsi="Times New Roman" w:eastAsia="宋体"/>
                <w:b/>
                <w:color w:val="auto"/>
                <w:sz w:val="24"/>
                <w:szCs w:val="24"/>
              </w:rPr>
              <w:t>表</w:t>
            </w:r>
            <w:r>
              <w:rPr>
                <w:rFonts w:hint="eastAsia" w:ascii="Times New Roman" w:hAnsi="Times New Roman" w:eastAsia="宋体"/>
                <w:b/>
                <w:color w:val="auto"/>
                <w:sz w:val="24"/>
                <w:szCs w:val="24"/>
              </w:rPr>
              <w:t>1</w:t>
            </w:r>
            <w:r>
              <w:rPr>
                <w:rFonts w:ascii="Times New Roman" w:hAnsi="Times New Roman" w:eastAsia="宋体"/>
                <w:b/>
                <w:color w:val="auto"/>
                <w:sz w:val="24"/>
                <w:szCs w:val="24"/>
              </w:rPr>
              <w:t>-</w:t>
            </w:r>
            <w:r>
              <w:rPr>
                <w:rFonts w:hint="eastAsia" w:ascii="Times New Roman" w:hAnsi="Times New Roman" w:eastAsia="宋体"/>
                <w:b/>
                <w:color w:val="auto"/>
                <w:sz w:val="24"/>
                <w:szCs w:val="24"/>
                <w:lang w:val="en-US" w:eastAsia="zh-CN"/>
              </w:rPr>
              <w:t xml:space="preserve">3 </w:t>
            </w:r>
            <w:r>
              <w:rPr>
                <w:rFonts w:hint="eastAsia" w:ascii="Times New Roman" w:hAnsi="Times New Roman" w:eastAsia="宋体"/>
                <w:b/>
                <w:color w:val="auto"/>
                <w:sz w:val="24"/>
                <w:szCs w:val="24"/>
              </w:rPr>
              <w:t xml:space="preserve"> 项目</w:t>
            </w:r>
            <w:r>
              <w:rPr>
                <w:rFonts w:ascii="Times New Roman" w:hAnsi="Times New Roman" w:eastAsia="宋体"/>
                <w:b/>
                <w:color w:val="auto"/>
                <w:sz w:val="24"/>
                <w:szCs w:val="24"/>
              </w:rPr>
              <w:t>与</w:t>
            </w:r>
            <w:r>
              <w:rPr>
                <w:rFonts w:hint="eastAsia" w:ascii="Times New Roman" w:hAnsi="Times New Roman" w:eastAsia="宋体"/>
                <w:b/>
                <w:color w:val="auto"/>
                <w:sz w:val="24"/>
                <w:szCs w:val="24"/>
              </w:rPr>
              <w:t>其他相关</w:t>
            </w:r>
            <w:r>
              <w:rPr>
                <w:rFonts w:hint="eastAsia" w:ascii="Times New Roman" w:hAnsi="Times New Roman" w:eastAsia="宋体"/>
                <w:b/>
                <w:color w:val="auto"/>
                <w:sz w:val="24"/>
                <w:szCs w:val="24"/>
                <w:lang w:val="en-US" w:eastAsia="zh-CN"/>
              </w:rPr>
              <w:t>环保</w:t>
            </w:r>
            <w:r>
              <w:rPr>
                <w:rFonts w:hint="eastAsia" w:ascii="Times New Roman" w:hAnsi="Times New Roman" w:eastAsia="宋体"/>
                <w:b/>
                <w:color w:val="auto"/>
                <w:sz w:val="24"/>
                <w:szCs w:val="24"/>
              </w:rPr>
              <w:t>政策及标准</w:t>
            </w:r>
            <w:r>
              <w:rPr>
                <w:rFonts w:ascii="Times New Roman" w:hAnsi="Times New Roman" w:eastAsia="宋体"/>
                <w:b/>
                <w:color w:val="auto"/>
                <w:sz w:val="24"/>
                <w:szCs w:val="24"/>
              </w:rPr>
              <w:t>相符性分析</w:t>
            </w:r>
          </w:p>
          <w:tbl>
            <w:tblPr>
              <w:tblStyle w:val="15"/>
              <w:tblW w:w="49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74"/>
              <w:gridCol w:w="3496"/>
              <w:gridCol w:w="2405"/>
              <w:gridCol w:w="475"/>
            </w:tblGrid>
            <w:tr w14:paraId="366B91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noWrap w:val="0"/>
                  <w:vAlign w:val="center"/>
                </w:tcPr>
                <w:p w14:paraId="31692CB7">
                  <w:pPr>
                    <w:autoSpaceDE w:val="0"/>
                    <w:autoSpaceDN w:val="0"/>
                    <w:adjustRightInd w:val="0"/>
                    <w:snapToGrid w:val="0"/>
                    <w:jc w:val="center"/>
                    <w:rPr>
                      <w:rFonts w:hint="eastAsia"/>
                      <w:b/>
                      <w:bCs/>
                      <w:color w:val="auto"/>
                      <w:sz w:val="21"/>
                      <w:szCs w:val="21"/>
                    </w:rPr>
                  </w:pPr>
                  <w:r>
                    <w:rPr>
                      <w:rFonts w:hint="eastAsia"/>
                      <w:b/>
                      <w:bCs/>
                      <w:color w:val="auto"/>
                      <w:sz w:val="21"/>
                      <w:szCs w:val="21"/>
                    </w:rPr>
                    <w:t>文件名称</w:t>
                  </w:r>
                </w:p>
              </w:tc>
              <w:tc>
                <w:tcPr>
                  <w:tcW w:w="3496" w:type="dxa"/>
                  <w:noWrap w:val="0"/>
                  <w:vAlign w:val="center"/>
                </w:tcPr>
                <w:p w14:paraId="43DB3782">
                  <w:pPr>
                    <w:autoSpaceDE w:val="0"/>
                    <w:autoSpaceDN w:val="0"/>
                    <w:adjustRightInd w:val="0"/>
                    <w:snapToGrid w:val="0"/>
                    <w:jc w:val="center"/>
                    <w:rPr>
                      <w:b/>
                      <w:bCs/>
                      <w:color w:val="auto"/>
                      <w:sz w:val="21"/>
                      <w:szCs w:val="21"/>
                    </w:rPr>
                  </w:pPr>
                  <w:r>
                    <w:rPr>
                      <w:rFonts w:hint="eastAsia"/>
                      <w:b/>
                      <w:bCs/>
                      <w:color w:val="auto"/>
                      <w:sz w:val="21"/>
                      <w:szCs w:val="21"/>
                    </w:rPr>
                    <w:t>政策要求</w:t>
                  </w:r>
                </w:p>
              </w:tc>
              <w:tc>
                <w:tcPr>
                  <w:tcW w:w="2405" w:type="dxa"/>
                  <w:noWrap w:val="0"/>
                  <w:vAlign w:val="center"/>
                </w:tcPr>
                <w:p w14:paraId="602AC66B">
                  <w:pPr>
                    <w:autoSpaceDE w:val="0"/>
                    <w:autoSpaceDN w:val="0"/>
                    <w:adjustRightInd w:val="0"/>
                    <w:snapToGrid w:val="0"/>
                    <w:jc w:val="center"/>
                    <w:rPr>
                      <w:b/>
                      <w:bCs/>
                      <w:color w:val="auto"/>
                      <w:sz w:val="21"/>
                      <w:szCs w:val="21"/>
                    </w:rPr>
                  </w:pPr>
                  <w:r>
                    <w:rPr>
                      <w:rFonts w:hint="eastAsia"/>
                      <w:b/>
                      <w:bCs/>
                      <w:color w:val="auto"/>
                      <w:sz w:val="21"/>
                      <w:szCs w:val="21"/>
                    </w:rPr>
                    <w:t>本项目情况</w:t>
                  </w:r>
                </w:p>
              </w:tc>
              <w:tc>
                <w:tcPr>
                  <w:tcW w:w="475" w:type="dxa"/>
                  <w:noWrap w:val="0"/>
                  <w:vAlign w:val="center"/>
                </w:tcPr>
                <w:p w14:paraId="19268151">
                  <w:pPr>
                    <w:autoSpaceDE w:val="0"/>
                    <w:autoSpaceDN w:val="0"/>
                    <w:adjustRightInd w:val="0"/>
                    <w:snapToGrid w:val="0"/>
                    <w:jc w:val="center"/>
                    <w:rPr>
                      <w:b/>
                      <w:bCs/>
                      <w:color w:val="auto"/>
                      <w:sz w:val="21"/>
                      <w:szCs w:val="21"/>
                    </w:rPr>
                  </w:pPr>
                  <w:r>
                    <w:rPr>
                      <w:rFonts w:hint="eastAsia"/>
                      <w:b/>
                      <w:bCs/>
                      <w:color w:val="auto"/>
                      <w:sz w:val="21"/>
                      <w:szCs w:val="21"/>
                    </w:rPr>
                    <w:t>相符性</w:t>
                  </w:r>
                </w:p>
              </w:tc>
            </w:tr>
            <w:tr w14:paraId="1AE7FA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noWrap w:val="0"/>
                  <w:vAlign w:val="center"/>
                </w:tcPr>
                <w:p w14:paraId="25B073C0">
                  <w:pPr>
                    <w:autoSpaceDE w:val="0"/>
                    <w:autoSpaceDN w:val="0"/>
                    <w:adjustRightInd w:val="0"/>
                    <w:snapToGrid w:val="0"/>
                    <w:jc w:val="center"/>
                    <w:rPr>
                      <w:rFonts w:hint="eastAsia"/>
                      <w:color w:val="auto"/>
                      <w:sz w:val="21"/>
                      <w:szCs w:val="21"/>
                    </w:rPr>
                  </w:pPr>
                  <w:r>
                    <w:rPr>
                      <w:rFonts w:hint="eastAsia"/>
                      <w:color w:val="auto"/>
                      <w:sz w:val="21"/>
                      <w:szCs w:val="21"/>
                    </w:rPr>
                    <w:t>《</w:t>
                  </w:r>
                  <w:r>
                    <w:rPr>
                      <w:rFonts w:hint="eastAsia"/>
                      <w:color w:val="auto"/>
                      <w:sz w:val="21"/>
                      <w:szCs w:val="21"/>
                      <w:lang w:eastAsia="zh-CN"/>
                    </w:rPr>
                    <w:t>“</w:t>
                  </w:r>
                  <w:r>
                    <w:rPr>
                      <w:rFonts w:hint="eastAsia"/>
                      <w:color w:val="auto"/>
                      <w:sz w:val="21"/>
                      <w:szCs w:val="21"/>
                    </w:rPr>
                    <w:t>十四五</w:t>
                  </w:r>
                  <w:r>
                    <w:rPr>
                      <w:rFonts w:hint="eastAsia"/>
                      <w:color w:val="auto"/>
                      <w:sz w:val="21"/>
                      <w:szCs w:val="21"/>
                      <w:lang w:eastAsia="zh-CN"/>
                    </w:rPr>
                    <w:t>“</w:t>
                  </w:r>
                  <w:r>
                    <w:rPr>
                      <w:rFonts w:hint="eastAsia"/>
                      <w:color w:val="auto"/>
                      <w:sz w:val="21"/>
                      <w:szCs w:val="21"/>
                    </w:rPr>
                    <w:t>土壤、地下水和农村生态环境保护规划》（环土壤〔2021〕120号）</w:t>
                  </w:r>
                </w:p>
              </w:tc>
              <w:tc>
                <w:tcPr>
                  <w:tcW w:w="3496" w:type="dxa"/>
                  <w:noWrap w:val="0"/>
                  <w:vAlign w:val="center"/>
                </w:tcPr>
                <w:p w14:paraId="3091404C">
                  <w:pPr>
                    <w:autoSpaceDE w:val="0"/>
                    <w:adjustRightInd w:val="0"/>
                    <w:snapToGrid w:val="0"/>
                    <w:ind w:firstLine="420" w:firstLineChars="20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实施地下水污染风险管控。针对存在地下水污染的化工产业为主导的工业集聚区、危险废物处置场和生活垃圾填埋场等，实施地下水污染风险管控，阻止污染扩散，加强风险管</w:t>
                  </w:r>
                  <w:r>
                    <w:rPr>
                      <w:rFonts w:hint="eastAsia" w:cs="Times New Roman"/>
                      <w:color w:val="auto"/>
                      <w:sz w:val="21"/>
                      <w:szCs w:val="21"/>
                      <w:lang w:eastAsia="zh-CN"/>
                    </w:rPr>
                    <w:t>控和</w:t>
                  </w:r>
                  <w:r>
                    <w:rPr>
                      <w:rFonts w:hint="eastAsia" w:ascii="Times New Roman" w:hAnsi="Times New Roman" w:eastAsia="宋体" w:cs="Times New Roman"/>
                      <w:color w:val="auto"/>
                      <w:sz w:val="21"/>
                      <w:szCs w:val="21"/>
                    </w:rPr>
                    <w:t>后期环境监管。试点开展废弃矿井地下水污染防治、原地浸矿地下水污染风险管控，探索油气采出水回注地下水污染防治措施。</w:t>
                  </w:r>
                </w:p>
              </w:tc>
              <w:tc>
                <w:tcPr>
                  <w:tcW w:w="2405" w:type="dxa"/>
                  <w:noWrap w:val="0"/>
                  <w:vAlign w:val="center"/>
                </w:tcPr>
                <w:p w14:paraId="02633A21">
                  <w:pPr>
                    <w:autoSpaceDE w:val="0"/>
                    <w:adjustRightInd w:val="0"/>
                    <w:snapToGrid w:val="0"/>
                    <w:ind w:firstLine="420" w:firstLineChars="20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本项目属于地热供暖，</w:t>
                  </w:r>
                  <w:r>
                    <w:rPr>
                      <w:rFonts w:hint="eastAsia" w:ascii="Times New Roman" w:hAnsi="Times New Roman" w:eastAsia="宋体" w:cs="Times New Roman"/>
                      <w:color w:val="auto"/>
                      <w:sz w:val="21"/>
                      <w:szCs w:val="21"/>
                      <w:lang w:val="en-US" w:eastAsia="zh-CN"/>
                    </w:rPr>
                    <w:t>项目已建</w:t>
                  </w:r>
                  <w:r>
                    <w:rPr>
                      <w:rFonts w:hint="eastAsia" w:ascii="Times New Roman" w:hAnsi="Times New Roman" w:eastAsia="宋体" w:cs="Times New Roman"/>
                      <w:color w:val="auto"/>
                      <w:sz w:val="21"/>
                      <w:szCs w:val="21"/>
                    </w:rPr>
                    <w:t>地热开采井</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通过新建回灌井及其配套设施，可确保地热供暖实现</w:t>
                  </w:r>
                  <w:r>
                    <w:rPr>
                      <w:rFonts w:hint="eastAsia" w:cs="Times New Roman"/>
                      <w:color w:val="auto"/>
                      <w:sz w:val="21"/>
                      <w:szCs w:val="21"/>
                      <w:lang w:eastAsia="zh-CN"/>
                    </w:rPr>
                    <w:t>“</w:t>
                  </w:r>
                  <w:r>
                    <w:rPr>
                      <w:rFonts w:hint="eastAsia" w:ascii="Times New Roman" w:hAnsi="Times New Roman" w:eastAsia="宋体" w:cs="Times New Roman"/>
                      <w:color w:val="auto"/>
                      <w:sz w:val="21"/>
                      <w:szCs w:val="21"/>
                    </w:rPr>
                    <w:t>采灌均衡、间接换热、分层开采</w:t>
                  </w:r>
                  <w:r>
                    <w:rPr>
                      <w:rFonts w:hint="eastAsia" w:cs="Times New Roman"/>
                      <w:color w:val="auto"/>
                      <w:sz w:val="21"/>
                      <w:szCs w:val="21"/>
                      <w:lang w:eastAsia="zh-CN"/>
                    </w:rPr>
                    <w:t>”</w:t>
                  </w:r>
                  <w:r>
                    <w:rPr>
                      <w:rFonts w:hint="eastAsia" w:ascii="Times New Roman" w:hAnsi="Times New Roman" w:eastAsia="宋体" w:cs="Times New Roman"/>
                      <w:color w:val="auto"/>
                      <w:sz w:val="21"/>
                      <w:szCs w:val="21"/>
                    </w:rPr>
                    <w:t>的清洁利用方式，基本不存在地下水污染风险</w:t>
                  </w:r>
                </w:p>
              </w:tc>
              <w:tc>
                <w:tcPr>
                  <w:tcW w:w="475" w:type="dxa"/>
                  <w:noWrap w:val="0"/>
                  <w:vAlign w:val="center"/>
                </w:tcPr>
                <w:p w14:paraId="7C8E5517">
                  <w:pPr>
                    <w:autoSpaceDE w:val="0"/>
                    <w:autoSpaceDN w:val="0"/>
                    <w:adjustRightInd w:val="0"/>
                    <w:snapToGrid w:val="0"/>
                    <w:jc w:val="center"/>
                    <w:rPr>
                      <w:rFonts w:hint="eastAsia" w:eastAsia="宋体"/>
                      <w:color w:val="auto"/>
                      <w:sz w:val="21"/>
                      <w:szCs w:val="21"/>
                      <w:lang w:val="en-US" w:eastAsia="zh-CN"/>
                    </w:rPr>
                  </w:pPr>
                  <w:r>
                    <w:rPr>
                      <w:rFonts w:hint="eastAsia"/>
                      <w:color w:val="auto"/>
                      <w:sz w:val="21"/>
                      <w:szCs w:val="21"/>
                      <w:lang w:val="en-US" w:eastAsia="zh-CN"/>
                    </w:rPr>
                    <w:t>符合</w:t>
                  </w:r>
                </w:p>
              </w:tc>
            </w:tr>
            <w:tr w14:paraId="463EFD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noWrap w:val="0"/>
                  <w:vAlign w:val="center"/>
                </w:tcPr>
                <w:p w14:paraId="46BF28CA">
                  <w:pPr>
                    <w:autoSpaceDE w:val="0"/>
                    <w:autoSpaceDN w:val="0"/>
                    <w:adjustRightInd w:val="0"/>
                    <w:snapToGrid w:val="0"/>
                    <w:jc w:val="center"/>
                    <w:rPr>
                      <w:color w:val="auto"/>
                      <w:sz w:val="21"/>
                      <w:szCs w:val="21"/>
                    </w:rPr>
                  </w:pPr>
                  <w:r>
                    <w:rPr>
                      <w:rFonts w:hint="eastAsia"/>
                      <w:color w:val="auto"/>
                      <w:sz w:val="21"/>
                      <w:szCs w:val="21"/>
                    </w:rPr>
                    <w:t>《陕西省</w:t>
                  </w:r>
                  <w:r>
                    <w:rPr>
                      <w:rFonts w:hint="eastAsia"/>
                      <w:color w:val="auto"/>
                      <w:sz w:val="21"/>
                      <w:szCs w:val="21"/>
                      <w:lang w:eastAsia="zh-CN"/>
                    </w:rPr>
                    <w:t>“</w:t>
                  </w:r>
                  <w:r>
                    <w:rPr>
                      <w:rFonts w:hint="eastAsia"/>
                      <w:color w:val="auto"/>
                      <w:sz w:val="21"/>
                      <w:szCs w:val="21"/>
                    </w:rPr>
                    <w:t>十四五</w:t>
                  </w:r>
                  <w:r>
                    <w:rPr>
                      <w:rFonts w:hint="eastAsia"/>
                      <w:color w:val="auto"/>
                      <w:sz w:val="21"/>
                      <w:szCs w:val="21"/>
                      <w:lang w:eastAsia="zh-CN"/>
                    </w:rPr>
                    <w:t>“</w:t>
                  </w:r>
                  <w:r>
                    <w:rPr>
                      <w:rFonts w:hint="eastAsia"/>
                      <w:color w:val="auto"/>
                      <w:sz w:val="21"/>
                      <w:szCs w:val="21"/>
                    </w:rPr>
                    <w:t>生态环境保护规划》的通知（陕政办发〔2021〕25号）</w:t>
                  </w:r>
                </w:p>
              </w:tc>
              <w:tc>
                <w:tcPr>
                  <w:tcW w:w="3496" w:type="dxa"/>
                  <w:noWrap w:val="0"/>
                  <w:vAlign w:val="center"/>
                </w:tcPr>
                <w:p w14:paraId="5C3C1DE9">
                  <w:pPr>
                    <w:autoSpaceDE w:val="0"/>
                    <w:adjustRightInd w:val="0"/>
                    <w:snapToGrid w:val="0"/>
                    <w:ind w:firstLine="420" w:firstLineChars="20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rPr>
                    <w:t>关中地区进一步推进地热能供热的可持续、规模化应用，打造地热能供热产业高质量发展样板。加速能源体系清洁低碳发展进程，壮大风电、太阳能、氢能、生物质能、地热能等可再生资源产业。</w:t>
                  </w:r>
                </w:p>
              </w:tc>
              <w:tc>
                <w:tcPr>
                  <w:tcW w:w="2405" w:type="dxa"/>
                  <w:vMerge w:val="restart"/>
                  <w:noWrap w:val="0"/>
                  <w:vAlign w:val="center"/>
                </w:tcPr>
                <w:p w14:paraId="3DF16C86">
                  <w:pPr>
                    <w:autoSpaceDE w:val="0"/>
                    <w:adjustRightInd w:val="0"/>
                    <w:snapToGrid w:val="0"/>
                    <w:ind w:firstLine="420" w:firstLineChars="20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项目已建</w:t>
                  </w:r>
                  <w:r>
                    <w:rPr>
                      <w:rFonts w:hint="eastAsia" w:ascii="Times New Roman" w:hAnsi="Times New Roman" w:eastAsia="宋体" w:cs="Times New Roman"/>
                      <w:color w:val="auto"/>
                      <w:sz w:val="21"/>
                      <w:szCs w:val="21"/>
                    </w:rPr>
                    <w:t>地热开采井</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通过新建回灌井及其配套设施，对地热资源进行利用，同时尾水进行回灌，实现地热资源的可持续利用</w:t>
                  </w:r>
                </w:p>
              </w:tc>
              <w:tc>
                <w:tcPr>
                  <w:tcW w:w="475" w:type="dxa"/>
                  <w:noWrap w:val="0"/>
                  <w:vAlign w:val="center"/>
                </w:tcPr>
                <w:p w14:paraId="6E6C1DCA">
                  <w:pPr>
                    <w:autoSpaceDE w:val="0"/>
                    <w:autoSpaceDN w:val="0"/>
                    <w:adjustRightInd w:val="0"/>
                    <w:snapToGrid w:val="0"/>
                    <w:jc w:val="center"/>
                    <w:rPr>
                      <w:color w:val="auto"/>
                      <w:sz w:val="21"/>
                      <w:szCs w:val="21"/>
                    </w:rPr>
                  </w:pPr>
                  <w:r>
                    <w:rPr>
                      <w:rFonts w:hint="eastAsia"/>
                      <w:color w:val="auto"/>
                      <w:sz w:val="21"/>
                      <w:szCs w:val="21"/>
                    </w:rPr>
                    <w:t>符合</w:t>
                  </w:r>
                </w:p>
              </w:tc>
            </w:tr>
            <w:tr w14:paraId="177750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noWrap w:val="0"/>
                  <w:vAlign w:val="center"/>
                </w:tcPr>
                <w:p w14:paraId="59828637">
                  <w:pPr>
                    <w:autoSpaceDE w:val="0"/>
                    <w:autoSpaceDN w:val="0"/>
                    <w:adjustRightInd w:val="0"/>
                    <w:snapToGrid w:val="0"/>
                    <w:jc w:val="center"/>
                    <w:rPr>
                      <w:rFonts w:hint="eastAsia"/>
                      <w:color w:val="auto"/>
                      <w:kern w:val="2"/>
                      <w:sz w:val="21"/>
                      <w:szCs w:val="21"/>
                      <w:lang w:val="en-US" w:eastAsia="zh-CN" w:bidi="ar-SA"/>
                    </w:rPr>
                  </w:pPr>
                  <w:r>
                    <w:rPr>
                      <w:rFonts w:hint="eastAsia"/>
                      <w:color w:val="auto"/>
                      <w:szCs w:val="21"/>
                    </w:rPr>
                    <w:t>关于印发《西咸新区</w:t>
                  </w:r>
                  <w:r>
                    <w:rPr>
                      <w:rFonts w:hint="eastAsia"/>
                      <w:color w:val="auto"/>
                      <w:szCs w:val="21"/>
                      <w:lang w:eastAsia="zh-CN"/>
                    </w:rPr>
                    <w:t>“</w:t>
                  </w:r>
                  <w:r>
                    <w:rPr>
                      <w:rFonts w:hint="eastAsia"/>
                      <w:color w:val="auto"/>
                      <w:szCs w:val="21"/>
                    </w:rPr>
                    <w:t>十四五</w:t>
                  </w:r>
                  <w:r>
                    <w:rPr>
                      <w:rFonts w:hint="eastAsia"/>
                      <w:color w:val="auto"/>
                      <w:szCs w:val="21"/>
                      <w:lang w:eastAsia="zh-CN"/>
                    </w:rPr>
                    <w:t>“</w:t>
                  </w:r>
                  <w:r>
                    <w:rPr>
                      <w:rFonts w:hint="eastAsia"/>
                      <w:color w:val="auto"/>
                      <w:szCs w:val="21"/>
                    </w:rPr>
                    <w:t>生态环境保护规划》的通知（陕西咸〔2021〕4号）</w:t>
                  </w:r>
                </w:p>
              </w:tc>
              <w:tc>
                <w:tcPr>
                  <w:tcW w:w="3496" w:type="dxa"/>
                  <w:noWrap w:val="0"/>
                  <w:vAlign w:val="center"/>
                </w:tcPr>
                <w:p w14:paraId="31D7D571">
                  <w:pPr>
                    <w:autoSpaceDE w:val="0"/>
                    <w:adjustRightInd w:val="0"/>
                    <w:snapToGrid w:val="0"/>
                    <w:ind w:firstLine="420" w:firstLineChars="200"/>
                    <w:rPr>
                      <w:rFonts w:hint="eastAsia" w:ascii="Times New Roman" w:hAnsi="Times New Roman" w:eastAsia="宋体" w:cs="Times New Roman"/>
                      <w:color w:val="auto"/>
                      <w:kern w:val="2"/>
                      <w:sz w:val="21"/>
                      <w:szCs w:val="21"/>
                      <w:lang w:val="en-US" w:eastAsia="zh-CN" w:bidi="ar-SA"/>
                    </w:rPr>
                  </w:pPr>
                  <w:r>
                    <w:rPr>
                      <w:rFonts w:hint="eastAsia"/>
                      <w:color w:val="auto"/>
                      <w:szCs w:val="21"/>
                    </w:rPr>
                    <w:t>提升能源结构清洁低碳水平。严格实施煤炭消费减量替代，实现煤炭消费总量负增长。加速能源体系清洁低碳发展进程，积极发展太阳能光伏、生物质能、地热能、氢能等新能源。</w:t>
                  </w:r>
                </w:p>
              </w:tc>
              <w:tc>
                <w:tcPr>
                  <w:tcW w:w="2405" w:type="dxa"/>
                  <w:vMerge w:val="continue"/>
                  <w:noWrap w:val="0"/>
                  <w:vAlign w:val="center"/>
                </w:tcPr>
                <w:p w14:paraId="4E68B947">
                  <w:pPr>
                    <w:autoSpaceDE w:val="0"/>
                    <w:adjustRightInd w:val="0"/>
                    <w:snapToGrid w:val="0"/>
                    <w:ind w:firstLine="420" w:firstLineChars="200"/>
                    <w:rPr>
                      <w:rFonts w:hint="eastAsia" w:ascii="Times New Roman" w:hAnsi="Times New Roman" w:eastAsia="宋体" w:cs="Times New Roman"/>
                      <w:color w:val="auto"/>
                      <w:sz w:val="21"/>
                      <w:szCs w:val="21"/>
                    </w:rPr>
                  </w:pPr>
                </w:p>
              </w:tc>
              <w:tc>
                <w:tcPr>
                  <w:tcW w:w="475" w:type="dxa"/>
                  <w:noWrap w:val="0"/>
                  <w:vAlign w:val="center"/>
                </w:tcPr>
                <w:p w14:paraId="054EECE7">
                  <w:pPr>
                    <w:autoSpaceDE w:val="0"/>
                    <w:autoSpaceDN w:val="0"/>
                    <w:adjustRightInd w:val="0"/>
                    <w:snapToGrid w:val="0"/>
                    <w:jc w:val="center"/>
                    <w:rPr>
                      <w:rFonts w:hint="default"/>
                      <w:color w:val="auto"/>
                      <w:sz w:val="21"/>
                      <w:szCs w:val="21"/>
                      <w:lang w:val="en-US" w:eastAsia="zh-CN"/>
                    </w:rPr>
                  </w:pPr>
                  <w:r>
                    <w:rPr>
                      <w:rFonts w:hint="eastAsia"/>
                      <w:color w:val="auto"/>
                      <w:sz w:val="21"/>
                      <w:szCs w:val="21"/>
                      <w:lang w:val="en-US" w:eastAsia="zh-CN"/>
                    </w:rPr>
                    <w:t>符合</w:t>
                  </w:r>
                </w:p>
              </w:tc>
            </w:tr>
            <w:tr w14:paraId="6D3BDA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noWrap w:val="0"/>
                  <w:vAlign w:val="center"/>
                </w:tcPr>
                <w:p w14:paraId="0FB96C80">
                  <w:pPr>
                    <w:autoSpaceDE w:val="0"/>
                    <w:autoSpaceDN w:val="0"/>
                    <w:adjustRightInd w:val="0"/>
                    <w:snapToGrid w:val="0"/>
                    <w:jc w:val="center"/>
                    <w:rPr>
                      <w:rFonts w:hint="eastAsia"/>
                      <w:color w:val="auto"/>
                      <w:szCs w:val="21"/>
                    </w:rPr>
                  </w:pPr>
                  <w:r>
                    <w:rPr>
                      <w:rFonts w:hint="eastAsia"/>
                      <w:color w:val="auto"/>
                      <w:szCs w:val="21"/>
                    </w:rPr>
                    <w:t>陕西省住房和城乡建设厅关于印发《关于发展地热能供热的实施意见》的通知（陕建发﹝2018﹞2号）</w:t>
                  </w:r>
                </w:p>
              </w:tc>
              <w:tc>
                <w:tcPr>
                  <w:tcW w:w="3496" w:type="dxa"/>
                  <w:noWrap w:val="0"/>
                  <w:vAlign w:val="center"/>
                </w:tcPr>
                <w:p w14:paraId="507D9A22">
                  <w:pPr>
                    <w:autoSpaceDE w:val="0"/>
                    <w:adjustRightInd w:val="0"/>
                    <w:snapToGrid w:val="0"/>
                    <w:ind w:firstLine="420" w:firstLineChars="200"/>
                    <w:rPr>
                      <w:rFonts w:hint="eastAsia"/>
                      <w:color w:val="auto"/>
                      <w:szCs w:val="21"/>
                    </w:rPr>
                  </w:pPr>
                  <w:r>
                    <w:rPr>
                      <w:rFonts w:hint="eastAsia"/>
                      <w:color w:val="auto"/>
                      <w:szCs w:val="21"/>
                    </w:rPr>
                    <w:t>宝鸡、咸阳、渭南、铜川、西咸要积极发展中深层地埋管、地热水等清洁供热技术。科学开发中深层地热资源。中深层地埋管供热，要加强对地下水质、水层的保护，做到分层止水，保障地下水资源安全。地热水供热，要坚持</w:t>
                  </w:r>
                  <w:r>
                    <w:rPr>
                      <w:rFonts w:hint="eastAsia"/>
                      <w:color w:val="auto"/>
                      <w:szCs w:val="21"/>
                      <w:lang w:eastAsia="zh-CN"/>
                    </w:rPr>
                    <w:t>“</w:t>
                  </w:r>
                  <w:r>
                    <w:rPr>
                      <w:rFonts w:hint="eastAsia"/>
                      <w:color w:val="auto"/>
                      <w:szCs w:val="21"/>
                    </w:rPr>
                    <w:t>采灌均衡、间接换热、分层开采</w:t>
                  </w:r>
                  <w:r>
                    <w:rPr>
                      <w:rFonts w:hint="eastAsia"/>
                      <w:color w:val="auto"/>
                      <w:szCs w:val="21"/>
                      <w:lang w:eastAsia="zh-CN"/>
                    </w:rPr>
                    <w:t>“</w:t>
                  </w:r>
                  <w:r>
                    <w:rPr>
                      <w:rFonts w:hint="eastAsia"/>
                      <w:color w:val="auto"/>
                      <w:szCs w:val="21"/>
                    </w:rPr>
                    <w:t>的清洁利用方式，以实现地热水资源的可持续利用为目标，合理井点布局，适度开发。</w:t>
                  </w:r>
                </w:p>
              </w:tc>
              <w:tc>
                <w:tcPr>
                  <w:tcW w:w="2405" w:type="dxa"/>
                  <w:noWrap w:val="0"/>
                  <w:vAlign w:val="center"/>
                </w:tcPr>
                <w:p w14:paraId="3E1A5B2E">
                  <w:pPr>
                    <w:autoSpaceDE w:val="0"/>
                    <w:adjustRightInd w:val="0"/>
                    <w:snapToGrid w:val="0"/>
                    <w:ind w:firstLine="420" w:firstLineChars="20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项目已建</w:t>
                  </w:r>
                  <w:r>
                    <w:rPr>
                      <w:rFonts w:hint="eastAsia" w:ascii="Times New Roman" w:hAnsi="Times New Roman" w:eastAsia="宋体" w:cs="Times New Roman"/>
                      <w:color w:val="auto"/>
                      <w:sz w:val="21"/>
                      <w:szCs w:val="21"/>
                    </w:rPr>
                    <w:t>地热开采井</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通过新建回灌井及其配套设施，可确保地热供暖实现</w:t>
                  </w:r>
                  <w:r>
                    <w:rPr>
                      <w:rFonts w:hint="eastAsia" w:cs="Times New Roman"/>
                      <w:color w:val="auto"/>
                      <w:sz w:val="21"/>
                      <w:szCs w:val="21"/>
                      <w:lang w:eastAsia="zh-CN"/>
                    </w:rPr>
                    <w:t>“</w:t>
                  </w:r>
                  <w:r>
                    <w:rPr>
                      <w:rFonts w:hint="eastAsia" w:ascii="Times New Roman" w:hAnsi="Times New Roman" w:eastAsia="宋体" w:cs="Times New Roman"/>
                      <w:color w:val="auto"/>
                      <w:sz w:val="21"/>
                      <w:szCs w:val="21"/>
                    </w:rPr>
                    <w:t>采灌均衡、间接换热、分层开采</w:t>
                  </w:r>
                  <w:r>
                    <w:rPr>
                      <w:rFonts w:hint="eastAsia" w:cs="Times New Roman"/>
                      <w:color w:val="auto"/>
                      <w:sz w:val="21"/>
                      <w:szCs w:val="21"/>
                      <w:lang w:eastAsia="zh-CN"/>
                    </w:rPr>
                    <w:t>“</w:t>
                  </w:r>
                  <w:r>
                    <w:rPr>
                      <w:rFonts w:hint="eastAsia" w:ascii="Times New Roman" w:hAnsi="Times New Roman" w:eastAsia="宋体" w:cs="Times New Roman"/>
                      <w:color w:val="auto"/>
                      <w:sz w:val="21"/>
                      <w:szCs w:val="21"/>
                    </w:rPr>
                    <w:t>的清洁利用方式，可满足同层等量回灌要求</w:t>
                  </w:r>
                </w:p>
              </w:tc>
              <w:tc>
                <w:tcPr>
                  <w:tcW w:w="475" w:type="dxa"/>
                  <w:noWrap w:val="0"/>
                  <w:vAlign w:val="center"/>
                </w:tcPr>
                <w:p w14:paraId="44B8907F">
                  <w:pPr>
                    <w:autoSpaceDE w:val="0"/>
                    <w:autoSpaceDN w:val="0"/>
                    <w:adjustRightInd w:val="0"/>
                    <w:snapToGrid w:val="0"/>
                    <w:jc w:val="center"/>
                    <w:rPr>
                      <w:rFonts w:hint="default"/>
                      <w:color w:val="auto"/>
                      <w:sz w:val="21"/>
                      <w:szCs w:val="21"/>
                      <w:lang w:val="en-US" w:eastAsia="zh-CN"/>
                    </w:rPr>
                  </w:pPr>
                  <w:r>
                    <w:rPr>
                      <w:rFonts w:hint="eastAsia"/>
                      <w:color w:val="auto"/>
                      <w:sz w:val="21"/>
                      <w:szCs w:val="21"/>
                      <w:lang w:val="en-US" w:eastAsia="zh-CN"/>
                    </w:rPr>
                    <w:t>符合</w:t>
                  </w:r>
                </w:p>
              </w:tc>
            </w:tr>
            <w:tr w14:paraId="5B24E3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Merge w:val="restart"/>
                  <w:noWrap w:val="0"/>
                  <w:vAlign w:val="center"/>
                </w:tcPr>
                <w:p w14:paraId="3338A1FF">
                  <w:pPr>
                    <w:autoSpaceDE w:val="0"/>
                    <w:autoSpaceDN w:val="0"/>
                    <w:adjustRightInd w:val="0"/>
                    <w:snapToGrid w:val="0"/>
                    <w:jc w:val="center"/>
                    <w:rPr>
                      <w:rFonts w:hint="eastAsia"/>
                      <w:color w:val="auto"/>
                      <w:szCs w:val="21"/>
                    </w:rPr>
                  </w:pPr>
                  <w:r>
                    <w:rPr>
                      <w:rFonts w:hint="eastAsia"/>
                      <w:color w:val="auto"/>
                      <w:szCs w:val="21"/>
                    </w:rPr>
                    <w:t>《地下水管理条例》（中华人民共和国务院令 第748号）</w:t>
                  </w:r>
                </w:p>
              </w:tc>
              <w:tc>
                <w:tcPr>
                  <w:tcW w:w="3496" w:type="dxa"/>
                  <w:noWrap w:val="0"/>
                  <w:vAlign w:val="center"/>
                </w:tcPr>
                <w:p w14:paraId="570F6165">
                  <w:pPr>
                    <w:autoSpaceDE w:val="0"/>
                    <w:adjustRightInd w:val="0"/>
                    <w:snapToGrid w:val="0"/>
                    <w:ind w:firstLine="420" w:firstLineChars="200"/>
                    <w:rPr>
                      <w:rFonts w:hint="eastAsia"/>
                      <w:color w:val="auto"/>
                      <w:szCs w:val="21"/>
                    </w:rPr>
                  </w:pPr>
                  <w:r>
                    <w:rPr>
                      <w:rFonts w:hint="eastAsia"/>
                      <w:color w:val="auto"/>
                      <w:szCs w:val="21"/>
                    </w:rPr>
                    <w:t>第六条 利用地下水的单位和个人应当加强地下水取水工程管理，节约、保护地下水，防止地下水污染。</w:t>
                  </w:r>
                </w:p>
              </w:tc>
              <w:tc>
                <w:tcPr>
                  <w:tcW w:w="2405" w:type="dxa"/>
                  <w:noWrap w:val="0"/>
                  <w:vAlign w:val="center"/>
                </w:tcPr>
                <w:p w14:paraId="6FF83411">
                  <w:pPr>
                    <w:autoSpaceDE w:val="0"/>
                    <w:adjustRightInd w:val="0"/>
                    <w:snapToGrid w:val="0"/>
                    <w:ind w:firstLine="420" w:firstLineChars="20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本项目取水过程中严格加强管理，项目地热换热尾水通过回灌井回灌到与生产井同层位地层内，地下水取水进行流量自动计量装置</w:t>
                  </w:r>
                </w:p>
              </w:tc>
              <w:tc>
                <w:tcPr>
                  <w:tcW w:w="475" w:type="dxa"/>
                  <w:noWrap w:val="0"/>
                  <w:vAlign w:val="center"/>
                </w:tcPr>
                <w:p w14:paraId="449AD564">
                  <w:pPr>
                    <w:autoSpaceDE w:val="0"/>
                    <w:autoSpaceDN w:val="0"/>
                    <w:adjustRightInd w:val="0"/>
                    <w:snapToGrid w:val="0"/>
                    <w:jc w:val="center"/>
                    <w:rPr>
                      <w:rFonts w:hint="default"/>
                      <w:color w:val="auto"/>
                      <w:sz w:val="21"/>
                      <w:szCs w:val="21"/>
                      <w:lang w:val="en-US" w:eastAsia="zh-CN"/>
                    </w:rPr>
                  </w:pPr>
                  <w:r>
                    <w:rPr>
                      <w:rFonts w:hint="eastAsia"/>
                      <w:color w:val="auto"/>
                      <w:sz w:val="21"/>
                      <w:szCs w:val="21"/>
                      <w:lang w:val="en-US" w:eastAsia="zh-CN"/>
                    </w:rPr>
                    <w:t>符合</w:t>
                  </w:r>
                </w:p>
              </w:tc>
            </w:tr>
            <w:tr w14:paraId="12EC6E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Merge w:val="continue"/>
                  <w:noWrap w:val="0"/>
                  <w:vAlign w:val="center"/>
                </w:tcPr>
                <w:p w14:paraId="60CCD12F">
                  <w:pPr>
                    <w:autoSpaceDE w:val="0"/>
                    <w:autoSpaceDN w:val="0"/>
                    <w:adjustRightInd w:val="0"/>
                    <w:snapToGrid w:val="0"/>
                    <w:jc w:val="center"/>
                    <w:rPr>
                      <w:rFonts w:hint="eastAsia"/>
                      <w:color w:val="auto"/>
                      <w:szCs w:val="21"/>
                    </w:rPr>
                  </w:pPr>
                </w:p>
              </w:tc>
              <w:tc>
                <w:tcPr>
                  <w:tcW w:w="3496" w:type="dxa"/>
                  <w:noWrap w:val="0"/>
                  <w:vAlign w:val="center"/>
                </w:tcPr>
                <w:p w14:paraId="235B3B89">
                  <w:pPr>
                    <w:autoSpaceDE w:val="0"/>
                    <w:adjustRightInd w:val="0"/>
                    <w:snapToGrid w:val="0"/>
                    <w:ind w:firstLine="420" w:firstLineChars="200"/>
                    <w:rPr>
                      <w:rFonts w:hint="eastAsia"/>
                      <w:color w:val="auto"/>
                      <w:szCs w:val="21"/>
                    </w:rPr>
                  </w:pPr>
                  <w:r>
                    <w:rPr>
                      <w:rFonts w:hint="eastAsia"/>
                      <w:color w:val="auto"/>
                      <w:szCs w:val="21"/>
                    </w:rPr>
                    <w:t>第五十一条 县级以上地方人民政府水行政主管部门应当会同本级人民政府自然资源等主管部门，根据水文地质条件和地下水保护要求，划定需要取水的地热能开发利用项目的禁止和限制取水范围。</w:t>
                  </w:r>
                </w:p>
                <w:p w14:paraId="7F8E8AD5">
                  <w:pPr>
                    <w:autoSpaceDE w:val="0"/>
                    <w:adjustRightInd w:val="0"/>
                    <w:snapToGrid w:val="0"/>
                    <w:ind w:firstLine="420" w:firstLineChars="200"/>
                    <w:rPr>
                      <w:rFonts w:hint="eastAsia"/>
                      <w:color w:val="auto"/>
                      <w:szCs w:val="21"/>
                    </w:rPr>
                  </w:pPr>
                  <w:r>
                    <w:rPr>
                      <w:rFonts w:hint="eastAsia"/>
                      <w:color w:val="auto"/>
                      <w:szCs w:val="21"/>
                    </w:rPr>
                    <w:t>禁止在集中式地下水饮用水水源地建设需要取水的地热能开发利用项目。禁止抽取难以更新的地下水用于需要取水的地热能开发利用项目。</w:t>
                  </w:r>
                </w:p>
                <w:p w14:paraId="540129FC">
                  <w:pPr>
                    <w:autoSpaceDE w:val="0"/>
                    <w:adjustRightInd w:val="0"/>
                    <w:snapToGrid w:val="0"/>
                    <w:ind w:firstLine="420" w:firstLineChars="200"/>
                    <w:rPr>
                      <w:rFonts w:hint="eastAsia"/>
                      <w:color w:val="auto"/>
                      <w:szCs w:val="21"/>
                    </w:rPr>
                  </w:pPr>
                  <w:r>
                    <w:rPr>
                      <w:rFonts w:hint="eastAsia"/>
                      <w:color w:val="auto"/>
                      <w:szCs w:val="21"/>
                    </w:rPr>
                    <w:t>建设需要取水的地热能开发利用项目，应当对取水和回灌进行计量，实行同一含水层等量取水和回灌，不得对地下水造成污染。达到取水规模以上的，应当安装取水和回灌在线计量设施，并将计量数据实时传输到有管理权限的水行政主管部门。取水规模由省、自治区、直辖市人民政府水行政主管部门制定、公布。</w:t>
                  </w:r>
                </w:p>
              </w:tc>
              <w:tc>
                <w:tcPr>
                  <w:tcW w:w="2405" w:type="dxa"/>
                  <w:noWrap w:val="0"/>
                  <w:vAlign w:val="center"/>
                </w:tcPr>
                <w:p w14:paraId="2FA7BC9F">
                  <w:pPr>
                    <w:autoSpaceDE w:val="0"/>
                    <w:adjustRightInd w:val="0"/>
                    <w:snapToGrid w:val="0"/>
                    <w:ind w:firstLine="420" w:firstLineChars="20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本项目不在禁止和限制的取水范围内，不在集中式地下水饮用水水源地内建设，已建</w:t>
                  </w:r>
                  <w:r>
                    <w:rPr>
                      <w:rFonts w:hint="eastAsia" w:ascii="Times New Roman" w:hAnsi="Times New Roman" w:eastAsia="宋体" w:cs="Times New Roman"/>
                      <w:color w:val="auto"/>
                      <w:sz w:val="21"/>
                      <w:szCs w:val="21"/>
                    </w:rPr>
                    <w:t>地热开采井</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通过新建回灌井及其配套设施，</w:t>
                  </w:r>
                  <w:r>
                    <w:rPr>
                      <w:rFonts w:hint="eastAsia" w:ascii="Times New Roman" w:hAnsi="Times New Roman" w:eastAsia="宋体" w:cs="Times New Roman"/>
                      <w:color w:val="auto"/>
                      <w:sz w:val="21"/>
                      <w:szCs w:val="21"/>
                      <w:lang w:val="en-US" w:eastAsia="zh-CN"/>
                    </w:rPr>
                    <w:t>可确保地热供暖实现</w:t>
                  </w:r>
                  <w:r>
                    <w:rPr>
                      <w:rFonts w:hint="eastAsia"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采灌均衡、间接换热、分层开采</w:t>
                  </w:r>
                  <w:r>
                    <w:rPr>
                      <w:rFonts w:hint="eastAsia"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的清洁利用方式，对生产井和回灌井安装抽水回灌自动计量表，确保同层等量回灌</w:t>
                  </w:r>
                </w:p>
              </w:tc>
              <w:tc>
                <w:tcPr>
                  <w:tcW w:w="475" w:type="dxa"/>
                  <w:noWrap w:val="0"/>
                  <w:vAlign w:val="center"/>
                </w:tcPr>
                <w:p w14:paraId="04CC3C42">
                  <w:pPr>
                    <w:autoSpaceDE w:val="0"/>
                    <w:autoSpaceDN w:val="0"/>
                    <w:adjustRightInd w:val="0"/>
                    <w:snapToGrid w:val="0"/>
                    <w:jc w:val="center"/>
                    <w:rPr>
                      <w:rFonts w:hint="default"/>
                      <w:color w:val="auto"/>
                      <w:sz w:val="21"/>
                      <w:szCs w:val="21"/>
                      <w:lang w:val="en-US" w:eastAsia="zh-CN"/>
                    </w:rPr>
                  </w:pPr>
                  <w:r>
                    <w:rPr>
                      <w:rFonts w:hint="eastAsia"/>
                      <w:color w:val="auto"/>
                      <w:sz w:val="21"/>
                      <w:szCs w:val="21"/>
                      <w:lang w:val="en-US" w:eastAsia="zh-CN"/>
                    </w:rPr>
                    <w:t>符合</w:t>
                  </w:r>
                </w:p>
              </w:tc>
            </w:tr>
            <w:tr w14:paraId="5CAC90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noWrap w:val="0"/>
                  <w:vAlign w:val="center"/>
                </w:tcPr>
                <w:p w14:paraId="72EB5397">
                  <w:pPr>
                    <w:autoSpaceDE w:val="0"/>
                    <w:autoSpaceDN w:val="0"/>
                    <w:adjustRightInd w:val="0"/>
                    <w:snapToGrid w:val="0"/>
                    <w:jc w:val="center"/>
                    <w:rPr>
                      <w:color w:val="auto"/>
                      <w:sz w:val="21"/>
                      <w:szCs w:val="21"/>
                    </w:rPr>
                  </w:pPr>
                  <w:r>
                    <w:rPr>
                      <w:rFonts w:hint="eastAsia"/>
                      <w:color w:val="auto"/>
                      <w:sz w:val="21"/>
                      <w:szCs w:val="21"/>
                    </w:rPr>
                    <w:t>《陕西省大气污染治理专项行动方案（2023-2027年）》（陕发〔2023〕4号）</w:t>
                  </w:r>
                </w:p>
              </w:tc>
              <w:tc>
                <w:tcPr>
                  <w:tcW w:w="3496" w:type="dxa"/>
                  <w:noWrap w:val="0"/>
                  <w:vAlign w:val="center"/>
                </w:tcPr>
                <w:p w14:paraId="1598CAD6">
                  <w:pPr>
                    <w:autoSpaceDE w:val="0"/>
                    <w:autoSpaceDN w:val="0"/>
                    <w:adjustRightInd w:val="0"/>
                    <w:snapToGrid w:val="0"/>
                    <w:ind w:firstLine="420" w:firstLineChars="20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rPr>
                    <w:t>城市供热结构调整。不再新建燃煤集中供热站。新建居民住宅、商业综合体等必须使用清洁化能源取暖。</w:t>
                  </w:r>
                </w:p>
              </w:tc>
              <w:tc>
                <w:tcPr>
                  <w:tcW w:w="2405" w:type="dxa"/>
                  <w:noWrap w:val="0"/>
                  <w:vAlign w:val="center"/>
                </w:tcPr>
                <w:p w14:paraId="0855A5DD">
                  <w:pPr>
                    <w:autoSpaceDE w:val="0"/>
                    <w:autoSpaceDN w:val="0"/>
                    <w:adjustRightInd w:val="0"/>
                    <w:snapToGrid w:val="0"/>
                    <w:ind w:firstLine="420" w:firstLineChars="20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rPr>
                    <w:t>本项目</w:t>
                  </w:r>
                  <w:r>
                    <w:rPr>
                      <w:rFonts w:hint="eastAsia" w:ascii="Times New Roman" w:hAnsi="Times New Roman" w:eastAsia="宋体" w:cs="Times New Roman"/>
                      <w:color w:val="auto"/>
                      <w:sz w:val="21"/>
                      <w:szCs w:val="21"/>
                      <w:lang w:val="en-US" w:eastAsia="zh-CN"/>
                    </w:rPr>
                    <w:t>属于地热供暖项目，</w:t>
                  </w:r>
                  <w:r>
                    <w:rPr>
                      <w:rFonts w:hint="eastAsia" w:ascii="Times New Roman" w:hAnsi="Times New Roman" w:eastAsia="宋体" w:cs="Times New Roman"/>
                      <w:color w:val="auto"/>
                      <w:sz w:val="21"/>
                      <w:szCs w:val="21"/>
                    </w:rPr>
                    <w:t>属于清洁能源</w:t>
                  </w:r>
                  <w:r>
                    <w:rPr>
                      <w:rFonts w:hint="eastAsia" w:ascii="Times New Roman" w:hAnsi="Times New Roman" w:eastAsia="宋体" w:cs="Times New Roman"/>
                      <w:color w:val="auto"/>
                      <w:sz w:val="21"/>
                      <w:szCs w:val="21"/>
                      <w:lang w:eastAsia="zh-CN"/>
                    </w:rPr>
                    <w:t>，</w:t>
                  </w:r>
                  <w:r>
                    <w:rPr>
                      <w:rFonts w:hint="eastAsia"/>
                      <w:color w:val="auto"/>
                      <w:kern w:val="21"/>
                      <w:sz w:val="21"/>
                      <w:szCs w:val="21"/>
                      <w:lang w:eastAsia="zh-CN"/>
                    </w:rPr>
                    <w:t>为</w:t>
                  </w:r>
                  <w:r>
                    <w:rPr>
                      <w:rFonts w:hint="eastAsia"/>
                      <w:color w:val="auto"/>
                      <w:kern w:val="21"/>
                      <w:sz w:val="21"/>
                      <w:szCs w:val="21"/>
                      <w:lang w:val="en-US" w:eastAsia="zh-CN"/>
                    </w:rPr>
                    <w:t>小</w:t>
                  </w:r>
                  <w:r>
                    <w:rPr>
                      <w:rFonts w:hint="eastAsia"/>
                      <w:color w:val="auto"/>
                      <w:kern w:val="21"/>
                      <w:sz w:val="21"/>
                      <w:szCs w:val="21"/>
                      <w:lang w:eastAsia="zh-CN"/>
                    </w:rPr>
                    <w:t>区居民生活的配套设施</w:t>
                  </w:r>
                </w:p>
              </w:tc>
              <w:tc>
                <w:tcPr>
                  <w:tcW w:w="475" w:type="dxa"/>
                  <w:noWrap w:val="0"/>
                  <w:vAlign w:val="center"/>
                </w:tcPr>
                <w:p w14:paraId="1AE8D3DD">
                  <w:pPr>
                    <w:autoSpaceDE w:val="0"/>
                    <w:autoSpaceDN w:val="0"/>
                    <w:adjustRightInd w:val="0"/>
                    <w:snapToGrid w:val="0"/>
                    <w:jc w:val="center"/>
                    <w:rPr>
                      <w:rFonts w:hint="eastAsia"/>
                      <w:color w:val="auto"/>
                      <w:sz w:val="21"/>
                      <w:szCs w:val="21"/>
                    </w:rPr>
                  </w:pPr>
                  <w:r>
                    <w:rPr>
                      <w:rFonts w:hint="eastAsia"/>
                      <w:color w:val="auto"/>
                      <w:sz w:val="21"/>
                      <w:szCs w:val="21"/>
                    </w:rPr>
                    <w:t>符合</w:t>
                  </w:r>
                </w:p>
              </w:tc>
            </w:tr>
            <w:tr w14:paraId="210CFA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noWrap w:val="0"/>
                  <w:vAlign w:val="center"/>
                </w:tcPr>
                <w:p w14:paraId="6A69C49C">
                  <w:pPr>
                    <w:autoSpaceDE w:val="0"/>
                    <w:autoSpaceDN w:val="0"/>
                    <w:adjustRightInd w:val="0"/>
                    <w:snapToGrid w:val="0"/>
                    <w:jc w:val="center"/>
                    <w:rPr>
                      <w:rFonts w:hint="eastAsia"/>
                      <w:color w:val="auto"/>
                      <w:sz w:val="21"/>
                      <w:szCs w:val="21"/>
                    </w:rPr>
                  </w:pPr>
                  <w:r>
                    <w:rPr>
                      <w:rFonts w:hint="eastAsia"/>
                      <w:color w:val="auto"/>
                      <w:sz w:val="21"/>
                      <w:szCs w:val="21"/>
                    </w:rPr>
                    <w:t>《西咸新区大气污染治理专项行动方案（2023-2027年）》（陕西咸党发〔2023〕4号）</w:t>
                  </w:r>
                </w:p>
              </w:tc>
              <w:tc>
                <w:tcPr>
                  <w:tcW w:w="3496" w:type="dxa"/>
                  <w:noWrap w:val="0"/>
                  <w:vAlign w:val="center"/>
                </w:tcPr>
                <w:p w14:paraId="6B65CD0D">
                  <w:pPr>
                    <w:autoSpaceDE w:val="0"/>
                    <w:autoSpaceDN w:val="0"/>
                    <w:adjustRightInd w:val="0"/>
                    <w:snapToGrid w:val="0"/>
                    <w:ind w:firstLine="420" w:firstLineChars="200"/>
                    <w:rPr>
                      <w:rFonts w:hint="eastAsia"/>
                      <w:color w:val="auto"/>
                      <w:kern w:val="2"/>
                      <w:sz w:val="21"/>
                      <w:szCs w:val="21"/>
                      <w:lang w:val="en-US" w:eastAsia="zh-CN" w:bidi="ar-SA"/>
                    </w:rPr>
                  </w:pPr>
                  <w:r>
                    <w:rPr>
                      <w:rFonts w:hint="default" w:ascii="Times New Roman" w:hAnsi="Times New Roman" w:cs="Times New Roman"/>
                      <w:bCs/>
                      <w:snapToGrid w:val="0"/>
                      <w:color w:val="auto"/>
                      <w:sz w:val="21"/>
                      <w:szCs w:val="21"/>
                      <w:lang w:val="en-US" w:eastAsia="zh-CN"/>
                    </w:rPr>
                    <w:t>大力发展清洁取暖方式。大力推广新区中深层无干扰地热供热模式。2023年起，新建居民住宅、商业综合体等必须使用清洁能源取暖。持续推进用户侧建筑能效提升改造、供热管网保温及智能调控改造。探索光伏发电在清洁取暖等方面的试点应用。</w:t>
                  </w:r>
                </w:p>
              </w:tc>
              <w:tc>
                <w:tcPr>
                  <w:tcW w:w="2405" w:type="dxa"/>
                  <w:noWrap w:val="0"/>
                  <w:vAlign w:val="center"/>
                </w:tcPr>
                <w:p w14:paraId="33AFF771">
                  <w:pPr>
                    <w:autoSpaceDE w:val="0"/>
                    <w:autoSpaceDN w:val="0"/>
                    <w:adjustRightInd w:val="0"/>
                    <w:snapToGrid w:val="0"/>
                    <w:rPr>
                      <w:rFonts w:hint="eastAsia"/>
                      <w:color w:val="auto"/>
                      <w:kern w:val="2"/>
                      <w:sz w:val="21"/>
                      <w:szCs w:val="21"/>
                      <w:lang w:val="en-US" w:eastAsia="zh-CN" w:bidi="ar-SA"/>
                    </w:rPr>
                  </w:pPr>
                  <w:r>
                    <w:rPr>
                      <w:rFonts w:hint="default" w:ascii="Times New Roman" w:hAnsi="Times New Roman" w:cs="Times New Roman"/>
                      <w:color w:val="auto"/>
                      <w:kern w:val="0"/>
                      <w:sz w:val="21"/>
                      <w:szCs w:val="21"/>
                    </w:rPr>
                    <w:t>本项目属于地热供暖项目，地热井垂深2</w:t>
                  </w:r>
                  <w:r>
                    <w:rPr>
                      <w:rFonts w:hint="eastAsia" w:ascii="Times New Roman" w:hAnsi="Times New Roman" w:cs="Times New Roman"/>
                      <w:color w:val="auto"/>
                      <w:kern w:val="0"/>
                      <w:sz w:val="21"/>
                      <w:szCs w:val="21"/>
                      <w:lang w:val="en-US" w:eastAsia="zh-CN"/>
                    </w:rPr>
                    <w:t>772.2</w:t>
                  </w:r>
                  <w:r>
                    <w:rPr>
                      <w:rFonts w:hint="default" w:ascii="Times New Roman" w:hAnsi="Times New Roman" w:cs="Times New Roman"/>
                      <w:color w:val="auto"/>
                      <w:kern w:val="0"/>
                      <w:sz w:val="21"/>
                      <w:szCs w:val="21"/>
                    </w:rPr>
                    <w:t>m，属于中深层地热能开发利用</w:t>
                  </w:r>
                </w:p>
              </w:tc>
              <w:tc>
                <w:tcPr>
                  <w:tcW w:w="475" w:type="dxa"/>
                  <w:noWrap w:val="0"/>
                  <w:vAlign w:val="center"/>
                </w:tcPr>
                <w:p w14:paraId="2629ACD4">
                  <w:pPr>
                    <w:autoSpaceDE w:val="0"/>
                    <w:autoSpaceDN w:val="0"/>
                    <w:adjustRightInd w:val="0"/>
                    <w:snapToGrid w:val="0"/>
                    <w:jc w:val="center"/>
                    <w:rPr>
                      <w:rFonts w:hint="eastAsia"/>
                      <w:color w:val="auto"/>
                      <w:kern w:val="2"/>
                      <w:sz w:val="21"/>
                      <w:szCs w:val="21"/>
                      <w:lang w:val="en-US" w:eastAsia="zh-CN" w:bidi="ar-SA"/>
                    </w:rPr>
                  </w:pPr>
                  <w:r>
                    <w:rPr>
                      <w:rFonts w:hint="eastAsia"/>
                      <w:color w:val="auto"/>
                      <w:sz w:val="21"/>
                      <w:szCs w:val="21"/>
                    </w:rPr>
                    <w:t>符合</w:t>
                  </w:r>
                </w:p>
              </w:tc>
            </w:tr>
            <w:tr w14:paraId="6772EF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noWrap w:val="0"/>
                  <w:vAlign w:val="center"/>
                </w:tcPr>
                <w:p w14:paraId="632F79C3">
                  <w:pPr>
                    <w:autoSpaceDE w:val="0"/>
                    <w:autoSpaceDN w:val="0"/>
                    <w:adjustRightInd w:val="0"/>
                    <w:snapToGrid w:val="0"/>
                    <w:jc w:val="center"/>
                    <w:rPr>
                      <w:rFonts w:hint="eastAsia"/>
                      <w:color w:val="auto"/>
                      <w:sz w:val="21"/>
                      <w:szCs w:val="21"/>
                    </w:rPr>
                  </w:pPr>
                  <w:r>
                    <w:rPr>
                      <w:rFonts w:hint="eastAsia"/>
                      <w:color w:val="auto"/>
                      <w:sz w:val="21"/>
                      <w:szCs w:val="21"/>
                      <w:lang w:eastAsia="zh-CN"/>
                    </w:rPr>
                    <w:t>《</w:t>
                  </w:r>
                  <w:r>
                    <w:rPr>
                      <w:rFonts w:hint="eastAsia"/>
                      <w:color w:val="auto"/>
                      <w:sz w:val="21"/>
                      <w:szCs w:val="21"/>
                    </w:rPr>
                    <w:t>西咸新区沣东新城大气污染治理专项行动方案</w:t>
                  </w:r>
                  <w:r>
                    <w:rPr>
                      <w:rFonts w:hint="eastAsia"/>
                      <w:color w:val="auto"/>
                      <w:sz w:val="21"/>
                      <w:szCs w:val="21"/>
                      <w:lang w:eastAsia="zh-CN"/>
                    </w:rPr>
                    <w:t>》</w:t>
                  </w:r>
                  <w:r>
                    <w:rPr>
                      <w:rFonts w:hint="eastAsia"/>
                      <w:color w:val="auto"/>
                      <w:sz w:val="21"/>
                      <w:szCs w:val="21"/>
                    </w:rPr>
                    <w:t>（2023-2027年）</w:t>
                  </w:r>
                </w:p>
              </w:tc>
              <w:tc>
                <w:tcPr>
                  <w:tcW w:w="3496" w:type="dxa"/>
                  <w:noWrap w:val="0"/>
                  <w:vAlign w:val="center"/>
                </w:tcPr>
                <w:p w14:paraId="423C31D0">
                  <w:pPr>
                    <w:autoSpaceDE w:val="0"/>
                    <w:autoSpaceDN w:val="0"/>
                    <w:adjustRightInd w:val="0"/>
                    <w:snapToGrid w:val="0"/>
                    <w:ind w:firstLine="420" w:firstLineChars="200"/>
                    <w:rPr>
                      <w:rFonts w:hint="default" w:ascii="Times New Roman" w:hAnsi="Times New Roman" w:cs="Times New Roman"/>
                      <w:bCs/>
                      <w:snapToGrid w:val="0"/>
                      <w:color w:val="auto"/>
                      <w:sz w:val="21"/>
                      <w:szCs w:val="21"/>
                      <w:lang w:val="en-US" w:eastAsia="zh-CN"/>
                    </w:rPr>
                  </w:pPr>
                  <w:r>
                    <w:rPr>
                      <w:rFonts w:hint="default" w:ascii="Times New Roman" w:hAnsi="Times New Roman" w:cs="Times New Roman"/>
                      <w:bCs/>
                      <w:snapToGrid w:val="0"/>
                      <w:color w:val="auto"/>
                      <w:sz w:val="21"/>
                      <w:szCs w:val="21"/>
                      <w:lang w:val="en-US" w:eastAsia="zh-CN"/>
                    </w:rPr>
                    <w:t>大力发展清洁取暖方式。大力推广中深层无干扰地热供热模式。2023年起，新建居民住宅、商业综合体等必须使用清洁能源取暖。持续推进用户侧建筑能效提升改造、供热管网保温及智能调控改造。探索光伏发电在清洁取暖等方面的试点应用。</w:t>
                  </w:r>
                </w:p>
              </w:tc>
              <w:tc>
                <w:tcPr>
                  <w:tcW w:w="2405" w:type="dxa"/>
                  <w:noWrap w:val="0"/>
                  <w:vAlign w:val="center"/>
                </w:tcPr>
                <w:p w14:paraId="7B540E4D">
                  <w:pPr>
                    <w:autoSpaceDE w:val="0"/>
                    <w:autoSpaceDN w:val="0"/>
                    <w:adjustRightInd w:val="0"/>
                    <w:snapToGrid w:val="0"/>
                    <w:rPr>
                      <w:rFonts w:hint="default"/>
                      <w:color w:val="auto"/>
                      <w:kern w:val="2"/>
                      <w:sz w:val="21"/>
                      <w:szCs w:val="21"/>
                      <w:lang w:val="en-US" w:eastAsia="zh-CN" w:bidi="ar-SA"/>
                    </w:rPr>
                  </w:pPr>
                  <w:r>
                    <w:rPr>
                      <w:rFonts w:hint="default" w:ascii="Times New Roman" w:hAnsi="Times New Roman" w:cs="Times New Roman"/>
                      <w:color w:val="auto"/>
                      <w:kern w:val="0"/>
                      <w:sz w:val="21"/>
                      <w:szCs w:val="21"/>
                    </w:rPr>
                    <w:t>本项目属于地热供暖项目，地热井垂深2</w:t>
                  </w:r>
                  <w:r>
                    <w:rPr>
                      <w:rFonts w:hint="eastAsia" w:ascii="Times New Roman" w:hAnsi="Times New Roman" w:cs="Times New Roman"/>
                      <w:color w:val="auto"/>
                      <w:kern w:val="0"/>
                      <w:sz w:val="21"/>
                      <w:szCs w:val="21"/>
                      <w:lang w:val="en-US" w:eastAsia="zh-CN"/>
                    </w:rPr>
                    <w:t>772.2</w:t>
                  </w:r>
                  <w:r>
                    <w:rPr>
                      <w:rFonts w:hint="default" w:ascii="Times New Roman" w:hAnsi="Times New Roman" w:cs="Times New Roman"/>
                      <w:color w:val="auto"/>
                      <w:kern w:val="0"/>
                      <w:sz w:val="21"/>
                      <w:szCs w:val="21"/>
                    </w:rPr>
                    <w:t>m，属于中深层地热能开发利用</w:t>
                  </w:r>
                </w:p>
              </w:tc>
              <w:tc>
                <w:tcPr>
                  <w:tcW w:w="475" w:type="dxa"/>
                  <w:noWrap w:val="0"/>
                  <w:vAlign w:val="center"/>
                </w:tcPr>
                <w:p w14:paraId="45BB2205">
                  <w:pPr>
                    <w:autoSpaceDE w:val="0"/>
                    <w:autoSpaceDN w:val="0"/>
                    <w:adjustRightInd w:val="0"/>
                    <w:snapToGrid w:val="0"/>
                    <w:jc w:val="center"/>
                    <w:rPr>
                      <w:rFonts w:hint="default"/>
                      <w:color w:val="auto"/>
                      <w:kern w:val="2"/>
                      <w:sz w:val="21"/>
                      <w:szCs w:val="21"/>
                      <w:lang w:val="en-US" w:eastAsia="zh-CN" w:bidi="ar-SA"/>
                    </w:rPr>
                  </w:pPr>
                  <w:r>
                    <w:rPr>
                      <w:rFonts w:hint="eastAsia"/>
                      <w:color w:val="auto"/>
                      <w:sz w:val="21"/>
                      <w:szCs w:val="21"/>
                    </w:rPr>
                    <w:t>符合</w:t>
                  </w:r>
                </w:p>
              </w:tc>
            </w:tr>
            <w:tr w14:paraId="66AC93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noWrap w:val="0"/>
                  <w:vAlign w:val="center"/>
                </w:tcPr>
                <w:p w14:paraId="4B5E483E">
                  <w:pPr>
                    <w:autoSpaceDE w:val="0"/>
                    <w:autoSpaceDN w:val="0"/>
                    <w:adjustRightInd w:val="0"/>
                    <w:snapToGrid w:val="0"/>
                    <w:jc w:val="center"/>
                    <w:rPr>
                      <w:rFonts w:hint="eastAsia"/>
                      <w:color w:val="auto"/>
                      <w:sz w:val="21"/>
                      <w:szCs w:val="21"/>
                    </w:rPr>
                  </w:pPr>
                  <w:r>
                    <w:rPr>
                      <w:rFonts w:hint="eastAsia"/>
                      <w:color w:val="auto"/>
                      <w:sz w:val="21"/>
                      <w:szCs w:val="21"/>
                      <w:lang w:eastAsia="zh-CN"/>
                    </w:rPr>
                    <w:t>《</w:t>
                  </w:r>
                  <w:r>
                    <w:rPr>
                      <w:rFonts w:hint="eastAsia"/>
                      <w:color w:val="auto"/>
                      <w:sz w:val="21"/>
                      <w:szCs w:val="21"/>
                    </w:rPr>
                    <w:t>西咸新区大气污染治理专项行动2024年工作方案</w:t>
                  </w:r>
                  <w:r>
                    <w:rPr>
                      <w:rFonts w:hint="eastAsia"/>
                      <w:color w:val="auto"/>
                      <w:sz w:val="21"/>
                      <w:szCs w:val="21"/>
                      <w:lang w:eastAsia="zh-CN"/>
                    </w:rPr>
                    <w:t>》西咸沣东党政办字〔2024〕11号</w:t>
                  </w:r>
                </w:p>
              </w:tc>
              <w:tc>
                <w:tcPr>
                  <w:tcW w:w="3496" w:type="dxa"/>
                  <w:noWrap w:val="0"/>
                  <w:vAlign w:val="center"/>
                </w:tcPr>
                <w:p w14:paraId="424F1FA1">
                  <w:pPr>
                    <w:autoSpaceDE w:val="0"/>
                    <w:autoSpaceDN w:val="0"/>
                    <w:adjustRightInd w:val="0"/>
                    <w:snapToGrid w:val="0"/>
                    <w:ind w:firstLine="420" w:firstLineChars="200"/>
                    <w:rPr>
                      <w:rFonts w:hint="eastAsia"/>
                      <w:color w:val="auto"/>
                      <w:kern w:val="2"/>
                      <w:sz w:val="21"/>
                      <w:szCs w:val="21"/>
                      <w:lang w:val="en-US" w:eastAsia="zh-CN" w:bidi="ar-SA"/>
                    </w:rPr>
                  </w:pPr>
                  <w:r>
                    <w:rPr>
                      <w:rFonts w:hint="eastAsia"/>
                      <w:color w:val="auto"/>
                      <w:kern w:val="2"/>
                      <w:sz w:val="21"/>
                      <w:szCs w:val="21"/>
                      <w:lang w:val="en-US" w:eastAsia="zh-CN" w:bidi="ar-SA"/>
                    </w:rPr>
                    <w:t>城市供热结构调整</w:t>
                  </w:r>
                </w:p>
                <w:p w14:paraId="3AF0689B">
                  <w:pPr>
                    <w:autoSpaceDE w:val="0"/>
                    <w:autoSpaceDN w:val="0"/>
                    <w:adjustRightInd w:val="0"/>
                    <w:snapToGrid w:val="0"/>
                    <w:ind w:firstLine="420" w:firstLineChars="200"/>
                    <w:rPr>
                      <w:rFonts w:hint="default"/>
                      <w:color w:val="auto"/>
                      <w:kern w:val="2"/>
                      <w:sz w:val="21"/>
                      <w:szCs w:val="21"/>
                      <w:lang w:val="en-US" w:eastAsia="zh-CN" w:bidi="ar-SA"/>
                    </w:rPr>
                  </w:pPr>
                  <w:r>
                    <w:rPr>
                      <w:rFonts w:hint="eastAsia"/>
                      <w:color w:val="auto"/>
                      <w:kern w:val="2"/>
                      <w:sz w:val="21"/>
                      <w:szCs w:val="21"/>
                      <w:lang w:val="en-US" w:eastAsia="zh-CN" w:bidi="ar-SA"/>
                    </w:rPr>
                    <w:t>原则上不再新建燃气供热站，具备条件的新建小区、商业体推广使用地热能、空气源热泵、污水源热泵等清洁供暖技术。</w:t>
                  </w:r>
                </w:p>
              </w:tc>
              <w:tc>
                <w:tcPr>
                  <w:tcW w:w="2405" w:type="dxa"/>
                  <w:noWrap w:val="0"/>
                  <w:vAlign w:val="center"/>
                </w:tcPr>
                <w:p w14:paraId="672F2722">
                  <w:pPr>
                    <w:autoSpaceDE w:val="0"/>
                    <w:autoSpaceDN w:val="0"/>
                    <w:adjustRightInd w:val="0"/>
                    <w:snapToGrid w:val="0"/>
                    <w:rPr>
                      <w:rFonts w:hint="default"/>
                      <w:color w:val="auto"/>
                      <w:kern w:val="2"/>
                      <w:sz w:val="21"/>
                      <w:szCs w:val="21"/>
                      <w:lang w:val="en-US" w:eastAsia="zh-CN" w:bidi="ar-SA"/>
                    </w:rPr>
                  </w:pPr>
                  <w:r>
                    <w:rPr>
                      <w:rFonts w:hint="eastAsia" w:ascii="Times New Roman" w:hAnsi="Times New Roman" w:eastAsia="宋体" w:cs="Times New Roman"/>
                      <w:color w:val="auto"/>
                      <w:sz w:val="21"/>
                      <w:szCs w:val="21"/>
                    </w:rPr>
                    <w:t>本项目属于地热供暖</w:t>
                  </w:r>
                  <w:r>
                    <w:rPr>
                      <w:rFonts w:hint="eastAsia" w:ascii="Times New Roman" w:hAnsi="Times New Roman" w:eastAsia="宋体" w:cs="Times New Roman"/>
                      <w:color w:val="auto"/>
                      <w:sz w:val="21"/>
                      <w:szCs w:val="21"/>
                      <w:lang w:val="en-US" w:eastAsia="zh-CN"/>
                    </w:rPr>
                    <w:t>项目</w:t>
                  </w:r>
                  <w:r>
                    <w:rPr>
                      <w:rFonts w:hint="eastAsia" w:ascii="Times New Roman" w:hAnsi="Times New Roman" w:eastAsia="宋体" w:cs="Times New Roman"/>
                      <w:color w:val="auto"/>
                      <w:sz w:val="21"/>
                      <w:szCs w:val="21"/>
                    </w:rPr>
                    <w:t>，</w:t>
                  </w:r>
                  <w:r>
                    <w:rPr>
                      <w:rFonts w:hint="eastAsia"/>
                      <w:color w:val="auto"/>
                      <w:kern w:val="21"/>
                      <w:sz w:val="21"/>
                      <w:szCs w:val="21"/>
                      <w:lang w:val="en-US" w:eastAsia="zh-CN"/>
                    </w:rPr>
                    <w:t>属于清洁能源，</w:t>
                  </w:r>
                  <w:r>
                    <w:rPr>
                      <w:rFonts w:hint="eastAsia"/>
                      <w:color w:val="auto"/>
                      <w:kern w:val="21"/>
                      <w:sz w:val="21"/>
                      <w:szCs w:val="21"/>
                      <w:lang w:eastAsia="zh-CN"/>
                    </w:rPr>
                    <w:t>为</w:t>
                  </w:r>
                  <w:r>
                    <w:rPr>
                      <w:rFonts w:hint="eastAsia"/>
                      <w:color w:val="auto"/>
                      <w:kern w:val="21"/>
                      <w:sz w:val="21"/>
                      <w:szCs w:val="21"/>
                      <w:lang w:val="en-US" w:eastAsia="zh-CN"/>
                    </w:rPr>
                    <w:t>小</w:t>
                  </w:r>
                  <w:r>
                    <w:rPr>
                      <w:rFonts w:hint="eastAsia"/>
                      <w:color w:val="auto"/>
                      <w:kern w:val="21"/>
                      <w:sz w:val="21"/>
                      <w:szCs w:val="21"/>
                      <w:lang w:eastAsia="zh-CN"/>
                    </w:rPr>
                    <w:t>区居民生活的配套设施</w:t>
                  </w:r>
                </w:p>
              </w:tc>
              <w:tc>
                <w:tcPr>
                  <w:tcW w:w="475" w:type="dxa"/>
                  <w:noWrap w:val="0"/>
                  <w:vAlign w:val="center"/>
                </w:tcPr>
                <w:p w14:paraId="3897C130">
                  <w:pPr>
                    <w:autoSpaceDE w:val="0"/>
                    <w:autoSpaceDN w:val="0"/>
                    <w:adjustRightInd w:val="0"/>
                    <w:snapToGrid w:val="0"/>
                    <w:jc w:val="center"/>
                    <w:rPr>
                      <w:rFonts w:hint="eastAsia" w:eastAsia="宋体"/>
                      <w:color w:val="auto"/>
                      <w:sz w:val="21"/>
                      <w:szCs w:val="21"/>
                      <w:lang w:val="en-US" w:eastAsia="zh-CN"/>
                    </w:rPr>
                  </w:pPr>
                  <w:r>
                    <w:rPr>
                      <w:rFonts w:hint="eastAsia"/>
                      <w:color w:val="auto"/>
                      <w:sz w:val="21"/>
                      <w:szCs w:val="21"/>
                      <w:lang w:val="en-US" w:eastAsia="zh-CN"/>
                    </w:rPr>
                    <w:t>符合</w:t>
                  </w:r>
                </w:p>
              </w:tc>
            </w:tr>
            <w:tr w14:paraId="386377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noWrap w:val="0"/>
                  <w:vAlign w:val="center"/>
                </w:tcPr>
                <w:p w14:paraId="0EFE45A7">
                  <w:pPr>
                    <w:autoSpaceDE w:val="0"/>
                    <w:autoSpaceDN w:val="0"/>
                    <w:adjustRightInd w:val="0"/>
                    <w:snapToGrid w:val="0"/>
                    <w:jc w:val="center"/>
                    <w:rPr>
                      <w:rFonts w:hint="eastAsia"/>
                      <w:color w:val="auto"/>
                      <w:sz w:val="21"/>
                      <w:szCs w:val="21"/>
                      <w:lang w:eastAsia="zh-CN"/>
                    </w:rPr>
                  </w:pPr>
                  <w:r>
                    <w:rPr>
                      <w:rFonts w:hint="eastAsia"/>
                      <w:color w:val="auto"/>
                      <w:sz w:val="21"/>
                      <w:szCs w:val="21"/>
                      <w:lang w:eastAsia="zh-CN"/>
                    </w:rPr>
                    <w:t>《西安市空气质量达标规划（2023—2030年）》市政发〔2023〕10号</w:t>
                  </w:r>
                </w:p>
              </w:tc>
              <w:tc>
                <w:tcPr>
                  <w:tcW w:w="3496" w:type="dxa"/>
                  <w:noWrap w:val="0"/>
                  <w:vAlign w:val="center"/>
                </w:tcPr>
                <w:p w14:paraId="2327C06B">
                  <w:pPr>
                    <w:autoSpaceDE w:val="0"/>
                    <w:autoSpaceDN w:val="0"/>
                    <w:adjustRightInd w:val="0"/>
                    <w:snapToGrid w:val="0"/>
                    <w:ind w:firstLine="420" w:firstLineChars="200"/>
                    <w:rPr>
                      <w:rFonts w:hint="eastAsia"/>
                      <w:color w:val="auto"/>
                      <w:sz w:val="21"/>
                      <w:szCs w:val="21"/>
                    </w:rPr>
                  </w:pPr>
                  <w:r>
                    <w:rPr>
                      <w:rFonts w:hint="eastAsia"/>
                      <w:color w:val="auto"/>
                      <w:sz w:val="21"/>
                      <w:szCs w:val="21"/>
                    </w:rPr>
                    <w:t>加大清洁采暖工作力度。2023年起，新建居民住宅、商业综合体等必须使用清洁能源取暖。持续推进用户侧建筑能效提升改造、供热管网保温及智能调控改造。</w:t>
                  </w:r>
                </w:p>
                <w:p w14:paraId="204A4769">
                  <w:pPr>
                    <w:autoSpaceDE w:val="0"/>
                    <w:autoSpaceDN w:val="0"/>
                    <w:adjustRightInd w:val="0"/>
                    <w:snapToGrid w:val="0"/>
                    <w:ind w:firstLine="420" w:firstLineChars="200"/>
                    <w:rPr>
                      <w:rFonts w:hint="eastAsia"/>
                      <w:color w:val="auto"/>
                      <w:sz w:val="21"/>
                      <w:szCs w:val="21"/>
                    </w:rPr>
                  </w:pPr>
                  <w:r>
                    <w:rPr>
                      <w:rFonts w:hint="eastAsia"/>
                      <w:color w:val="auto"/>
                      <w:sz w:val="21"/>
                      <w:szCs w:val="21"/>
                    </w:rPr>
                    <w:t>调整城市供热模式。大力发展地热能、储能式电锅炉、污水源热泵、空气源热泵和分布式供热等清洁取暖方式。</w:t>
                  </w:r>
                </w:p>
              </w:tc>
              <w:tc>
                <w:tcPr>
                  <w:tcW w:w="2405" w:type="dxa"/>
                  <w:noWrap w:val="0"/>
                  <w:vAlign w:val="center"/>
                </w:tcPr>
                <w:p w14:paraId="163CF3AC">
                  <w:pPr>
                    <w:autoSpaceDE w:val="0"/>
                    <w:autoSpaceDN w:val="0"/>
                    <w:adjustRightInd w:val="0"/>
                    <w:snapToGrid w:val="0"/>
                    <w:rPr>
                      <w:rFonts w:hint="default"/>
                      <w:color w:val="auto"/>
                      <w:sz w:val="21"/>
                      <w:szCs w:val="21"/>
                      <w:lang w:val="en-US"/>
                    </w:rPr>
                  </w:pPr>
                  <w:r>
                    <w:rPr>
                      <w:rFonts w:hint="eastAsia" w:ascii="Times New Roman" w:hAnsi="Times New Roman" w:eastAsia="宋体" w:cs="Times New Roman"/>
                      <w:color w:val="auto"/>
                      <w:sz w:val="21"/>
                      <w:szCs w:val="21"/>
                    </w:rPr>
                    <w:t>本项目属于地热供暖</w:t>
                  </w:r>
                  <w:r>
                    <w:rPr>
                      <w:rFonts w:hint="eastAsia" w:ascii="Times New Roman" w:hAnsi="Times New Roman" w:eastAsia="宋体" w:cs="Times New Roman"/>
                      <w:color w:val="auto"/>
                      <w:sz w:val="21"/>
                      <w:szCs w:val="21"/>
                      <w:lang w:val="en-US" w:eastAsia="zh-CN"/>
                    </w:rPr>
                    <w:t>项目</w:t>
                  </w:r>
                  <w:r>
                    <w:rPr>
                      <w:rFonts w:hint="eastAsia" w:ascii="Times New Roman" w:hAnsi="Times New Roman" w:eastAsia="宋体" w:cs="Times New Roman"/>
                      <w:color w:val="auto"/>
                      <w:sz w:val="21"/>
                      <w:szCs w:val="21"/>
                    </w:rPr>
                    <w:t>，</w:t>
                  </w:r>
                  <w:r>
                    <w:rPr>
                      <w:rFonts w:hint="eastAsia"/>
                      <w:color w:val="auto"/>
                      <w:kern w:val="21"/>
                      <w:sz w:val="21"/>
                      <w:szCs w:val="21"/>
                      <w:lang w:eastAsia="zh-CN"/>
                    </w:rPr>
                    <w:t>为</w:t>
                  </w:r>
                  <w:r>
                    <w:rPr>
                      <w:rFonts w:hint="eastAsia"/>
                      <w:color w:val="auto"/>
                      <w:kern w:val="21"/>
                      <w:sz w:val="21"/>
                      <w:szCs w:val="21"/>
                      <w:lang w:val="en-US" w:eastAsia="zh-CN"/>
                    </w:rPr>
                    <w:t>小</w:t>
                  </w:r>
                  <w:r>
                    <w:rPr>
                      <w:rFonts w:hint="eastAsia"/>
                      <w:color w:val="auto"/>
                      <w:kern w:val="21"/>
                      <w:sz w:val="21"/>
                      <w:szCs w:val="21"/>
                      <w:lang w:eastAsia="zh-CN"/>
                    </w:rPr>
                    <w:t>区居民生活的配套设施，</w:t>
                  </w:r>
                  <w:r>
                    <w:rPr>
                      <w:rFonts w:hint="eastAsia"/>
                      <w:color w:val="auto"/>
                      <w:kern w:val="21"/>
                      <w:sz w:val="21"/>
                      <w:szCs w:val="21"/>
                      <w:lang w:val="en-US" w:eastAsia="zh-CN"/>
                    </w:rPr>
                    <w:t>属于清洁能源</w:t>
                  </w:r>
                </w:p>
              </w:tc>
              <w:tc>
                <w:tcPr>
                  <w:tcW w:w="475" w:type="dxa"/>
                  <w:noWrap w:val="0"/>
                  <w:vAlign w:val="center"/>
                </w:tcPr>
                <w:p w14:paraId="1EAE206E">
                  <w:pPr>
                    <w:autoSpaceDE w:val="0"/>
                    <w:autoSpaceDN w:val="0"/>
                    <w:adjustRightInd w:val="0"/>
                    <w:snapToGrid w:val="0"/>
                    <w:jc w:val="center"/>
                    <w:rPr>
                      <w:rFonts w:hint="default"/>
                      <w:color w:val="auto"/>
                      <w:sz w:val="21"/>
                      <w:szCs w:val="21"/>
                      <w:lang w:val="en-US" w:eastAsia="zh-CN"/>
                    </w:rPr>
                  </w:pPr>
                  <w:r>
                    <w:rPr>
                      <w:rFonts w:hint="eastAsia"/>
                      <w:color w:val="auto"/>
                      <w:sz w:val="21"/>
                      <w:szCs w:val="21"/>
                      <w:lang w:val="en-US" w:eastAsia="zh-CN"/>
                    </w:rPr>
                    <w:t>符合</w:t>
                  </w:r>
                </w:p>
              </w:tc>
            </w:tr>
            <w:tr w14:paraId="23FEF9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noWrap w:val="0"/>
                  <w:vAlign w:val="center"/>
                </w:tcPr>
                <w:p w14:paraId="7227176C">
                  <w:pPr>
                    <w:autoSpaceDE w:val="0"/>
                    <w:autoSpaceDN w:val="0"/>
                    <w:adjustRightInd w:val="0"/>
                    <w:snapToGrid w:val="0"/>
                    <w:jc w:val="center"/>
                    <w:rPr>
                      <w:rFonts w:hint="eastAsia"/>
                      <w:color w:val="auto"/>
                      <w:sz w:val="21"/>
                      <w:szCs w:val="21"/>
                      <w:lang w:eastAsia="zh-CN"/>
                    </w:rPr>
                  </w:pPr>
                  <w:r>
                    <w:rPr>
                      <w:color w:val="auto"/>
                      <w:sz w:val="21"/>
                      <w:szCs w:val="21"/>
                    </w:rPr>
                    <w:t>《西安市集中供热条例》</w:t>
                  </w:r>
                </w:p>
              </w:tc>
              <w:tc>
                <w:tcPr>
                  <w:tcW w:w="3496" w:type="dxa"/>
                  <w:noWrap w:val="0"/>
                  <w:vAlign w:val="center"/>
                </w:tcPr>
                <w:p w14:paraId="73EEB389">
                  <w:pPr>
                    <w:autoSpaceDE w:val="0"/>
                    <w:autoSpaceDN w:val="0"/>
                    <w:adjustRightInd w:val="0"/>
                    <w:snapToGrid w:val="0"/>
                    <w:ind w:firstLine="420" w:firstLineChars="200"/>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rPr>
                    <w:t>第八条</w:t>
                  </w: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rPr>
                    <w:t>鼓励采用热电联产、冷热电三联供、区域锅炉房等多种形式发展集中供热，推广先进、节能、环保的供热用热技术，支持利用太阳能、水能、地热能、生物质能等可再生能源发展集中供热。</w:t>
                  </w:r>
                </w:p>
              </w:tc>
              <w:tc>
                <w:tcPr>
                  <w:tcW w:w="2405" w:type="dxa"/>
                  <w:noWrap w:val="0"/>
                  <w:vAlign w:val="center"/>
                </w:tcPr>
                <w:p w14:paraId="1A06112B">
                  <w:pPr>
                    <w:autoSpaceDE w:val="0"/>
                    <w:autoSpaceDN w:val="0"/>
                    <w:adjustRightInd w:val="0"/>
                    <w:snapToGrid w:val="0"/>
                    <w:ind w:firstLine="420" w:firstLineChars="200"/>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rPr>
                    <w:t>本项目属于地热供暖，</w:t>
                  </w:r>
                  <w:r>
                    <w:rPr>
                      <w:rFonts w:hint="eastAsia"/>
                      <w:color w:val="auto"/>
                      <w:kern w:val="21"/>
                      <w:sz w:val="21"/>
                      <w:szCs w:val="21"/>
                      <w:lang w:eastAsia="zh-CN"/>
                    </w:rPr>
                    <w:t>为</w:t>
                  </w:r>
                  <w:r>
                    <w:rPr>
                      <w:rFonts w:hint="eastAsia"/>
                      <w:color w:val="auto"/>
                      <w:kern w:val="21"/>
                      <w:sz w:val="21"/>
                      <w:szCs w:val="21"/>
                      <w:lang w:val="en-US" w:eastAsia="zh-CN"/>
                    </w:rPr>
                    <w:t>小</w:t>
                  </w:r>
                  <w:r>
                    <w:rPr>
                      <w:rFonts w:hint="eastAsia"/>
                      <w:color w:val="auto"/>
                      <w:kern w:val="21"/>
                      <w:sz w:val="21"/>
                      <w:szCs w:val="21"/>
                      <w:lang w:eastAsia="zh-CN"/>
                    </w:rPr>
                    <w:t>区居民生活的配套设施，</w:t>
                  </w:r>
                  <w:r>
                    <w:rPr>
                      <w:rFonts w:hint="eastAsia"/>
                      <w:color w:val="auto"/>
                      <w:kern w:val="21"/>
                      <w:sz w:val="21"/>
                      <w:szCs w:val="21"/>
                      <w:lang w:val="en-US" w:eastAsia="zh-CN"/>
                    </w:rPr>
                    <w:t>属于清洁能源</w:t>
                  </w:r>
                </w:p>
              </w:tc>
              <w:tc>
                <w:tcPr>
                  <w:tcW w:w="475" w:type="dxa"/>
                  <w:noWrap w:val="0"/>
                  <w:vAlign w:val="center"/>
                </w:tcPr>
                <w:p w14:paraId="34B05817">
                  <w:pPr>
                    <w:autoSpaceDE w:val="0"/>
                    <w:autoSpaceDN w:val="0"/>
                    <w:adjustRightInd w:val="0"/>
                    <w:snapToGrid w:val="0"/>
                    <w:jc w:val="center"/>
                    <w:rPr>
                      <w:rFonts w:hint="default"/>
                      <w:color w:val="auto"/>
                      <w:sz w:val="21"/>
                      <w:szCs w:val="21"/>
                      <w:lang w:val="en-US" w:eastAsia="zh-CN"/>
                    </w:rPr>
                  </w:pPr>
                  <w:r>
                    <w:rPr>
                      <w:rFonts w:hint="eastAsia"/>
                      <w:color w:val="auto"/>
                      <w:sz w:val="21"/>
                      <w:szCs w:val="21"/>
                      <w:lang w:val="en-US" w:eastAsia="zh-CN"/>
                    </w:rPr>
                    <w:t>符合</w:t>
                  </w:r>
                </w:p>
              </w:tc>
            </w:tr>
            <w:tr w14:paraId="747D61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Merge w:val="restart"/>
                  <w:noWrap w:val="0"/>
                  <w:vAlign w:val="center"/>
                </w:tcPr>
                <w:p w14:paraId="7236A172">
                  <w:pPr>
                    <w:autoSpaceDE w:val="0"/>
                    <w:autoSpaceDN w:val="0"/>
                    <w:adjustRightInd w:val="0"/>
                    <w:snapToGrid w:val="0"/>
                    <w:jc w:val="center"/>
                    <w:rPr>
                      <w:rFonts w:hint="eastAsia"/>
                      <w:color w:val="auto"/>
                      <w:sz w:val="21"/>
                      <w:szCs w:val="21"/>
                      <w:lang w:eastAsia="zh-CN"/>
                    </w:rPr>
                  </w:pPr>
                  <w:r>
                    <w:rPr>
                      <w:rFonts w:hint="eastAsia"/>
                      <w:color w:val="auto"/>
                      <w:sz w:val="21"/>
                      <w:szCs w:val="21"/>
                      <w:lang w:eastAsia="zh-CN"/>
                    </w:rPr>
                    <w:t>《陕西省地下水条例》（2024年</w:t>
                  </w:r>
                  <w:r>
                    <w:rPr>
                      <w:rFonts w:hint="eastAsia"/>
                      <w:color w:val="auto"/>
                      <w:sz w:val="21"/>
                      <w:szCs w:val="21"/>
                      <w:lang w:val="en-US" w:eastAsia="zh-CN"/>
                    </w:rPr>
                    <w:t>修正</w:t>
                  </w:r>
                  <w:r>
                    <w:rPr>
                      <w:rFonts w:hint="eastAsia"/>
                      <w:color w:val="auto"/>
                      <w:sz w:val="21"/>
                      <w:szCs w:val="21"/>
                      <w:lang w:eastAsia="zh-CN"/>
                    </w:rPr>
                    <w:t>）</w:t>
                  </w:r>
                </w:p>
              </w:tc>
              <w:tc>
                <w:tcPr>
                  <w:tcW w:w="3496" w:type="dxa"/>
                  <w:noWrap w:val="0"/>
                  <w:vAlign w:val="center"/>
                </w:tcPr>
                <w:p w14:paraId="32A5BC04">
                  <w:pPr>
                    <w:autoSpaceDE w:val="0"/>
                    <w:autoSpaceDN w:val="0"/>
                    <w:adjustRightInd w:val="0"/>
                    <w:snapToGrid w:val="0"/>
                    <w:ind w:firstLine="420" w:firstLineChars="20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需要取水的地热能开发利用项目建设应当符合本行政区域内地下水保护与利用规划的要求。禁止在地下水饮用水水源保护区、地下水禁止开采区建设需要取水的地热能开发项目。禁止抽取难以更新的地下水用于需要取水的地热能开发利用项目。</w:t>
                  </w:r>
                </w:p>
              </w:tc>
              <w:tc>
                <w:tcPr>
                  <w:tcW w:w="2405" w:type="dxa"/>
                  <w:noWrap w:val="0"/>
                  <w:vAlign w:val="center"/>
                </w:tcPr>
                <w:p w14:paraId="61127715">
                  <w:pPr>
                    <w:autoSpaceDE w:val="0"/>
                    <w:autoSpaceDN w:val="0"/>
                    <w:adjustRightInd w:val="0"/>
                    <w:snapToGrid w:val="0"/>
                    <w:ind w:firstLine="420" w:firstLineChars="200"/>
                    <w:rPr>
                      <w:rFonts w:hint="eastAsia"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本项目在紫境城小区内建设，不在地下水饮用水水源保护区，本项目属于地热供暖，实现</w:t>
                  </w:r>
                  <w:r>
                    <w:rPr>
                      <w:rFonts w:hint="eastAsia" w:cs="Times New Roman"/>
                      <w:color w:val="auto"/>
                      <w:kern w:val="0"/>
                      <w:sz w:val="21"/>
                      <w:szCs w:val="21"/>
                      <w:lang w:val="en-US" w:eastAsia="zh-CN"/>
                    </w:rPr>
                    <w:t>“</w:t>
                  </w:r>
                  <w:r>
                    <w:rPr>
                      <w:rFonts w:hint="eastAsia" w:ascii="Times New Roman" w:hAnsi="Times New Roman" w:cs="Times New Roman"/>
                      <w:color w:val="auto"/>
                      <w:kern w:val="0"/>
                      <w:sz w:val="21"/>
                      <w:szCs w:val="21"/>
                      <w:lang w:val="en-US" w:eastAsia="zh-CN"/>
                    </w:rPr>
                    <w:t>采灌均衡、间接换热、分层开采</w:t>
                  </w:r>
                  <w:r>
                    <w:rPr>
                      <w:rFonts w:hint="eastAsia" w:cs="Times New Roman"/>
                      <w:color w:val="auto"/>
                      <w:kern w:val="0"/>
                      <w:sz w:val="21"/>
                      <w:szCs w:val="21"/>
                      <w:lang w:val="en-US" w:eastAsia="zh-CN"/>
                    </w:rPr>
                    <w:t>“</w:t>
                  </w:r>
                  <w:r>
                    <w:rPr>
                      <w:rFonts w:hint="eastAsia" w:ascii="Times New Roman" w:hAnsi="Times New Roman" w:cs="Times New Roman"/>
                      <w:color w:val="auto"/>
                      <w:kern w:val="0"/>
                      <w:sz w:val="21"/>
                      <w:szCs w:val="21"/>
                      <w:lang w:val="en-US" w:eastAsia="zh-CN"/>
                    </w:rPr>
                    <w:t>的清洁利用方式</w:t>
                  </w:r>
                </w:p>
              </w:tc>
              <w:tc>
                <w:tcPr>
                  <w:tcW w:w="475" w:type="dxa"/>
                  <w:noWrap w:val="0"/>
                  <w:vAlign w:val="center"/>
                </w:tcPr>
                <w:p w14:paraId="0DAB1EB1">
                  <w:pPr>
                    <w:autoSpaceDE w:val="0"/>
                    <w:autoSpaceDN w:val="0"/>
                    <w:adjustRightInd w:val="0"/>
                    <w:snapToGrid w:val="0"/>
                    <w:jc w:val="center"/>
                    <w:rPr>
                      <w:rFonts w:hint="default"/>
                      <w:color w:val="auto"/>
                      <w:sz w:val="21"/>
                      <w:szCs w:val="21"/>
                      <w:lang w:val="en-US" w:eastAsia="zh-CN"/>
                    </w:rPr>
                  </w:pPr>
                  <w:r>
                    <w:rPr>
                      <w:rFonts w:hint="eastAsia"/>
                      <w:color w:val="auto"/>
                      <w:sz w:val="21"/>
                      <w:szCs w:val="21"/>
                      <w:lang w:val="en-US" w:eastAsia="zh-CN"/>
                    </w:rPr>
                    <w:t>符合</w:t>
                  </w:r>
                </w:p>
              </w:tc>
            </w:tr>
            <w:tr w14:paraId="2A4726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Merge w:val="continue"/>
                  <w:noWrap w:val="0"/>
                  <w:vAlign w:val="center"/>
                </w:tcPr>
                <w:p w14:paraId="68BACA30">
                  <w:pPr>
                    <w:autoSpaceDE w:val="0"/>
                    <w:autoSpaceDN w:val="0"/>
                    <w:adjustRightInd w:val="0"/>
                    <w:snapToGrid w:val="0"/>
                    <w:jc w:val="center"/>
                    <w:rPr>
                      <w:rFonts w:hint="eastAsia"/>
                      <w:color w:val="auto"/>
                      <w:sz w:val="21"/>
                      <w:szCs w:val="21"/>
                      <w:lang w:eastAsia="zh-CN"/>
                    </w:rPr>
                  </w:pPr>
                </w:p>
              </w:tc>
              <w:tc>
                <w:tcPr>
                  <w:tcW w:w="3496" w:type="dxa"/>
                  <w:noWrap w:val="0"/>
                  <w:vAlign w:val="center"/>
                </w:tcPr>
                <w:p w14:paraId="090C4D8D">
                  <w:pPr>
                    <w:autoSpaceDE w:val="0"/>
                    <w:autoSpaceDN w:val="0"/>
                    <w:adjustRightInd w:val="0"/>
                    <w:snapToGrid w:val="0"/>
                    <w:ind w:firstLine="420" w:firstLineChars="20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单位或者个人建设需要取水的地热能开发利用项目，应当按照国家相关技术规范要求施工，取水井与回灌井应当布设在同一含水层位，保持合理的数量和间距，取水应当全部回灌到同一含水层，严禁对地下水造成污染。</w:t>
                  </w:r>
                </w:p>
              </w:tc>
              <w:tc>
                <w:tcPr>
                  <w:tcW w:w="2405" w:type="dxa"/>
                  <w:noWrap w:val="0"/>
                  <w:vAlign w:val="center"/>
                </w:tcPr>
                <w:p w14:paraId="7EF8484B">
                  <w:pPr>
                    <w:autoSpaceDE w:val="0"/>
                    <w:autoSpaceDN w:val="0"/>
                    <w:adjustRightInd w:val="0"/>
                    <w:snapToGrid w:val="0"/>
                    <w:ind w:firstLine="420" w:firstLineChars="200"/>
                    <w:rPr>
                      <w:rFonts w:hint="default"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本</w:t>
                  </w:r>
                  <w:r>
                    <w:rPr>
                      <w:rFonts w:hint="eastAsia" w:cs="Times New Roman"/>
                      <w:color w:val="auto"/>
                      <w:kern w:val="0"/>
                      <w:sz w:val="21"/>
                      <w:szCs w:val="21"/>
                      <w:lang w:val="en-US" w:eastAsia="zh-CN"/>
                    </w:rPr>
                    <w:t>项目</w:t>
                  </w:r>
                  <w:r>
                    <w:rPr>
                      <w:rFonts w:hint="eastAsia" w:ascii="Times New Roman" w:hAnsi="Times New Roman" w:eastAsia="宋体" w:cs="Times New Roman"/>
                      <w:color w:val="auto"/>
                      <w:sz w:val="21"/>
                      <w:szCs w:val="21"/>
                      <w:lang w:val="en-US" w:eastAsia="zh-CN"/>
                    </w:rPr>
                    <w:t>已建</w:t>
                  </w:r>
                  <w:r>
                    <w:rPr>
                      <w:rFonts w:hint="eastAsia" w:ascii="Times New Roman" w:hAnsi="Times New Roman" w:eastAsia="宋体" w:cs="Times New Roman"/>
                      <w:color w:val="auto"/>
                      <w:sz w:val="21"/>
                      <w:szCs w:val="21"/>
                    </w:rPr>
                    <w:t>地热开采井</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通过新建回灌井及其配套设施，</w:t>
                  </w:r>
                  <w:r>
                    <w:rPr>
                      <w:rFonts w:hint="eastAsia" w:ascii="Times New Roman" w:hAnsi="Times New Roman" w:cs="Times New Roman"/>
                      <w:color w:val="auto"/>
                      <w:kern w:val="0"/>
                      <w:sz w:val="21"/>
                      <w:szCs w:val="21"/>
                      <w:lang w:val="en-US" w:eastAsia="zh-CN"/>
                    </w:rPr>
                    <w:t>实现采灌均衡，取水井与回灌井布设在同一含水层位，基本不存在对地下水</w:t>
                  </w:r>
                  <w:r>
                    <w:rPr>
                      <w:rFonts w:hint="eastAsia" w:ascii="Times New Roman" w:hAnsi="Times New Roman" w:eastAsia="宋体" w:cs="Times New Roman"/>
                      <w:color w:val="auto"/>
                      <w:sz w:val="21"/>
                      <w:szCs w:val="21"/>
                    </w:rPr>
                    <w:t>造成污染</w:t>
                  </w:r>
                </w:p>
              </w:tc>
              <w:tc>
                <w:tcPr>
                  <w:tcW w:w="475" w:type="dxa"/>
                  <w:noWrap w:val="0"/>
                  <w:vAlign w:val="center"/>
                </w:tcPr>
                <w:p w14:paraId="7ECF6EBC">
                  <w:pPr>
                    <w:autoSpaceDE w:val="0"/>
                    <w:autoSpaceDN w:val="0"/>
                    <w:adjustRightInd w:val="0"/>
                    <w:snapToGrid w:val="0"/>
                    <w:jc w:val="center"/>
                    <w:rPr>
                      <w:rFonts w:hint="default"/>
                      <w:color w:val="auto"/>
                      <w:sz w:val="21"/>
                      <w:szCs w:val="21"/>
                      <w:lang w:val="en-US" w:eastAsia="zh-CN"/>
                    </w:rPr>
                  </w:pPr>
                  <w:r>
                    <w:rPr>
                      <w:rFonts w:hint="eastAsia"/>
                      <w:color w:val="auto"/>
                      <w:sz w:val="21"/>
                      <w:szCs w:val="21"/>
                      <w:lang w:val="en-US" w:eastAsia="zh-CN"/>
                    </w:rPr>
                    <w:t>符合</w:t>
                  </w:r>
                </w:p>
              </w:tc>
            </w:tr>
            <w:tr w14:paraId="165CD5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Merge w:val="restart"/>
                  <w:noWrap w:val="0"/>
                  <w:vAlign w:val="center"/>
                </w:tcPr>
                <w:p w14:paraId="3E588584">
                  <w:pPr>
                    <w:autoSpaceDE w:val="0"/>
                    <w:autoSpaceDN w:val="0"/>
                    <w:adjustRightInd w:val="0"/>
                    <w:snapToGrid w:val="0"/>
                    <w:jc w:val="center"/>
                    <w:rPr>
                      <w:rFonts w:hint="eastAsia"/>
                      <w:color w:val="auto"/>
                      <w:sz w:val="21"/>
                      <w:szCs w:val="21"/>
                      <w:lang w:eastAsia="zh-CN"/>
                    </w:rPr>
                  </w:pPr>
                  <w:r>
                    <w:rPr>
                      <w:rFonts w:hint="eastAsia"/>
                      <w:color w:val="auto"/>
                      <w:lang w:val="en-US" w:eastAsia="zh-CN"/>
                    </w:rPr>
                    <w:t>《西安市地下水资源管理条例》（2024年修正）</w:t>
                  </w:r>
                </w:p>
              </w:tc>
              <w:tc>
                <w:tcPr>
                  <w:tcW w:w="3496" w:type="dxa"/>
                  <w:noWrap w:val="0"/>
                  <w:vAlign w:val="center"/>
                </w:tcPr>
                <w:p w14:paraId="36325141">
                  <w:pPr>
                    <w:autoSpaceDE w:val="0"/>
                    <w:autoSpaceDN w:val="0"/>
                    <w:adjustRightInd w:val="0"/>
                    <w:snapToGrid w:val="0"/>
                    <w:ind w:firstLine="420" w:firstLineChars="20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开发地下水的单位和个人，应当向水行政主管部门提出申请，经批准后方可兴建取水工程。</w:t>
                  </w:r>
                </w:p>
              </w:tc>
              <w:tc>
                <w:tcPr>
                  <w:tcW w:w="2405" w:type="dxa"/>
                  <w:noWrap w:val="0"/>
                  <w:vAlign w:val="center"/>
                </w:tcPr>
                <w:p w14:paraId="4371EDD0">
                  <w:pPr>
                    <w:autoSpaceDE w:val="0"/>
                    <w:autoSpaceDN w:val="0"/>
                    <w:adjustRightInd w:val="0"/>
                    <w:snapToGrid w:val="0"/>
                    <w:ind w:firstLine="420" w:firstLineChars="200"/>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本项目</w:t>
                  </w:r>
                  <w:r>
                    <w:rPr>
                      <w:rFonts w:hint="eastAsia" w:ascii="Times New Roman" w:hAnsi="Times New Roman" w:cs="Times New Roman"/>
                      <w:color w:val="auto"/>
                      <w:kern w:val="0"/>
                      <w:sz w:val="21"/>
                      <w:szCs w:val="21"/>
                      <w:lang w:val="en-US" w:eastAsia="zh-CN"/>
                    </w:rPr>
                    <w:t>属于地热供暖</w:t>
                  </w:r>
                  <w:r>
                    <w:rPr>
                      <w:rFonts w:hint="eastAsia" w:cs="Times New Roman"/>
                      <w:color w:val="auto"/>
                      <w:kern w:val="0"/>
                      <w:sz w:val="21"/>
                      <w:szCs w:val="21"/>
                      <w:lang w:val="en-US" w:eastAsia="zh-CN"/>
                    </w:rPr>
                    <w:t>取水，已取得陕西省西咸新区住房和城建局关于西咸新区沣东新城紫境城小区中深层地热水采灌组供热项目取水申请的批复（陕西咸建发</w:t>
                  </w:r>
                  <w:r>
                    <w:rPr>
                      <w:rFonts w:hint="eastAsia"/>
                      <w:color w:val="auto"/>
                      <w:sz w:val="21"/>
                      <w:szCs w:val="21"/>
                      <w:lang w:eastAsia="zh-CN"/>
                    </w:rPr>
                    <w:t>〔2024〕</w:t>
                  </w:r>
                  <w:r>
                    <w:rPr>
                      <w:rFonts w:hint="eastAsia"/>
                      <w:color w:val="auto"/>
                      <w:sz w:val="21"/>
                      <w:szCs w:val="21"/>
                      <w:lang w:val="en-US" w:eastAsia="zh-CN"/>
                    </w:rPr>
                    <w:t>74</w:t>
                  </w:r>
                  <w:r>
                    <w:rPr>
                      <w:rFonts w:hint="eastAsia"/>
                      <w:color w:val="auto"/>
                      <w:sz w:val="21"/>
                      <w:szCs w:val="21"/>
                      <w:lang w:eastAsia="zh-CN"/>
                    </w:rPr>
                    <w:t>号</w:t>
                  </w:r>
                  <w:r>
                    <w:rPr>
                      <w:rFonts w:hint="eastAsia" w:cs="Times New Roman"/>
                      <w:color w:val="auto"/>
                      <w:kern w:val="0"/>
                      <w:sz w:val="21"/>
                      <w:szCs w:val="21"/>
                      <w:lang w:val="en-US" w:eastAsia="zh-CN"/>
                    </w:rPr>
                    <w:t>）</w:t>
                  </w:r>
                </w:p>
              </w:tc>
              <w:tc>
                <w:tcPr>
                  <w:tcW w:w="475" w:type="dxa"/>
                  <w:noWrap w:val="0"/>
                  <w:vAlign w:val="center"/>
                </w:tcPr>
                <w:p w14:paraId="79ECDD49">
                  <w:pPr>
                    <w:autoSpaceDE w:val="0"/>
                    <w:autoSpaceDN w:val="0"/>
                    <w:adjustRightInd w:val="0"/>
                    <w:snapToGrid w:val="0"/>
                    <w:jc w:val="center"/>
                    <w:rPr>
                      <w:rFonts w:hint="default"/>
                      <w:color w:val="auto"/>
                      <w:sz w:val="21"/>
                      <w:szCs w:val="21"/>
                      <w:lang w:val="en-US" w:eastAsia="zh-CN"/>
                    </w:rPr>
                  </w:pPr>
                  <w:r>
                    <w:rPr>
                      <w:rFonts w:hint="eastAsia"/>
                      <w:color w:val="auto"/>
                      <w:sz w:val="21"/>
                      <w:szCs w:val="21"/>
                      <w:lang w:val="en-US" w:eastAsia="zh-CN"/>
                    </w:rPr>
                    <w:t>符合</w:t>
                  </w:r>
                </w:p>
              </w:tc>
            </w:tr>
            <w:tr w14:paraId="3DE3D2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Merge w:val="continue"/>
                  <w:noWrap w:val="0"/>
                  <w:vAlign w:val="center"/>
                </w:tcPr>
                <w:p w14:paraId="2C181727">
                  <w:pPr>
                    <w:autoSpaceDE w:val="0"/>
                    <w:autoSpaceDN w:val="0"/>
                    <w:adjustRightInd w:val="0"/>
                    <w:snapToGrid w:val="0"/>
                    <w:jc w:val="center"/>
                    <w:rPr>
                      <w:rFonts w:hint="eastAsia"/>
                      <w:color w:val="auto"/>
                      <w:lang w:val="en-US" w:eastAsia="zh-CN"/>
                    </w:rPr>
                  </w:pPr>
                </w:p>
              </w:tc>
              <w:tc>
                <w:tcPr>
                  <w:tcW w:w="3496" w:type="dxa"/>
                  <w:noWrap w:val="0"/>
                  <w:vAlign w:val="center"/>
                </w:tcPr>
                <w:p w14:paraId="5F26EA44">
                  <w:pPr>
                    <w:autoSpaceDE w:val="0"/>
                    <w:autoSpaceDN w:val="0"/>
                    <w:adjustRightInd w:val="0"/>
                    <w:snapToGrid w:val="0"/>
                    <w:ind w:firstLine="420" w:firstLineChars="200"/>
                    <w:rPr>
                      <w:rFonts w:hint="default" w:cs="Times New Roman"/>
                      <w:color w:val="auto"/>
                      <w:sz w:val="21"/>
                      <w:szCs w:val="21"/>
                      <w:lang w:val="en-US" w:eastAsia="zh-CN"/>
                    </w:rPr>
                  </w:pPr>
                  <w:r>
                    <w:rPr>
                      <w:rFonts w:hint="eastAsia" w:cs="Times New Roman"/>
                      <w:color w:val="auto"/>
                      <w:sz w:val="21"/>
                      <w:szCs w:val="21"/>
                      <w:lang w:val="en-US" w:eastAsia="zh-CN"/>
                    </w:rPr>
                    <w:t>取用地下水应当按照批准的用途使用，不得擅自改变用途。</w:t>
                  </w:r>
                </w:p>
              </w:tc>
              <w:tc>
                <w:tcPr>
                  <w:tcW w:w="2405" w:type="dxa"/>
                  <w:noWrap w:val="0"/>
                  <w:vAlign w:val="center"/>
                </w:tcPr>
                <w:p w14:paraId="72666D68">
                  <w:pPr>
                    <w:autoSpaceDE w:val="0"/>
                    <w:autoSpaceDN w:val="0"/>
                    <w:adjustRightInd w:val="0"/>
                    <w:snapToGrid w:val="0"/>
                    <w:ind w:firstLine="420" w:firstLineChars="200"/>
                    <w:rPr>
                      <w:rFonts w:hint="default" w:cs="Times New Roman"/>
                      <w:color w:val="auto"/>
                      <w:kern w:val="0"/>
                      <w:sz w:val="21"/>
                      <w:szCs w:val="21"/>
                      <w:lang w:val="en-US" w:eastAsia="zh-CN"/>
                    </w:rPr>
                  </w:pPr>
                  <w:r>
                    <w:rPr>
                      <w:rFonts w:hint="eastAsia" w:cs="Times New Roman"/>
                      <w:color w:val="auto"/>
                      <w:kern w:val="0"/>
                      <w:sz w:val="21"/>
                      <w:szCs w:val="21"/>
                      <w:lang w:val="en-US" w:eastAsia="zh-CN"/>
                    </w:rPr>
                    <w:t>本项目取水用途为沣东新城紫境城小区8.74万m</w:t>
                  </w:r>
                  <w:r>
                    <w:rPr>
                      <w:rFonts w:hint="eastAsia" w:cs="Times New Roman"/>
                      <w:color w:val="auto"/>
                      <w:kern w:val="0"/>
                      <w:sz w:val="21"/>
                      <w:szCs w:val="21"/>
                      <w:vertAlign w:val="superscript"/>
                      <w:lang w:val="en-US" w:eastAsia="zh-CN"/>
                    </w:rPr>
                    <w:t>2</w:t>
                  </w:r>
                  <w:r>
                    <w:rPr>
                      <w:rFonts w:hint="eastAsia" w:cs="Times New Roman"/>
                      <w:color w:val="auto"/>
                      <w:kern w:val="0"/>
                      <w:sz w:val="21"/>
                      <w:szCs w:val="21"/>
                      <w:lang w:val="en-US" w:eastAsia="zh-CN"/>
                    </w:rPr>
                    <w:t>建筑面积供暖，环评要求本项目</w:t>
                  </w:r>
                  <w:r>
                    <w:rPr>
                      <w:rFonts w:hint="eastAsia" w:cs="Times New Roman"/>
                      <w:color w:val="auto"/>
                      <w:sz w:val="21"/>
                      <w:szCs w:val="21"/>
                      <w:lang w:val="en-US" w:eastAsia="zh-CN"/>
                    </w:rPr>
                    <w:t>按照批准的用途使用，不得擅自改变用途</w:t>
                  </w:r>
                </w:p>
              </w:tc>
              <w:tc>
                <w:tcPr>
                  <w:tcW w:w="475" w:type="dxa"/>
                  <w:noWrap w:val="0"/>
                  <w:vAlign w:val="center"/>
                </w:tcPr>
                <w:p w14:paraId="2E9146EB">
                  <w:pPr>
                    <w:autoSpaceDE w:val="0"/>
                    <w:autoSpaceDN w:val="0"/>
                    <w:adjustRightInd w:val="0"/>
                    <w:snapToGrid w:val="0"/>
                    <w:jc w:val="center"/>
                    <w:rPr>
                      <w:rFonts w:hint="default"/>
                      <w:color w:val="auto"/>
                      <w:sz w:val="21"/>
                      <w:szCs w:val="21"/>
                      <w:lang w:val="en-US" w:eastAsia="zh-CN"/>
                    </w:rPr>
                  </w:pPr>
                  <w:r>
                    <w:rPr>
                      <w:rFonts w:hint="eastAsia"/>
                      <w:color w:val="auto"/>
                      <w:sz w:val="21"/>
                      <w:szCs w:val="21"/>
                      <w:lang w:val="en-US" w:eastAsia="zh-CN"/>
                    </w:rPr>
                    <w:t>符合</w:t>
                  </w:r>
                </w:p>
              </w:tc>
            </w:tr>
            <w:tr w14:paraId="6133A2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574" w:type="dxa"/>
                  <w:vMerge w:val="continue"/>
                  <w:noWrap w:val="0"/>
                  <w:vAlign w:val="center"/>
                </w:tcPr>
                <w:p w14:paraId="080E7423">
                  <w:pPr>
                    <w:autoSpaceDE w:val="0"/>
                    <w:autoSpaceDN w:val="0"/>
                    <w:adjustRightInd w:val="0"/>
                    <w:snapToGrid w:val="0"/>
                    <w:jc w:val="center"/>
                    <w:rPr>
                      <w:rFonts w:hint="eastAsia"/>
                      <w:color w:val="auto"/>
                      <w:lang w:val="en-US" w:eastAsia="zh-CN"/>
                    </w:rPr>
                  </w:pPr>
                </w:p>
              </w:tc>
              <w:tc>
                <w:tcPr>
                  <w:tcW w:w="3496" w:type="dxa"/>
                  <w:noWrap w:val="0"/>
                  <w:vAlign w:val="center"/>
                </w:tcPr>
                <w:p w14:paraId="53CE49BC">
                  <w:pPr>
                    <w:autoSpaceDE w:val="0"/>
                    <w:autoSpaceDN w:val="0"/>
                    <w:adjustRightInd w:val="0"/>
                    <w:snapToGrid w:val="0"/>
                    <w:ind w:firstLine="420" w:firstLineChars="200"/>
                    <w:rPr>
                      <w:rFonts w:hint="eastAsia" w:cs="Times New Roman"/>
                      <w:color w:val="auto"/>
                      <w:sz w:val="21"/>
                      <w:szCs w:val="21"/>
                      <w:lang w:val="en-US" w:eastAsia="zh-CN"/>
                    </w:rPr>
                  </w:pPr>
                  <w:r>
                    <w:rPr>
                      <w:rFonts w:hint="eastAsia" w:cs="Times New Roman"/>
                      <w:color w:val="auto"/>
                      <w:sz w:val="21"/>
                      <w:szCs w:val="21"/>
                      <w:lang w:val="en-US" w:eastAsia="zh-CN"/>
                    </w:rPr>
                    <w:t>第二十二条 禁止任何单位和个人从事下列污染地下水的行为：</w:t>
                  </w:r>
                </w:p>
                <w:p w14:paraId="6C21D60B">
                  <w:pPr>
                    <w:autoSpaceDE w:val="0"/>
                    <w:autoSpaceDN w:val="0"/>
                    <w:adjustRightInd w:val="0"/>
                    <w:snapToGrid w:val="0"/>
                    <w:ind w:firstLine="420" w:firstLineChars="200"/>
                    <w:rPr>
                      <w:rFonts w:hint="default" w:cs="Times New Roman"/>
                      <w:color w:val="auto"/>
                      <w:sz w:val="21"/>
                      <w:szCs w:val="21"/>
                      <w:lang w:val="en-US" w:eastAsia="zh-CN"/>
                    </w:rPr>
                  </w:pPr>
                  <w:r>
                    <w:rPr>
                      <w:rFonts w:hint="eastAsia" w:cs="Times New Roman"/>
                      <w:color w:val="auto"/>
                      <w:sz w:val="21"/>
                      <w:szCs w:val="21"/>
                      <w:lang w:val="en-US" w:eastAsia="zh-CN"/>
                    </w:rPr>
                    <w:t>(一)将不符合国家回灌水水质标准的水灌入地下；......</w:t>
                  </w:r>
                </w:p>
                <w:p w14:paraId="235CB045">
                  <w:pPr>
                    <w:autoSpaceDE w:val="0"/>
                    <w:autoSpaceDN w:val="0"/>
                    <w:adjustRightInd w:val="0"/>
                    <w:snapToGrid w:val="0"/>
                    <w:ind w:firstLine="420" w:firstLineChars="200"/>
                    <w:rPr>
                      <w:rFonts w:hint="eastAsia" w:cs="Times New Roman"/>
                      <w:color w:val="auto"/>
                      <w:sz w:val="21"/>
                      <w:szCs w:val="21"/>
                      <w:lang w:val="en-US" w:eastAsia="zh-CN"/>
                    </w:rPr>
                  </w:pPr>
                  <w:r>
                    <w:rPr>
                      <w:rFonts w:hint="eastAsia" w:cs="Times New Roman"/>
                      <w:color w:val="auto"/>
                      <w:sz w:val="21"/>
                      <w:szCs w:val="21"/>
                      <w:lang w:val="en-US" w:eastAsia="zh-CN"/>
                    </w:rPr>
                    <w:t>(七)其他污染地下水的行为。</w:t>
                  </w:r>
                </w:p>
              </w:tc>
              <w:tc>
                <w:tcPr>
                  <w:tcW w:w="2405" w:type="dxa"/>
                  <w:noWrap w:val="0"/>
                  <w:vAlign w:val="center"/>
                </w:tcPr>
                <w:p w14:paraId="080F0FE1">
                  <w:pPr>
                    <w:autoSpaceDE w:val="0"/>
                    <w:autoSpaceDN w:val="0"/>
                    <w:adjustRightInd w:val="0"/>
                    <w:snapToGrid w:val="0"/>
                    <w:ind w:firstLine="420" w:firstLineChars="200"/>
                    <w:rPr>
                      <w:rFonts w:hint="default" w:cs="Times New Roman"/>
                      <w:color w:val="auto"/>
                      <w:kern w:val="0"/>
                      <w:sz w:val="21"/>
                      <w:szCs w:val="21"/>
                      <w:lang w:val="en-US" w:eastAsia="zh-CN"/>
                    </w:rPr>
                  </w:pPr>
                  <w:r>
                    <w:rPr>
                      <w:rFonts w:hint="eastAsia" w:ascii="Times New Roman" w:hAnsi="Times New Roman" w:eastAsia="宋体" w:cs="Times New Roman"/>
                      <w:color w:val="auto"/>
                      <w:sz w:val="21"/>
                      <w:szCs w:val="21"/>
                    </w:rPr>
                    <w:t>本项目属于地热供暖，</w:t>
                  </w:r>
                  <w:r>
                    <w:rPr>
                      <w:rFonts w:hint="eastAsia" w:ascii="Times New Roman" w:hAnsi="Times New Roman" w:eastAsia="宋体" w:cs="Times New Roman"/>
                      <w:color w:val="auto"/>
                      <w:sz w:val="21"/>
                      <w:szCs w:val="21"/>
                      <w:lang w:val="en-US" w:eastAsia="zh-CN"/>
                    </w:rPr>
                    <w:t>项目已建</w:t>
                  </w:r>
                  <w:r>
                    <w:rPr>
                      <w:rFonts w:hint="eastAsia" w:ascii="Times New Roman" w:hAnsi="Times New Roman" w:eastAsia="宋体" w:cs="Times New Roman"/>
                      <w:color w:val="auto"/>
                      <w:sz w:val="21"/>
                      <w:szCs w:val="21"/>
                    </w:rPr>
                    <w:t>地热开采井</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通过新建回灌井及其配套设施，可确保地热供暖实现</w:t>
                  </w:r>
                  <w:r>
                    <w:rPr>
                      <w:rFonts w:hint="eastAsia" w:cs="Times New Roman"/>
                      <w:color w:val="auto"/>
                      <w:sz w:val="21"/>
                      <w:szCs w:val="21"/>
                      <w:lang w:eastAsia="zh-CN"/>
                    </w:rPr>
                    <w:t>“</w:t>
                  </w:r>
                  <w:r>
                    <w:rPr>
                      <w:rFonts w:hint="eastAsia" w:ascii="Times New Roman" w:hAnsi="Times New Roman" w:eastAsia="宋体" w:cs="Times New Roman"/>
                      <w:color w:val="auto"/>
                      <w:sz w:val="21"/>
                      <w:szCs w:val="21"/>
                    </w:rPr>
                    <w:t>采灌均衡、间接换热、分层开采</w:t>
                  </w:r>
                  <w:r>
                    <w:rPr>
                      <w:rFonts w:hint="eastAsia" w:cs="Times New Roman"/>
                      <w:color w:val="auto"/>
                      <w:sz w:val="21"/>
                      <w:szCs w:val="21"/>
                      <w:lang w:eastAsia="zh-CN"/>
                    </w:rPr>
                    <w:t>”</w:t>
                  </w:r>
                  <w:r>
                    <w:rPr>
                      <w:rFonts w:hint="eastAsia" w:ascii="Times New Roman" w:hAnsi="Times New Roman" w:eastAsia="宋体" w:cs="Times New Roman"/>
                      <w:color w:val="auto"/>
                      <w:sz w:val="21"/>
                      <w:szCs w:val="21"/>
                    </w:rPr>
                    <w:t>的清洁利用方式，基本不存在地下水污染风险</w:t>
                  </w:r>
                </w:p>
              </w:tc>
              <w:tc>
                <w:tcPr>
                  <w:tcW w:w="475" w:type="dxa"/>
                  <w:noWrap w:val="0"/>
                  <w:vAlign w:val="center"/>
                </w:tcPr>
                <w:p w14:paraId="0020911F">
                  <w:pPr>
                    <w:autoSpaceDE w:val="0"/>
                    <w:autoSpaceDN w:val="0"/>
                    <w:adjustRightInd w:val="0"/>
                    <w:snapToGrid w:val="0"/>
                    <w:jc w:val="center"/>
                    <w:rPr>
                      <w:rFonts w:hint="default"/>
                      <w:color w:val="auto"/>
                      <w:sz w:val="21"/>
                      <w:szCs w:val="21"/>
                      <w:lang w:val="en-US" w:eastAsia="zh-CN"/>
                    </w:rPr>
                  </w:pPr>
                  <w:r>
                    <w:rPr>
                      <w:rFonts w:hint="eastAsia"/>
                      <w:color w:val="auto"/>
                      <w:sz w:val="21"/>
                      <w:szCs w:val="21"/>
                      <w:lang w:val="en-US" w:eastAsia="zh-CN"/>
                    </w:rPr>
                    <w:t>符合</w:t>
                  </w:r>
                </w:p>
              </w:tc>
            </w:tr>
          </w:tbl>
          <w:p w14:paraId="3B6B1541">
            <w:pPr>
              <w:pStyle w:val="22"/>
              <w:bidi w:val="0"/>
              <w:rPr>
                <w:rFonts w:hint="default"/>
                <w:color w:val="auto"/>
                <w:lang w:val="en-US" w:eastAsia="zh-CN"/>
              </w:rPr>
            </w:pPr>
          </w:p>
          <w:p w14:paraId="69D2706E">
            <w:pPr>
              <w:pStyle w:val="22"/>
              <w:bidi w:val="0"/>
              <w:rPr>
                <w:rFonts w:hint="default" w:ascii="宋体" w:hAnsi="宋体" w:cs="宋体"/>
                <w:color w:val="auto"/>
                <w:kern w:val="0"/>
                <w:szCs w:val="21"/>
                <w:lang w:val="en-US" w:eastAsia="zh-CN"/>
              </w:rPr>
            </w:pPr>
          </w:p>
        </w:tc>
      </w:tr>
    </w:tbl>
    <w:p w14:paraId="77D3B67F">
      <w:pPr>
        <w:pStyle w:val="14"/>
        <w:rPr>
          <w:color w:val="auto"/>
        </w:rPr>
        <w:sectPr>
          <w:pgSz w:w="11906" w:h="16838"/>
          <w:pgMar w:top="1701" w:right="1531" w:bottom="1701" w:left="1531" w:header="851" w:footer="1077" w:gutter="0"/>
          <w:pgBorders>
            <w:top w:val="none" w:sz="0" w:space="0"/>
            <w:left w:val="none" w:sz="0" w:space="0"/>
            <w:bottom w:val="none" w:sz="0" w:space="0"/>
            <w:right w:val="none" w:sz="0" w:space="0"/>
          </w:pgBorders>
          <w:pgNumType w:fmt="decimal"/>
          <w:cols w:space="720" w:num="1"/>
          <w:docGrid w:linePitch="312" w:charSpace="0"/>
        </w:sectPr>
      </w:pPr>
    </w:p>
    <w:p w14:paraId="3A00C70B">
      <w:pPr>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二、建设内容</w:t>
      </w:r>
    </w:p>
    <w:tbl>
      <w:tblPr>
        <w:tblStyle w:val="15"/>
        <w:tblW w:w="909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0"/>
        <w:gridCol w:w="8380"/>
      </w:tblGrid>
      <w:tr w14:paraId="51C001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97" w:hRule="atLeast"/>
          <w:jc w:val="center"/>
        </w:trPr>
        <w:tc>
          <w:tcPr>
            <w:tcW w:w="710" w:type="dxa"/>
            <w:noWrap w:val="0"/>
            <w:vAlign w:val="center"/>
          </w:tcPr>
          <w:p w14:paraId="72F069A3">
            <w:pPr>
              <w:adjustRightInd w:val="0"/>
              <w:snapToGrid w:val="0"/>
              <w:jc w:val="center"/>
              <w:rPr>
                <w:rFonts w:ascii="宋体" w:hAnsi="宋体" w:cs="宋体"/>
                <w:color w:val="auto"/>
                <w:kern w:val="0"/>
                <w:szCs w:val="21"/>
              </w:rPr>
            </w:pPr>
            <w:r>
              <w:rPr>
                <w:rFonts w:hint="eastAsia" w:ascii="宋体" w:hAnsi="宋体" w:cs="宋体"/>
                <w:color w:val="auto"/>
                <w:kern w:val="0"/>
                <w:sz w:val="24"/>
                <w:szCs w:val="24"/>
              </w:rPr>
              <w:t>地理位置</w:t>
            </w:r>
          </w:p>
        </w:tc>
        <w:tc>
          <w:tcPr>
            <w:tcW w:w="8380" w:type="dxa"/>
            <w:noWrap w:val="0"/>
            <w:vAlign w:val="center"/>
          </w:tcPr>
          <w:p w14:paraId="11ED1247">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default" w:ascii="宋体" w:hAnsi="宋体" w:eastAsia="宋体" w:cs="宋体"/>
                <w:color w:val="auto"/>
                <w:kern w:val="0"/>
                <w:szCs w:val="21"/>
                <w:lang w:val="en-US" w:eastAsia="zh-CN"/>
              </w:rPr>
            </w:pPr>
            <w:r>
              <w:rPr>
                <w:rFonts w:hint="default"/>
                <w:color w:val="auto"/>
              </w:rPr>
              <w:t>本项目地热井及回灌井位于</w:t>
            </w:r>
            <w:r>
              <w:rPr>
                <w:rFonts w:hint="eastAsia"/>
                <w:color w:val="auto"/>
                <w:lang w:val="en-US" w:eastAsia="zh-CN"/>
              </w:rPr>
              <w:t>陕西省</w:t>
            </w:r>
            <w:r>
              <w:rPr>
                <w:rFonts w:hint="default" w:ascii="Times New Roman" w:hAnsi="Times New Roman" w:cs="Times New Roman"/>
                <w:color w:val="auto"/>
                <w:sz w:val="24"/>
                <w:szCs w:val="24"/>
                <w:u w:val="none"/>
              </w:rPr>
              <w:t>西咸新区沣东新城三桥街道北沙口村紫境城小区</w:t>
            </w:r>
            <w:r>
              <w:rPr>
                <w:rFonts w:hint="eastAsia" w:ascii="Times New Roman" w:hAnsi="Times New Roman" w:cs="Times New Roman"/>
                <w:color w:val="auto"/>
                <w:sz w:val="24"/>
                <w:szCs w:val="24"/>
                <w:u w:val="none"/>
                <w:lang w:val="en-US" w:eastAsia="zh-CN"/>
              </w:rPr>
              <w:t>内</w:t>
            </w:r>
            <w:r>
              <w:rPr>
                <w:rFonts w:hint="default"/>
                <w:color w:val="auto"/>
              </w:rPr>
              <w:t>。地热井坐标：</w:t>
            </w:r>
            <w:r>
              <w:rPr>
                <w:rFonts w:hint="default" w:ascii="Times New Roman" w:hAnsi="Times New Roman" w:cs="Times New Roman"/>
                <w:color w:val="auto"/>
                <w:lang w:eastAsia="zh-CN"/>
              </w:rPr>
              <w:t>E：108°49′38.19″，N：34°18′6.8″</w:t>
            </w:r>
            <w:r>
              <w:rPr>
                <w:rFonts w:hint="default"/>
                <w:color w:val="auto"/>
              </w:rPr>
              <w:t>，回灌井坐标为坐标：E：108°49′</w:t>
            </w:r>
            <w:r>
              <w:rPr>
                <w:rFonts w:hint="eastAsia"/>
                <w:color w:val="auto"/>
                <w:lang w:val="en-US" w:eastAsia="zh-CN"/>
              </w:rPr>
              <w:t>28.89</w:t>
            </w:r>
            <w:r>
              <w:rPr>
                <w:rFonts w:hint="default"/>
                <w:color w:val="auto"/>
              </w:rPr>
              <w:t>″，N：34°18′</w:t>
            </w:r>
            <w:r>
              <w:rPr>
                <w:rFonts w:hint="eastAsia"/>
                <w:color w:val="auto"/>
                <w:lang w:val="en-US" w:eastAsia="zh-CN"/>
              </w:rPr>
              <w:t>13.95</w:t>
            </w:r>
            <w:r>
              <w:rPr>
                <w:rFonts w:hint="default"/>
                <w:color w:val="auto"/>
              </w:rPr>
              <w:t>″。项目地理位置见附图1。</w:t>
            </w:r>
          </w:p>
        </w:tc>
      </w:tr>
      <w:tr w14:paraId="79C98B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0" w:type="dxa"/>
            <w:noWrap w:val="0"/>
            <w:vAlign w:val="center"/>
          </w:tcPr>
          <w:p w14:paraId="466E7F59">
            <w:pPr>
              <w:adjustRightInd w:val="0"/>
              <w:snapToGrid w:val="0"/>
              <w:jc w:val="center"/>
              <w:rPr>
                <w:rFonts w:ascii="宋体" w:hAnsi="宋体" w:cs="宋体"/>
                <w:color w:val="auto"/>
                <w:kern w:val="0"/>
                <w:szCs w:val="21"/>
              </w:rPr>
            </w:pPr>
            <w:r>
              <w:rPr>
                <w:rFonts w:hint="eastAsia" w:ascii="宋体" w:hAnsi="宋体" w:cs="宋体"/>
                <w:color w:val="auto"/>
                <w:kern w:val="0"/>
                <w:sz w:val="24"/>
                <w:szCs w:val="24"/>
              </w:rPr>
              <w:t>项目组成及规模</w:t>
            </w:r>
          </w:p>
        </w:tc>
        <w:tc>
          <w:tcPr>
            <w:tcW w:w="8380" w:type="dxa"/>
            <w:noWrap w:val="0"/>
            <w:vAlign w:val="center"/>
          </w:tcPr>
          <w:p w14:paraId="7AFB0F1A">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b/>
                <w:bCs/>
                <w:color w:val="auto"/>
                <w:lang w:val="en-US" w:eastAsia="zh-CN"/>
              </w:rPr>
            </w:pPr>
            <w:r>
              <w:rPr>
                <w:rFonts w:hint="eastAsia"/>
                <w:b/>
                <w:bCs/>
                <w:color w:val="auto"/>
                <w:lang w:val="en-US" w:eastAsia="zh-CN"/>
              </w:rPr>
              <w:t>1、项目由来</w:t>
            </w:r>
          </w:p>
          <w:p w14:paraId="2749B38C">
            <w:pPr>
              <w:pStyle w:val="22"/>
              <w:bidi w:val="0"/>
              <w:rPr>
                <w:rFonts w:hint="default" w:eastAsia="宋体"/>
                <w:color w:val="auto"/>
                <w:lang w:val="en-US" w:eastAsia="zh-CN"/>
              </w:rPr>
            </w:pPr>
            <w:r>
              <w:rPr>
                <w:rFonts w:hint="eastAsia"/>
                <w:color w:val="auto"/>
                <w:lang w:val="en-US" w:eastAsia="zh-CN"/>
              </w:rPr>
              <w:t>由于市政供暖管网未覆盖到此区域，紫境城小区需供热面积为46万m</w:t>
            </w:r>
            <w:r>
              <w:rPr>
                <w:rFonts w:hint="eastAsia"/>
                <w:color w:val="auto"/>
                <w:vertAlign w:val="superscript"/>
                <w:lang w:val="en-US" w:eastAsia="zh-CN"/>
              </w:rPr>
              <w:t>2</w:t>
            </w:r>
            <w:r>
              <w:rPr>
                <w:rFonts w:hint="eastAsia"/>
                <w:color w:val="auto"/>
                <w:lang w:val="en-US" w:eastAsia="zh-CN"/>
              </w:rPr>
              <w:t>，</w:t>
            </w:r>
            <w:r>
              <w:rPr>
                <w:rFonts w:hint="eastAsia"/>
                <w:color w:val="auto"/>
                <w:vertAlign w:val="baseline"/>
                <w:lang w:val="en-US" w:eastAsia="zh-CN"/>
              </w:rPr>
              <w:t>其中地热井可供热面积8.74</w:t>
            </w:r>
            <w:r>
              <w:rPr>
                <w:rFonts w:hint="eastAsia"/>
                <w:color w:val="auto"/>
                <w:lang w:val="en-US" w:eastAsia="zh-CN"/>
              </w:rPr>
              <w:t>万m</w:t>
            </w:r>
            <w:r>
              <w:rPr>
                <w:rFonts w:hint="eastAsia"/>
                <w:color w:val="auto"/>
                <w:vertAlign w:val="superscript"/>
                <w:lang w:val="en-US" w:eastAsia="zh-CN"/>
              </w:rPr>
              <w:t>2</w:t>
            </w:r>
            <w:r>
              <w:rPr>
                <w:rFonts w:hint="eastAsia"/>
                <w:color w:val="auto"/>
                <w:lang w:val="en-US" w:eastAsia="zh-CN"/>
              </w:rPr>
              <w:t>，小区锅炉</w:t>
            </w:r>
            <w:r>
              <w:rPr>
                <w:rFonts w:hint="eastAsia"/>
                <w:color w:val="auto"/>
                <w:vertAlign w:val="baseline"/>
                <w:lang w:val="en-US" w:eastAsia="zh-CN"/>
              </w:rPr>
              <w:t>供热面积37.26</w:t>
            </w:r>
            <w:r>
              <w:rPr>
                <w:rFonts w:hint="eastAsia"/>
                <w:color w:val="auto"/>
                <w:lang w:val="en-US" w:eastAsia="zh-CN"/>
              </w:rPr>
              <w:t>万m</w:t>
            </w:r>
            <w:r>
              <w:rPr>
                <w:rFonts w:hint="eastAsia"/>
                <w:color w:val="auto"/>
                <w:vertAlign w:val="superscript"/>
                <w:lang w:val="en-US" w:eastAsia="zh-CN"/>
              </w:rPr>
              <w:t>2</w:t>
            </w:r>
            <w:r>
              <w:rPr>
                <w:rFonts w:hint="eastAsia"/>
                <w:color w:val="auto"/>
                <w:vertAlign w:val="baseline"/>
                <w:lang w:val="en-US" w:eastAsia="zh-CN"/>
              </w:rPr>
              <w:t>，</w:t>
            </w:r>
            <w:r>
              <w:rPr>
                <w:rFonts w:hint="eastAsia"/>
                <w:color w:val="auto"/>
                <w:lang w:val="en-US" w:eastAsia="zh-CN"/>
              </w:rPr>
              <w:t>本项目建成后与小区锅炉一同为小区用户供暖。地热井和供热管线于小区建设时由开发商建成。企业于2024年9月10日取得陕西省西咸新区住房和城乡建设局关于西咸新区沣东新城紫境城小区中深层地热水采灌井组供热项目取水申请的批复（陕西咸建发〔2024〕74号，见附件3），开采水量为14.52万m</w:t>
            </w:r>
            <w:r>
              <w:rPr>
                <w:rFonts w:hint="eastAsia"/>
                <w:color w:val="auto"/>
                <w:vertAlign w:val="superscript"/>
                <w:lang w:val="en-US" w:eastAsia="zh-CN"/>
              </w:rPr>
              <w:t>3</w:t>
            </w:r>
            <w:r>
              <w:rPr>
                <w:rFonts w:hint="eastAsia"/>
                <w:color w:val="auto"/>
                <w:lang w:val="en-US" w:eastAsia="zh-CN"/>
              </w:rPr>
              <w:t>/a。项目已建地热开采井1眼和供热管线，本次为原有地热开采井配套建设1眼回灌井及回灌设备、热泵系统等。</w:t>
            </w:r>
            <w:r>
              <w:rPr>
                <w:rFonts w:hint="eastAsia"/>
                <w:color w:val="auto"/>
              </w:rPr>
              <w:t>本次评价包括地热井</w:t>
            </w:r>
            <w:r>
              <w:rPr>
                <w:rFonts w:hint="eastAsia"/>
                <w:color w:val="auto"/>
                <w:lang w:eastAsia="zh-CN"/>
              </w:rPr>
              <w:t>、</w:t>
            </w:r>
            <w:r>
              <w:rPr>
                <w:rFonts w:hint="eastAsia"/>
                <w:color w:val="auto"/>
              </w:rPr>
              <w:t>回灌井</w:t>
            </w:r>
            <w:r>
              <w:rPr>
                <w:rFonts w:hint="eastAsia"/>
                <w:color w:val="auto"/>
                <w:lang w:eastAsia="zh-CN"/>
              </w:rPr>
              <w:t>、</w:t>
            </w:r>
            <w:r>
              <w:rPr>
                <w:rFonts w:hint="eastAsia"/>
                <w:color w:val="auto"/>
                <w:lang w:val="en-US" w:eastAsia="zh-CN"/>
              </w:rPr>
              <w:t>回灌管线及供热机房内换热和回灌系统等。</w:t>
            </w:r>
          </w:p>
          <w:p w14:paraId="194FF631">
            <w:pPr>
              <w:pStyle w:val="22"/>
              <w:bidi w:val="0"/>
              <w:rPr>
                <w:rFonts w:hint="eastAsia"/>
                <w:b/>
                <w:bCs/>
                <w:color w:val="auto"/>
                <w:lang w:val="en-US" w:eastAsia="zh-CN"/>
              </w:rPr>
            </w:pPr>
            <w:r>
              <w:rPr>
                <w:rFonts w:hint="eastAsia"/>
                <w:b/>
                <w:bCs/>
                <w:color w:val="auto"/>
                <w:lang w:val="en-US" w:eastAsia="zh-CN"/>
              </w:rPr>
              <w:t>2、项目基本情况</w:t>
            </w:r>
          </w:p>
          <w:p w14:paraId="61FF858D">
            <w:pPr>
              <w:pStyle w:val="22"/>
              <w:bidi w:val="0"/>
              <w:rPr>
                <w:rFonts w:hint="eastAsia"/>
                <w:color w:val="auto"/>
                <w:lang w:val="en-US" w:eastAsia="zh-CN"/>
              </w:rPr>
            </w:pPr>
            <w:r>
              <w:rPr>
                <w:rFonts w:hint="eastAsia"/>
                <w:color w:val="auto"/>
                <w:lang w:val="en-US" w:eastAsia="zh-CN"/>
              </w:rPr>
              <w:t>项目名称：北沙口紫境城小区地热井及回灌井建设项目</w:t>
            </w:r>
          </w:p>
          <w:p w14:paraId="185B13BB">
            <w:pPr>
              <w:pStyle w:val="22"/>
              <w:bidi w:val="0"/>
              <w:rPr>
                <w:rFonts w:hint="eastAsia"/>
                <w:color w:val="auto"/>
                <w:lang w:val="en-US" w:eastAsia="zh-CN"/>
              </w:rPr>
            </w:pPr>
            <w:r>
              <w:rPr>
                <w:rFonts w:hint="eastAsia"/>
                <w:color w:val="auto"/>
                <w:lang w:val="en-US" w:eastAsia="zh-CN"/>
              </w:rPr>
              <w:t>建设单位：陕西汇都置业有限公司</w:t>
            </w:r>
          </w:p>
          <w:p w14:paraId="6FB54BD2">
            <w:pPr>
              <w:pStyle w:val="22"/>
              <w:bidi w:val="0"/>
              <w:rPr>
                <w:rFonts w:hint="eastAsia"/>
                <w:color w:val="auto"/>
                <w:lang w:val="en-US" w:eastAsia="zh-CN"/>
              </w:rPr>
            </w:pPr>
            <w:r>
              <w:rPr>
                <w:rFonts w:hint="eastAsia"/>
                <w:color w:val="auto"/>
                <w:lang w:val="en-US" w:eastAsia="zh-CN"/>
              </w:rPr>
              <w:t>建设性质：新建</w:t>
            </w:r>
          </w:p>
          <w:p w14:paraId="4A144E0D">
            <w:pPr>
              <w:pStyle w:val="22"/>
              <w:bidi w:val="0"/>
              <w:rPr>
                <w:rFonts w:hint="eastAsia"/>
                <w:color w:val="auto"/>
                <w:lang w:val="en-US" w:eastAsia="zh-CN"/>
              </w:rPr>
            </w:pPr>
            <w:r>
              <w:rPr>
                <w:rFonts w:hint="eastAsia"/>
                <w:color w:val="auto"/>
                <w:lang w:val="en-US" w:eastAsia="zh-CN"/>
              </w:rPr>
              <w:t>建设地点：该项目位于陕西省</w:t>
            </w:r>
            <w:r>
              <w:rPr>
                <w:rFonts w:hint="default" w:ascii="Times New Roman" w:hAnsi="Times New Roman" w:cs="Times New Roman"/>
                <w:color w:val="auto"/>
                <w:sz w:val="24"/>
                <w:szCs w:val="24"/>
                <w:u w:val="none"/>
              </w:rPr>
              <w:t>西咸新区沣东新城三桥街道北沙口村紫境城小区</w:t>
            </w:r>
            <w:r>
              <w:rPr>
                <w:rFonts w:hint="eastAsia"/>
                <w:color w:val="auto"/>
                <w:lang w:val="en-US" w:eastAsia="zh-CN"/>
              </w:rPr>
              <w:t>。</w:t>
            </w:r>
          </w:p>
          <w:p w14:paraId="4F22EDE3">
            <w:pPr>
              <w:pStyle w:val="22"/>
              <w:bidi w:val="0"/>
              <w:rPr>
                <w:rFonts w:hint="eastAsia"/>
                <w:color w:val="auto"/>
                <w:lang w:val="en-US" w:eastAsia="zh-CN"/>
              </w:rPr>
            </w:pPr>
            <w:r>
              <w:rPr>
                <w:rFonts w:hint="eastAsia"/>
                <w:b/>
                <w:bCs/>
                <w:color w:val="auto"/>
                <w:lang w:val="en-US" w:eastAsia="zh-CN"/>
              </w:rPr>
              <w:t>3、建设规模及建设内容</w:t>
            </w:r>
          </w:p>
          <w:p w14:paraId="13AAF0B8">
            <w:pPr>
              <w:pStyle w:val="22"/>
              <w:bidi w:val="0"/>
              <w:rPr>
                <w:rFonts w:hint="eastAsia"/>
                <w:color w:val="auto"/>
                <w:lang w:val="en-US" w:eastAsia="zh-CN"/>
              </w:rPr>
            </w:pPr>
            <w:r>
              <w:rPr>
                <w:rFonts w:hint="eastAsia"/>
                <w:color w:val="auto"/>
                <w:lang w:val="en-US" w:eastAsia="zh-CN"/>
              </w:rPr>
              <w:t>建设项目完成后形成地热井1眼，回灌井1眼，建设内容及项目组成详见表2-1。</w:t>
            </w:r>
          </w:p>
          <w:p w14:paraId="1830EAE8">
            <w:pPr>
              <w:pStyle w:val="21"/>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b/>
                <w:bCs/>
                <w:color w:val="auto"/>
                <w:szCs w:val="24"/>
              </w:rPr>
            </w:pPr>
            <w:r>
              <w:rPr>
                <w:rFonts w:ascii="Times New Roman" w:hAnsi="Times New Roman" w:eastAsia="宋体" w:cs="Times New Roman"/>
                <w:b/>
                <w:bCs/>
                <w:color w:val="auto"/>
                <w:szCs w:val="24"/>
              </w:rPr>
              <w:t>表</w:t>
            </w:r>
            <w:r>
              <w:rPr>
                <w:rFonts w:hint="eastAsia" w:ascii="Times New Roman" w:hAnsi="Times New Roman" w:eastAsia="宋体" w:cs="Times New Roman"/>
                <w:b/>
                <w:bCs/>
                <w:color w:val="auto"/>
                <w:szCs w:val="24"/>
              </w:rPr>
              <w:t>2-1</w:t>
            </w:r>
            <w:r>
              <w:rPr>
                <w:rFonts w:ascii="Times New Roman" w:hAnsi="Times New Roman" w:eastAsia="宋体" w:cs="Times New Roman"/>
                <w:b/>
                <w:bCs/>
                <w:color w:val="auto"/>
                <w:szCs w:val="24"/>
              </w:rPr>
              <w:t xml:space="preserve"> </w:t>
            </w:r>
            <w:r>
              <w:rPr>
                <w:rFonts w:hint="eastAsia" w:ascii="Times New Roman" w:hAnsi="Times New Roman" w:eastAsia="宋体" w:cs="Times New Roman"/>
                <w:b/>
                <w:bCs/>
                <w:color w:val="auto"/>
                <w:szCs w:val="24"/>
              </w:rPr>
              <w:t xml:space="preserve"> </w:t>
            </w:r>
            <w:r>
              <w:rPr>
                <w:rFonts w:ascii="Times New Roman" w:hAnsi="Times New Roman" w:eastAsia="宋体" w:cs="Times New Roman"/>
                <w:b/>
                <w:bCs/>
                <w:color w:val="auto"/>
                <w:szCs w:val="24"/>
              </w:rPr>
              <w:t>建设项目组成一览表</w:t>
            </w:r>
          </w:p>
          <w:tbl>
            <w:tblPr>
              <w:tblStyle w:val="15"/>
              <w:tblW w:w="824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5"/>
              <w:gridCol w:w="371"/>
              <w:gridCol w:w="618"/>
              <w:gridCol w:w="650"/>
              <w:gridCol w:w="4390"/>
              <w:gridCol w:w="1532"/>
            </w:tblGrid>
            <w:tr w14:paraId="06AEF8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noWrap w:val="0"/>
                  <w:vAlign w:val="center"/>
                </w:tcPr>
                <w:p w14:paraId="71A69C4D">
                  <w:pPr>
                    <w:adjustRightInd w:val="0"/>
                    <w:snapToGrid w:val="0"/>
                    <w:jc w:val="center"/>
                    <w:rPr>
                      <w:b/>
                      <w:color w:val="auto"/>
                      <w:sz w:val="21"/>
                      <w:szCs w:val="21"/>
                    </w:rPr>
                  </w:pPr>
                  <w:bookmarkStart w:id="2" w:name="_Hlk521661023"/>
                  <w:r>
                    <w:rPr>
                      <w:b/>
                      <w:color w:val="auto"/>
                      <w:sz w:val="21"/>
                      <w:szCs w:val="21"/>
                    </w:rPr>
                    <w:t>工程类别</w:t>
                  </w:r>
                </w:p>
              </w:tc>
              <w:tc>
                <w:tcPr>
                  <w:tcW w:w="993" w:type="pct"/>
                  <w:gridSpan w:val="3"/>
                  <w:noWrap w:val="0"/>
                  <w:vAlign w:val="center"/>
                </w:tcPr>
                <w:p w14:paraId="37B474C1">
                  <w:pPr>
                    <w:adjustRightInd w:val="0"/>
                    <w:snapToGrid w:val="0"/>
                    <w:jc w:val="center"/>
                    <w:rPr>
                      <w:b/>
                      <w:color w:val="auto"/>
                      <w:sz w:val="21"/>
                      <w:szCs w:val="21"/>
                    </w:rPr>
                  </w:pPr>
                  <w:r>
                    <w:rPr>
                      <w:b/>
                      <w:color w:val="auto"/>
                      <w:sz w:val="21"/>
                      <w:szCs w:val="21"/>
                    </w:rPr>
                    <w:t>主要项目</w:t>
                  </w:r>
                </w:p>
              </w:tc>
              <w:tc>
                <w:tcPr>
                  <w:tcW w:w="2661" w:type="pct"/>
                  <w:noWrap w:val="0"/>
                  <w:vAlign w:val="center"/>
                </w:tcPr>
                <w:p w14:paraId="27A76621">
                  <w:pPr>
                    <w:adjustRightInd w:val="0"/>
                    <w:snapToGrid w:val="0"/>
                    <w:jc w:val="center"/>
                    <w:rPr>
                      <w:b/>
                      <w:color w:val="auto"/>
                      <w:sz w:val="21"/>
                      <w:szCs w:val="21"/>
                    </w:rPr>
                  </w:pPr>
                  <w:r>
                    <w:rPr>
                      <w:b/>
                      <w:color w:val="auto"/>
                      <w:sz w:val="21"/>
                      <w:szCs w:val="21"/>
                    </w:rPr>
                    <w:t>建设内容</w:t>
                  </w:r>
                </w:p>
              </w:tc>
              <w:tc>
                <w:tcPr>
                  <w:tcW w:w="928" w:type="pct"/>
                  <w:noWrap w:val="0"/>
                  <w:vAlign w:val="center"/>
                </w:tcPr>
                <w:p w14:paraId="2CD8D8A9">
                  <w:pPr>
                    <w:adjustRightInd w:val="0"/>
                    <w:snapToGrid w:val="0"/>
                    <w:jc w:val="center"/>
                    <w:rPr>
                      <w:rFonts w:hint="default" w:eastAsia="宋体"/>
                      <w:b/>
                      <w:color w:val="auto"/>
                      <w:sz w:val="21"/>
                      <w:szCs w:val="21"/>
                      <w:lang w:val="en-US" w:eastAsia="zh-CN"/>
                    </w:rPr>
                  </w:pPr>
                  <w:r>
                    <w:rPr>
                      <w:rFonts w:hint="eastAsia"/>
                      <w:b/>
                      <w:color w:val="auto"/>
                      <w:sz w:val="21"/>
                      <w:szCs w:val="21"/>
                      <w:lang w:val="en-US" w:eastAsia="zh-CN"/>
                    </w:rPr>
                    <w:t>备注</w:t>
                  </w:r>
                </w:p>
              </w:tc>
            </w:tr>
            <w:tr w14:paraId="1E2AA5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restart"/>
                  <w:noWrap w:val="0"/>
                  <w:vAlign w:val="center"/>
                </w:tcPr>
                <w:p w14:paraId="4D7B4E9F">
                  <w:pPr>
                    <w:adjustRightInd w:val="0"/>
                    <w:snapToGrid w:val="0"/>
                    <w:jc w:val="center"/>
                    <w:rPr>
                      <w:color w:val="auto"/>
                      <w:sz w:val="21"/>
                      <w:szCs w:val="21"/>
                    </w:rPr>
                  </w:pPr>
                  <w:r>
                    <w:rPr>
                      <w:color w:val="auto"/>
                      <w:sz w:val="21"/>
                      <w:szCs w:val="21"/>
                    </w:rPr>
                    <w:t>主体工程</w:t>
                  </w:r>
                </w:p>
              </w:tc>
              <w:tc>
                <w:tcPr>
                  <w:tcW w:w="993" w:type="pct"/>
                  <w:gridSpan w:val="3"/>
                  <w:noWrap w:val="0"/>
                  <w:vAlign w:val="center"/>
                </w:tcPr>
                <w:p w14:paraId="01D259D1">
                  <w:pPr>
                    <w:widowControl/>
                    <w:adjustRightInd w:val="0"/>
                    <w:snapToGrid w:val="0"/>
                    <w:jc w:val="center"/>
                    <w:rPr>
                      <w:rFonts w:hint="default"/>
                      <w:color w:val="auto"/>
                      <w:kern w:val="0"/>
                      <w:sz w:val="21"/>
                      <w:szCs w:val="21"/>
                      <w:lang w:val="en-US" w:eastAsia="zh-CN"/>
                    </w:rPr>
                  </w:pPr>
                  <w:r>
                    <w:rPr>
                      <w:rFonts w:hint="eastAsia"/>
                      <w:color w:val="auto"/>
                      <w:kern w:val="0"/>
                      <w:sz w:val="21"/>
                      <w:szCs w:val="21"/>
                      <w:lang w:val="en-US" w:eastAsia="zh-CN"/>
                    </w:rPr>
                    <w:t>地热井</w:t>
                  </w:r>
                </w:p>
              </w:tc>
              <w:tc>
                <w:tcPr>
                  <w:tcW w:w="2661" w:type="pct"/>
                  <w:noWrap w:val="0"/>
                  <w:vAlign w:val="center"/>
                </w:tcPr>
                <w:p w14:paraId="43DDD5DF">
                  <w:pPr>
                    <w:adjustRightInd w:val="0"/>
                    <w:snapToGrid w:val="0"/>
                    <w:rPr>
                      <w:rFonts w:hint="default"/>
                      <w:color w:val="auto"/>
                      <w:kern w:val="0"/>
                      <w:sz w:val="21"/>
                      <w:szCs w:val="21"/>
                      <w:lang w:val="en-US"/>
                    </w:rPr>
                  </w:pPr>
                  <w:r>
                    <w:rPr>
                      <w:rFonts w:hint="eastAsia"/>
                      <w:color w:val="auto"/>
                      <w:kern w:val="0"/>
                      <w:sz w:val="21"/>
                      <w:szCs w:val="21"/>
                      <w:lang w:val="en-US" w:eastAsia="zh-CN"/>
                    </w:rPr>
                    <w:t>地热井井深2772.2m，该井主要取用蓝田灞河组热储，取水段深度1932.50～2772.20m</w:t>
                  </w:r>
                </w:p>
              </w:tc>
              <w:tc>
                <w:tcPr>
                  <w:tcW w:w="928" w:type="pct"/>
                  <w:noWrap w:val="0"/>
                  <w:vAlign w:val="center"/>
                </w:tcPr>
                <w:p w14:paraId="042770A9">
                  <w:pPr>
                    <w:adjustRightInd w:val="0"/>
                    <w:snapToGrid w:val="0"/>
                    <w:jc w:val="center"/>
                    <w:rPr>
                      <w:rFonts w:hint="default"/>
                      <w:color w:val="auto"/>
                      <w:kern w:val="0"/>
                      <w:sz w:val="21"/>
                      <w:szCs w:val="21"/>
                      <w:lang w:val="en-US" w:eastAsia="zh-CN"/>
                    </w:rPr>
                  </w:pPr>
                  <w:r>
                    <w:rPr>
                      <w:rFonts w:hint="eastAsia"/>
                      <w:color w:val="auto"/>
                      <w:kern w:val="0"/>
                      <w:sz w:val="21"/>
                      <w:szCs w:val="21"/>
                      <w:lang w:val="en-US" w:eastAsia="zh-CN"/>
                    </w:rPr>
                    <w:t>小区建设时由开发商建成</w:t>
                  </w:r>
                </w:p>
              </w:tc>
            </w:tr>
            <w:tr w14:paraId="770F40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15" w:type="pct"/>
                  <w:vMerge w:val="continue"/>
                  <w:noWrap w:val="0"/>
                  <w:vAlign w:val="center"/>
                </w:tcPr>
                <w:p w14:paraId="47B45EEF">
                  <w:pPr>
                    <w:adjustRightInd w:val="0"/>
                    <w:snapToGrid w:val="0"/>
                    <w:jc w:val="center"/>
                    <w:rPr>
                      <w:color w:val="auto"/>
                      <w:sz w:val="21"/>
                      <w:szCs w:val="21"/>
                    </w:rPr>
                  </w:pPr>
                </w:p>
              </w:tc>
              <w:tc>
                <w:tcPr>
                  <w:tcW w:w="993" w:type="pct"/>
                  <w:gridSpan w:val="3"/>
                  <w:noWrap w:val="0"/>
                  <w:vAlign w:val="center"/>
                </w:tcPr>
                <w:p w14:paraId="348EAE78">
                  <w:pPr>
                    <w:widowControl/>
                    <w:adjustRightInd w:val="0"/>
                    <w:snapToGrid w:val="0"/>
                    <w:jc w:val="center"/>
                    <w:rPr>
                      <w:rFonts w:hint="default"/>
                      <w:color w:val="auto"/>
                      <w:kern w:val="0"/>
                      <w:sz w:val="21"/>
                      <w:szCs w:val="21"/>
                      <w:lang w:val="en-US" w:eastAsia="zh-CN"/>
                    </w:rPr>
                  </w:pPr>
                  <w:r>
                    <w:rPr>
                      <w:rFonts w:hint="eastAsia"/>
                      <w:color w:val="auto"/>
                      <w:kern w:val="0"/>
                      <w:sz w:val="21"/>
                      <w:szCs w:val="21"/>
                      <w:lang w:val="en-US" w:eastAsia="zh-CN"/>
                    </w:rPr>
                    <w:t>回灌井</w:t>
                  </w:r>
                </w:p>
              </w:tc>
              <w:tc>
                <w:tcPr>
                  <w:tcW w:w="2661" w:type="pct"/>
                  <w:noWrap w:val="0"/>
                  <w:vAlign w:val="center"/>
                </w:tcPr>
                <w:p w14:paraId="16BE7F97">
                  <w:pPr>
                    <w:adjustRightInd w:val="0"/>
                    <w:snapToGrid w:val="0"/>
                    <w:rPr>
                      <w:rFonts w:hint="eastAsia"/>
                      <w:color w:val="auto"/>
                      <w:kern w:val="0"/>
                      <w:sz w:val="21"/>
                      <w:szCs w:val="21"/>
                      <w:lang w:val="en-US" w:eastAsia="zh-CN"/>
                    </w:rPr>
                  </w:pPr>
                  <w:r>
                    <w:rPr>
                      <w:rFonts w:hint="eastAsia"/>
                      <w:color w:val="auto"/>
                      <w:kern w:val="0"/>
                      <w:sz w:val="21"/>
                      <w:szCs w:val="21"/>
                      <w:lang w:val="en-US" w:eastAsia="zh-CN"/>
                    </w:rPr>
                    <w:t>对应回灌小区内地热井的尾水。位于紫境城小区32号楼外北侧空地，为定向井，设计井深垂深2750.0m/斜深2814.0m，回灌层段1900.00～2750.00m，回灌层段为蓝田灞河组</w:t>
                  </w:r>
                </w:p>
              </w:tc>
              <w:tc>
                <w:tcPr>
                  <w:tcW w:w="928" w:type="pct"/>
                  <w:noWrap w:val="0"/>
                  <w:vAlign w:val="center"/>
                </w:tcPr>
                <w:p w14:paraId="5DB686EE">
                  <w:pPr>
                    <w:adjustRightInd w:val="0"/>
                    <w:snapToGrid w:val="0"/>
                    <w:jc w:val="center"/>
                    <w:rPr>
                      <w:rFonts w:hint="default"/>
                      <w:color w:val="auto"/>
                      <w:kern w:val="0"/>
                      <w:sz w:val="21"/>
                      <w:szCs w:val="21"/>
                      <w:lang w:val="en-US" w:eastAsia="zh-CN"/>
                    </w:rPr>
                  </w:pPr>
                  <w:r>
                    <w:rPr>
                      <w:rFonts w:hint="eastAsia"/>
                      <w:color w:val="auto"/>
                      <w:kern w:val="0"/>
                      <w:sz w:val="21"/>
                      <w:szCs w:val="21"/>
                      <w:lang w:val="en-US" w:eastAsia="zh-CN"/>
                    </w:rPr>
                    <w:t>新建</w:t>
                  </w:r>
                </w:p>
              </w:tc>
            </w:tr>
            <w:tr w14:paraId="3E1672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restart"/>
                  <w:noWrap w:val="0"/>
                  <w:vAlign w:val="center"/>
                </w:tcPr>
                <w:p w14:paraId="045DC133">
                  <w:pPr>
                    <w:adjustRightInd w:val="0"/>
                    <w:snapToGrid w:val="0"/>
                    <w:jc w:val="center"/>
                    <w:rPr>
                      <w:color w:val="auto"/>
                      <w:sz w:val="21"/>
                      <w:szCs w:val="21"/>
                    </w:rPr>
                  </w:pPr>
                  <w:r>
                    <w:rPr>
                      <w:color w:val="auto"/>
                      <w:sz w:val="21"/>
                      <w:szCs w:val="21"/>
                    </w:rPr>
                    <w:t>辅助工程</w:t>
                  </w:r>
                </w:p>
              </w:tc>
              <w:tc>
                <w:tcPr>
                  <w:tcW w:w="993" w:type="pct"/>
                  <w:gridSpan w:val="3"/>
                  <w:noWrap w:val="0"/>
                  <w:vAlign w:val="center"/>
                </w:tcPr>
                <w:p w14:paraId="0F85EA93">
                  <w:pPr>
                    <w:widowControl/>
                    <w:adjustRightInd w:val="0"/>
                    <w:snapToGrid w:val="0"/>
                    <w:jc w:val="center"/>
                    <w:rPr>
                      <w:rFonts w:hint="default" w:eastAsia="宋体"/>
                      <w:color w:val="auto"/>
                      <w:kern w:val="0"/>
                      <w:sz w:val="21"/>
                      <w:szCs w:val="21"/>
                      <w:lang w:val="en-US" w:eastAsia="zh-CN" w:bidi="ar-SA"/>
                    </w:rPr>
                  </w:pPr>
                  <w:r>
                    <w:rPr>
                      <w:rFonts w:hint="eastAsia" w:eastAsia="宋体"/>
                      <w:color w:val="auto"/>
                      <w:kern w:val="0"/>
                      <w:sz w:val="21"/>
                      <w:szCs w:val="21"/>
                      <w:lang w:val="en-US" w:eastAsia="zh-CN"/>
                    </w:rPr>
                    <w:t>供热机房</w:t>
                  </w:r>
                </w:p>
              </w:tc>
              <w:tc>
                <w:tcPr>
                  <w:tcW w:w="2661" w:type="pct"/>
                  <w:noWrap w:val="0"/>
                  <w:vAlign w:val="center"/>
                </w:tcPr>
                <w:p w14:paraId="2056C196">
                  <w:pPr>
                    <w:adjustRightInd w:val="0"/>
                    <w:snapToGrid w:val="0"/>
                    <w:rPr>
                      <w:rFonts w:hint="default"/>
                      <w:bCs/>
                      <w:snapToGrid w:val="0"/>
                      <w:color w:val="auto"/>
                      <w:kern w:val="2"/>
                      <w:sz w:val="21"/>
                      <w:szCs w:val="21"/>
                      <w:lang w:val="en-US" w:eastAsia="zh-CN" w:bidi="ar-SA"/>
                    </w:rPr>
                  </w:pPr>
                  <w:r>
                    <w:rPr>
                      <w:rFonts w:hint="eastAsia"/>
                      <w:bCs/>
                      <w:snapToGrid w:val="0"/>
                      <w:color w:val="auto"/>
                      <w:sz w:val="21"/>
                      <w:szCs w:val="21"/>
                      <w:lang w:val="en-US" w:eastAsia="zh-CN"/>
                    </w:rPr>
                    <w:t>建设供热机房，面积587.25m</w:t>
                  </w:r>
                  <w:r>
                    <w:rPr>
                      <w:rFonts w:hint="eastAsia"/>
                      <w:bCs/>
                      <w:snapToGrid w:val="0"/>
                      <w:color w:val="auto"/>
                      <w:sz w:val="21"/>
                      <w:szCs w:val="21"/>
                      <w:vertAlign w:val="superscript"/>
                      <w:lang w:val="en-US" w:eastAsia="zh-CN"/>
                    </w:rPr>
                    <w:t>2</w:t>
                  </w:r>
                  <w:r>
                    <w:rPr>
                      <w:rFonts w:hint="eastAsia"/>
                      <w:bCs/>
                      <w:snapToGrid w:val="0"/>
                      <w:color w:val="auto"/>
                      <w:sz w:val="21"/>
                      <w:szCs w:val="21"/>
                      <w:lang w:val="en-US" w:eastAsia="zh-CN"/>
                    </w:rPr>
                    <w:t>，包含螺杆热泵、地热井设备、软化设备和换热和回灌系统</w:t>
                  </w:r>
                </w:p>
              </w:tc>
              <w:tc>
                <w:tcPr>
                  <w:tcW w:w="928" w:type="pct"/>
                  <w:noWrap w:val="0"/>
                  <w:vAlign w:val="center"/>
                </w:tcPr>
                <w:p w14:paraId="6749EE7C">
                  <w:pPr>
                    <w:adjustRightInd w:val="0"/>
                    <w:snapToGrid w:val="0"/>
                    <w:jc w:val="center"/>
                    <w:rPr>
                      <w:rFonts w:hint="default"/>
                      <w:bCs/>
                      <w:snapToGrid w:val="0"/>
                      <w:color w:val="auto"/>
                      <w:sz w:val="21"/>
                      <w:szCs w:val="21"/>
                      <w:lang w:val="en-US" w:eastAsia="zh-CN"/>
                    </w:rPr>
                  </w:pPr>
                  <w:r>
                    <w:rPr>
                      <w:rFonts w:hint="eastAsia"/>
                      <w:bCs/>
                      <w:snapToGrid w:val="0"/>
                      <w:color w:val="auto"/>
                      <w:sz w:val="21"/>
                      <w:szCs w:val="21"/>
                      <w:lang w:val="en-US" w:eastAsia="zh-CN"/>
                    </w:rPr>
                    <w:t>/</w:t>
                  </w:r>
                </w:p>
              </w:tc>
            </w:tr>
            <w:tr w14:paraId="497BC3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5" w:type="pct"/>
                  <w:vMerge w:val="continue"/>
                  <w:noWrap w:val="0"/>
                  <w:vAlign w:val="center"/>
                </w:tcPr>
                <w:p w14:paraId="082ED8D7">
                  <w:pPr>
                    <w:adjustRightInd w:val="0"/>
                    <w:snapToGrid w:val="0"/>
                    <w:jc w:val="center"/>
                    <w:rPr>
                      <w:color w:val="auto"/>
                      <w:sz w:val="21"/>
                      <w:szCs w:val="21"/>
                    </w:rPr>
                  </w:pPr>
                </w:p>
              </w:tc>
              <w:tc>
                <w:tcPr>
                  <w:tcW w:w="224" w:type="pct"/>
                  <w:vMerge w:val="restart"/>
                  <w:noWrap w:val="0"/>
                  <w:vAlign w:val="center"/>
                </w:tcPr>
                <w:p w14:paraId="7449C6AC">
                  <w:pPr>
                    <w:widowControl/>
                    <w:adjustRightInd w:val="0"/>
                    <w:snapToGrid w:val="0"/>
                    <w:jc w:val="center"/>
                    <w:rPr>
                      <w:rFonts w:hint="default" w:eastAsia="宋体"/>
                      <w:color w:val="auto"/>
                      <w:kern w:val="0"/>
                      <w:sz w:val="21"/>
                      <w:szCs w:val="21"/>
                      <w:lang w:val="en-US" w:eastAsia="zh-CN"/>
                    </w:rPr>
                  </w:pPr>
                  <w:r>
                    <w:rPr>
                      <w:rFonts w:hint="eastAsia" w:eastAsia="宋体"/>
                      <w:color w:val="auto"/>
                      <w:kern w:val="0"/>
                      <w:sz w:val="21"/>
                      <w:szCs w:val="21"/>
                      <w:lang w:val="en-US" w:eastAsia="zh-CN"/>
                    </w:rPr>
                    <w:t>其中</w:t>
                  </w:r>
                </w:p>
              </w:tc>
              <w:tc>
                <w:tcPr>
                  <w:tcW w:w="768" w:type="pct"/>
                  <w:gridSpan w:val="2"/>
                  <w:noWrap w:val="0"/>
                  <w:vAlign w:val="center"/>
                </w:tcPr>
                <w:p w14:paraId="49D22102">
                  <w:pPr>
                    <w:widowControl/>
                    <w:adjustRightInd w:val="0"/>
                    <w:snapToGrid w:val="0"/>
                    <w:jc w:val="center"/>
                    <w:rPr>
                      <w:rFonts w:hint="default" w:eastAsia="宋体"/>
                      <w:color w:val="auto"/>
                      <w:kern w:val="0"/>
                      <w:sz w:val="21"/>
                      <w:szCs w:val="21"/>
                      <w:lang w:val="en-US" w:eastAsia="zh-CN"/>
                    </w:rPr>
                  </w:pPr>
                  <w:r>
                    <w:rPr>
                      <w:rFonts w:hint="eastAsia"/>
                      <w:color w:val="auto"/>
                      <w:lang w:val="en-US" w:eastAsia="zh-CN"/>
                    </w:rPr>
                    <w:t>换热和回灌系统</w:t>
                  </w:r>
                </w:p>
              </w:tc>
              <w:tc>
                <w:tcPr>
                  <w:tcW w:w="2661" w:type="pct"/>
                  <w:noWrap w:val="0"/>
                  <w:vAlign w:val="center"/>
                </w:tcPr>
                <w:p w14:paraId="30D80E51">
                  <w:pPr>
                    <w:adjustRightInd w:val="0"/>
                    <w:snapToGrid w:val="0"/>
                    <w:rPr>
                      <w:rFonts w:hint="default"/>
                      <w:bCs/>
                      <w:snapToGrid w:val="0"/>
                      <w:color w:val="auto"/>
                      <w:sz w:val="21"/>
                      <w:szCs w:val="21"/>
                      <w:lang w:val="en-US" w:eastAsia="zh-CN"/>
                    </w:rPr>
                  </w:pPr>
                  <w:r>
                    <w:rPr>
                      <w:rFonts w:hint="eastAsia"/>
                      <w:color w:val="auto"/>
                      <w:lang w:val="en-US" w:eastAsia="zh-CN"/>
                    </w:rPr>
                    <w:t>板式热换器（高区板换4台、低区板换4台）、供热循环泵9台；回灌系统（排气罐3台、一次加压泵2台、过滤器3台、二次加压泵2台）</w:t>
                  </w:r>
                </w:p>
              </w:tc>
              <w:tc>
                <w:tcPr>
                  <w:tcW w:w="928" w:type="pct"/>
                  <w:noWrap w:val="0"/>
                  <w:vAlign w:val="center"/>
                </w:tcPr>
                <w:p w14:paraId="2642CBA5">
                  <w:pPr>
                    <w:adjustRightInd w:val="0"/>
                    <w:snapToGrid w:val="0"/>
                    <w:jc w:val="center"/>
                    <w:rPr>
                      <w:rFonts w:hint="default"/>
                      <w:bCs/>
                      <w:snapToGrid w:val="0"/>
                      <w:color w:val="auto"/>
                      <w:sz w:val="21"/>
                      <w:szCs w:val="21"/>
                      <w:lang w:val="en-US" w:eastAsia="zh-CN"/>
                    </w:rPr>
                  </w:pPr>
                  <w:r>
                    <w:rPr>
                      <w:rFonts w:hint="eastAsia"/>
                      <w:bCs/>
                      <w:snapToGrid w:val="0"/>
                      <w:color w:val="auto"/>
                      <w:sz w:val="21"/>
                      <w:szCs w:val="21"/>
                      <w:lang w:val="en-US" w:eastAsia="zh-CN"/>
                    </w:rPr>
                    <w:t>新建</w:t>
                  </w:r>
                </w:p>
              </w:tc>
            </w:tr>
            <w:tr w14:paraId="209F47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continue"/>
                  <w:noWrap w:val="0"/>
                  <w:vAlign w:val="center"/>
                </w:tcPr>
                <w:p w14:paraId="147ADF21">
                  <w:pPr>
                    <w:adjustRightInd w:val="0"/>
                    <w:snapToGrid w:val="0"/>
                    <w:jc w:val="center"/>
                    <w:rPr>
                      <w:color w:val="auto"/>
                      <w:sz w:val="21"/>
                      <w:szCs w:val="21"/>
                    </w:rPr>
                  </w:pPr>
                </w:p>
              </w:tc>
              <w:tc>
                <w:tcPr>
                  <w:tcW w:w="224" w:type="pct"/>
                  <w:vMerge w:val="continue"/>
                  <w:noWrap w:val="0"/>
                  <w:vAlign w:val="center"/>
                </w:tcPr>
                <w:p w14:paraId="60B48730">
                  <w:pPr>
                    <w:widowControl/>
                    <w:adjustRightInd w:val="0"/>
                    <w:snapToGrid w:val="0"/>
                    <w:jc w:val="center"/>
                    <w:rPr>
                      <w:rFonts w:hint="default" w:eastAsia="宋体"/>
                      <w:color w:val="auto"/>
                      <w:kern w:val="0"/>
                      <w:sz w:val="21"/>
                      <w:szCs w:val="21"/>
                      <w:lang w:val="en-US" w:eastAsia="zh-CN"/>
                    </w:rPr>
                  </w:pPr>
                </w:p>
              </w:tc>
              <w:tc>
                <w:tcPr>
                  <w:tcW w:w="768" w:type="pct"/>
                  <w:gridSpan w:val="2"/>
                  <w:noWrap w:val="0"/>
                  <w:vAlign w:val="center"/>
                </w:tcPr>
                <w:p w14:paraId="37BE9A81">
                  <w:pPr>
                    <w:widowControl/>
                    <w:adjustRightInd w:val="0"/>
                    <w:snapToGrid w:val="0"/>
                    <w:jc w:val="center"/>
                    <w:rPr>
                      <w:rFonts w:hint="eastAsia"/>
                      <w:color w:val="auto"/>
                      <w:lang w:val="en-US" w:eastAsia="zh-CN"/>
                    </w:rPr>
                  </w:pPr>
                  <w:r>
                    <w:rPr>
                      <w:rFonts w:hint="eastAsia"/>
                      <w:color w:val="auto"/>
                      <w:lang w:val="en-US" w:eastAsia="zh-CN"/>
                    </w:rPr>
                    <w:t>地热井设备</w:t>
                  </w:r>
                </w:p>
              </w:tc>
              <w:tc>
                <w:tcPr>
                  <w:tcW w:w="2661" w:type="pct"/>
                  <w:noWrap w:val="0"/>
                  <w:vAlign w:val="center"/>
                </w:tcPr>
                <w:p w14:paraId="772FA0DE">
                  <w:pPr>
                    <w:adjustRightInd w:val="0"/>
                    <w:snapToGrid w:val="0"/>
                    <w:rPr>
                      <w:rFonts w:hint="eastAsia"/>
                      <w:color w:val="auto"/>
                      <w:lang w:val="en-US" w:eastAsia="zh-CN"/>
                    </w:rPr>
                  </w:pPr>
                  <w:r>
                    <w:rPr>
                      <w:rFonts w:hint="eastAsia"/>
                      <w:color w:val="auto"/>
                      <w:lang w:val="en-US" w:eastAsia="zh-CN"/>
                    </w:rPr>
                    <w:t>地热井潜水泵1台</w:t>
                  </w:r>
                </w:p>
              </w:tc>
              <w:tc>
                <w:tcPr>
                  <w:tcW w:w="928" w:type="pct"/>
                  <w:noWrap w:val="0"/>
                  <w:vAlign w:val="center"/>
                </w:tcPr>
                <w:p w14:paraId="466206F9">
                  <w:pPr>
                    <w:adjustRightInd w:val="0"/>
                    <w:snapToGrid w:val="0"/>
                    <w:jc w:val="center"/>
                    <w:rPr>
                      <w:rFonts w:hint="eastAsia"/>
                      <w:bCs/>
                      <w:snapToGrid w:val="0"/>
                      <w:color w:val="auto"/>
                      <w:sz w:val="21"/>
                      <w:szCs w:val="21"/>
                      <w:lang w:val="en-US" w:eastAsia="zh-CN"/>
                    </w:rPr>
                  </w:pPr>
                  <w:r>
                    <w:rPr>
                      <w:rFonts w:hint="eastAsia"/>
                      <w:bCs/>
                      <w:snapToGrid w:val="0"/>
                      <w:color w:val="auto"/>
                      <w:sz w:val="21"/>
                      <w:szCs w:val="21"/>
                      <w:lang w:val="en-US" w:eastAsia="zh-CN"/>
                    </w:rPr>
                    <w:t>已建</w:t>
                  </w:r>
                </w:p>
              </w:tc>
            </w:tr>
            <w:tr w14:paraId="7F104B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continue"/>
                  <w:noWrap w:val="0"/>
                  <w:vAlign w:val="center"/>
                </w:tcPr>
                <w:p w14:paraId="34CEEB34">
                  <w:pPr>
                    <w:adjustRightInd w:val="0"/>
                    <w:snapToGrid w:val="0"/>
                    <w:jc w:val="center"/>
                    <w:rPr>
                      <w:color w:val="auto"/>
                      <w:sz w:val="21"/>
                      <w:szCs w:val="21"/>
                    </w:rPr>
                  </w:pPr>
                </w:p>
              </w:tc>
              <w:tc>
                <w:tcPr>
                  <w:tcW w:w="224" w:type="pct"/>
                  <w:vMerge w:val="continue"/>
                  <w:noWrap w:val="0"/>
                  <w:vAlign w:val="center"/>
                </w:tcPr>
                <w:p w14:paraId="445E7DA1">
                  <w:pPr>
                    <w:widowControl/>
                    <w:adjustRightInd w:val="0"/>
                    <w:snapToGrid w:val="0"/>
                    <w:jc w:val="center"/>
                    <w:rPr>
                      <w:rFonts w:hint="default" w:eastAsia="宋体"/>
                      <w:color w:val="auto"/>
                      <w:kern w:val="0"/>
                      <w:sz w:val="21"/>
                      <w:szCs w:val="21"/>
                      <w:lang w:val="en-US" w:eastAsia="zh-CN"/>
                    </w:rPr>
                  </w:pPr>
                </w:p>
              </w:tc>
              <w:tc>
                <w:tcPr>
                  <w:tcW w:w="768" w:type="pct"/>
                  <w:gridSpan w:val="2"/>
                  <w:noWrap w:val="0"/>
                  <w:vAlign w:val="center"/>
                </w:tcPr>
                <w:p w14:paraId="0CB8BFC1">
                  <w:pPr>
                    <w:widowControl/>
                    <w:adjustRightInd w:val="0"/>
                    <w:snapToGrid w:val="0"/>
                    <w:jc w:val="center"/>
                    <w:rPr>
                      <w:rFonts w:hint="eastAsia" w:eastAsia="宋体"/>
                      <w:color w:val="auto"/>
                      <w:kern w:val="0"/>
                      <w:sz w:val="21"/>
                      <w:szCs w:val="21"/>
                      <w:lang w:val="en-US" w:eastAsia="zh-CN" w:bidi="ar-SA"/>
                    </w:rPr>
                  </w:pPr>
                  <w:r>
                    <w:rPr>
                      <w:rFonts w:hint="eastAsia" w:eastAsia="宋体"/>
                      <w:color w:val="auto"/>
                      <w:kern w:val="0"/>
                      <w:sz w:val="21"/>
                      <w:szCs w:val="21"/>
                      <w:lang w:val="en-US" w:eastAsia="zh-CN"/>
                    </w:rPr>
                    <w:t>软化设备</w:t>
                  </w:r>
                </w:p>
              </w:tc>
              <w:tc>
                <w:tcPr>
                  <w:tcW w:w="2661" w:type="pct"/>
                  <w:noWrap w:val="0"/>
                  <w:vAlign w:val="center"/>
                </w:tcPr>
                <w:p w14:paraId="3858476B">
                  <w:pPr>
                    <w:adjustRightInd w:val="0"/>
                    <w:snapToGrid w:val="0"/>
                    <w:rPr>
                      <w:rFonts w:hint="default"/>
                      <w:bCs/>
                      <w:snapToGrid w:val="0"/>
                      <w:color w:val="auto"/>
                      <w:kern w:val="2"/>
                      <w:sz w:val="21"/>
                      <w:szCs w:val="21"/>
                      <w:lang w:val="en-US" w:eastAsia="zh-CN" w:bidi="ar-SA"/>
                    </w:rPr>
                  </w:pPr>
                  <w:r>
                    <w:rPr>
                      <w:rFonts w:hint="eastAsia"/>
                      <w:bCs/>
                      <w:snapToGrid w:val="0"/>
                      <w:color w:val="auto"/>
                      <w:sz w:val="21"/>
                      <w:szCs w:val="21"/>
                      <w:lang w:val="en-US" w:eastAsia="zh-CN"/>
                    </w:rPr>
                    <w:t>全自动软化装置1台、软化水箱1个8m</w:t>
                  </w:r>
                  <w:r>
                    <w:rPr>
                      <w:rFonts w:hint="eastAsia"/>
                      <w:bCs/>
                      <w:snapToGrid w:val="0"/>
                      <w:color w:val="auto"/>
                      <w:sz w:val="21"/>
                      <w:szCs w:val="21"/>
                      <w:vertAlign w:val="superscript"/>
                      <w:lang w:val="en-US" w:eastAsia="zh-CN"/>
                    </w:rPr>
                    <w:t>3</w:t>
                  </w:r>
                </w:p>
              </w:tc>
              <w:tc>
                <w:tcPr>
                  <w:tcW w:w="928" w:type="pct"/>
                  <w:noWrap w:val="0"/>
                  <w:vAlign w:val="center"/>
                </w:tcPr>
                <w:p w14:paraId="400FF320">
                  <w:pPr>
                    <w:adjustRightInd w:val="0"/>
                    <w:snapToGrid w:val="0"/>
                    <w:jc w:val="center"/>
                    <w:rPr>
                      <w:rFonts w:hint="eastAsia"/>
                      <w:bCs/>
                      <w:snapToGrid w:val="0"/>
                      <w:color w:val="auto"/>
                      <w:kern w:val="2"/>
                      <w:sz w:val="21"/>
                      <w:szCs w:val="21"/>
                      <w:lang w:val="en-US" w:eastAsia="zh-CN" w:bidi="ar-SA"/>
                    </w:rPr>
                  </w:pPr>
                  <w:r>
                    <w:rPr>
                      <w:rFonts w:hint="eastAsia"/>
                      <w:bCs/>
                      <w:snapToGrid w:val="0"/>
                      <w:color w:val="auto"/>
                      <w:sz w:val="21"/>
                      <w:szCs w:val="21"/>
                      <w:lang w:val="en-US" w:eastAsia="zh-CN"/>
                    </w:rPr>
                    <w:t>新建</w:t>
                  </w:r>
                </w:p>
              </w:tc>
            </w:tr>
            <w:tr w14:paraId="101709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continue"/>
                  <w:noWrap w:val="0"/>
                  <w:vAlign w:val="center"/>
                </w:tcPr>
                <w:p w14:paraId="345B8ABF">
                  <w:pPr>
                    <w:adjustRightInd w:val="0"/>
                    <w:snapToGrid w:val="0"/>
                    <w:jc w:val="center"/>
                    <w:rPr>
                      <w:color w:val="auto"/>
                      <w:sz w:val="21"/>
                      <w:szCs w:val="21"/>
                    </w:rPr>
                  </w:pPr>
                </w:p>
              </w:tc>
              <w:tc>
                <w:tcPr>
                  <w:tcW w:w="224" w:type="pct"/>
                  <w:vMerge w:val="continue"/>
                  <w:noWrap w:val="0"/>
                  <w:vAlign w:val="center"/>
                </w:tcPr>
                <w:p w14:paraId="3E677222">
                  <w:pPr>
                    <w:widowControl/>
                    <w:adjustRightInd w:val="0"/>
                    <w:snapToGrid w:val="0"/>
                    <w:jc w:val="center"/>
                    <w:rPr>
                      <w:rFonts w:hint="default" w:eastAsia="宋体"/>
                      <w:color w:val="auto"/>
                      <w:kern w:val="0"/>
                      <w:sz w:val="21"/>
                      <w:szCs w:val="21"/>
                      <w:lang w:val="en-US" w:eastAsia="zh-CN"/>
                    </w:rPr>
                  </w:pPr>
                </w:p>
              </w:tc>
              <w:tc>
                <w:tcPr>
                  <w:tcW w:w="768" w:type="pct"/>
                  <w:gridSpan w:val="2"/>
                  <w:noWrap w:val="0"/>
                  <w:vAlign w:val="center"/>
                </w:tcPr>
                <w:p w14:paraId="0B2A0D5A">
                  <w:pPr>
                    <w:widowControl/>
                    <w:adjustRightInd w:val="0"/>
                    <w:snapToGrid w:val="0"/>
                    <w:jc w:val="center"/>
                    <w:rPr>
                      <w:rFonts w:hint="default" w:eastAsia="宋体"/>
                      <w:color w:val="auto"/>
                      <w:kern w:val="0"/>
                      <w:sz w:val="21"/>
                      <w:szCs w:val="21"/>
                      <w:lang w:val="en-US" w:eastAsia="zh-CN"/>
                    </w:rPr>
                  </w:pPr>
                  <w:r>
                    <w:rPr>
                      <w:rFonts w:hint="eastAsia" w:eastAsia="宋体"/>
                      <w:color w:val="auto"/>
                      <w:kern w:val="0"/>
                      <w:sz w:val="21"/>
                      <w:szCs w:val="21"/>
                      <w:lang w:val="en-US" w:eastAsia="zh-CN"/>
                    </w:rPr>
                    <w:t>管线工程</w:t>
                  </w:r>
                </w:p>
              </w:tc>
              <w:tc>
                <w:tcPr>
                  <w:tcW w:w="2661" w:type="pct"/>
                  <w:noWrap w:val="0"/>
                  <w:vAlign w:val="center"/>
                </w:tcPr>
                <w:p w14:paraId="5FCEE2F9">
                  <w:pPr>
                    <w:adjustRightInd w:val="0"/>
                    <w:snapToGrid w:val="0"/>
                    <w:rPr>
                      <w:rFonts w:hint="default"/>
                      <w:bCs/>
                      <w:snapToGrid w:val="0"/>
                      <w:color w:val="auto"/>
                      <w:sz w:val="21"/>
                      <w:szCs w:val="21"/>
                      <w:lang w:val="en-US" w:eastAsia="zh-CN"/>
                    </w:rPr>
                  </w:pPr>
                  <w:r>
                    <w:rPr>
                      <w:rFonts w:hint="eastAsia"/>
                      <w:color w:val="auto"/>
                      <w:lang w:val="en-US" w:eastAsia="zh-CN"/>
                    </w:rPr>
                    <w:t>回灌</w:t>
                  </w:r>
                  <w:r>
                    <w:rPr>
                      <w:rFonts w:hint="eastAsia"/>
                      <w:color w:val="auto"/>
                    </w:rPr>
                    <w:t>管线</w:t>
                  </w:r>
                  <w:r>
                    <w:rPr>
                      <w:rFonts w:hint="eastAsia"/>
                      <w:color w:val="auto"/>
                      <w:lang w:val="en-US" w:eastAsia="zh-CN"/>
                    </w:rPr>
                    <w:t>沿供热机房</w:t>
                  </w:r>
                  <w:r>
                    <w:rPr>
                      <w:rFonts w:hint="eastAsia"/>
                      <w:color w:val="auto"/>
                    </w:rPr>
                    <w:t>向</w:t>
                  </w:r>
                  <w:r>
                    <w:rPr>
                      <w:rFonts w:hint="eastAsia"/>
                      <w:color w:val="auto"/>
                      <w:lang w:val="en-US" w:eastAsia="zh-CN"/>
                    </w:rPr>
                    <w:t>东北</w:t>
                  </w:r>
                  <w:r>
                    <w:rPr>
                      <w:rFonts w:hint="eastAsia"/>
                      <w:color w:val="auto"/>
                    </w:rPr>
                    <w:t>敷设至回灌井</w:t>
                  </w:r>
                  <w:r>
                    <w:rPr>
                      <w:rFonts w:hint="eastAsia"/>
                      <w:color w:val="auto"/>
                      <w:lang w:val="en-US" w:eastAsia="zh-CN"/>
                    </w:rPr>
                    <w:t>（地下室架空敷设70m，顶管施工225m）</w:t>
                  </w:r>
                </w:p>
              </w:tc>
              <w:tc>
                <w:tcPr>
                  <w:tcW w:w="928" w:type="pct"/>
                  <w:noWrap w:val="0"/>
                  <w:vAlign w:val="center"/>
                </w:tcPr>
                <w:p w14:paraId="282BD883">
                  <w:pPr>
                    <w:adjustRightInd w:val="0"/>
                    <w:snapToGrid w:val="0"/>
                    <w:jc w:val="center"/>
                    <w:rPr>
                      <w:rFonts w:hint="default"/>
                      <w:bCs/>
                      <w:snapToGrid w:val="0"/>
                      <w:color w:val="auto"/>
                      <w:sz w:val="21"/>
                      <w:szCs w:val="21"/>
                      <w:lang w:val="en-US" w:eastAsia="zh-CN"/>
                    </w:rPr>
                  </w:pPr>
                  <w:r>
                    <w:rPr>
                      <w:rFonts w:hint="eastAsia"/>
                      <w:bCs/>
                      <w:snapToGrid w:val="0"/>
                      <w:color w:val="auto"/>
                      <w:sz w:val="21"/>
                      <w:szCs w:val="21"/>
                      <w:lang w:val="en-US" w:eastAsia="zh-CN"/>
                    </w:rPr>
                    <w:t>新建</w:t>
                  </w:r>
                </w:p>
              </w:tc>
            </w:tr>
            <w:tr w14:paraId="7605A7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restart"/>
                  <w:noWrap w:val="0"/>
                  <w:vAlign w:val="center"/>
                </w:tcPr>
                <w:p w14:paraId="1F18E625">
                  <w:pPr>
                    <w:adjustRightInd w:val="0"/>
                    <w:snapToGrid w:val="0"/>
                    <w:jc w:val="center"/>
                    <w:rPr>
                      <w:color w:val="auto"/>
                      <w:sz w:val="21"/>
                      <w:szCs w:val="21"/>
                    </w:rPr>
                  </w:pPr>
                  <w:r>
                    <w:rPr>
                      <w:color w:val="auto"/>
                      <w:sz w:val="21"/>
                      <w:szCs w:val="21"/>
                    </w:rPr>
                    <w:t>公用工程</w:t>
                  </w:r>
                </w:p>
              </w:tc>
              <w:tc>
                <w:tcPr>
                  <w:tcW w:w="993" w:type="pct"/>
                  <w:gridSpan w:val="3"/>
                  <w:noWrap w:val="0"/>
                  <w:vAlign w:val="center"/>
                </w:tcPr>
                <w:p w14:paraId="16A0340A">
                  <w:pPr>
                    <w:adjustRightInd w:val="0"/>
                    <w:snapToGrid w:val="0"/>
                    <w:jc w:val="center"/>
                    <w:rPr>
                      <w:color w:val="auto"/>
                      <w:sz w:val="21"/>
                      <w:szCs w:val="21"/>
                    </w:rPr>
                  </w:pPr>
                  <w:r>
                    <w:rPr>
                      <w:color w:val="auto"/>
                      <w:sz w:val="21"/>
                      <w:szCs w:val="21"/>
                    </w:rPr>
                    <w:t>给水</w:t>
                  </w:r>
                </w:p>
              </w:tc>
              <w:tc>
                <w:tcPr>
                  <w:tcW w:w="2661" w:type="pct"/>
                  <w:noWrap w:val="0"/>
                  <w:vAlign w:val="center"/>
                </w:tcPr>
                <w:p w14:paraId="68BA8006">
                  <w:pPr>
                    <w:adjustRightInd w:val="0"/>
                    <w:snapToGrid w:val="0"/>
                    <w:rPr>
                      <w:rFonts w:hint="default" w:eastAsia="宋体"/>
                      <w:color w:val="auto"/>
                      <w:sz w:val="21"/>
                      <w:szCs w:val="21"/>
                      <w:lang w:val="en-US" w:eastAsia="zh-CN"/>
                    </w:rPr>
                  </w:pPr>
                  <w:r>
                    <w:rPr>
                      <w:rFonts w:hint="eastAsia"/>
                      <w:color w:val="auto"/>
                      <w:sz w:val="21"/>
                      <w:szCs w:val="21"/>
                      <w:lang w:val="en-US" w:eastAsia="zh-CN"/>
                    </w:rPr>
                    <w:t>生活用水为</w:t>
                  </w:r>
                  <w:r>
                    <w:rPr>
                      <w:rFonts w:hint="eastAsia"/>
                      <w:color w:val="auto"/>
                      <w:sz w:val="21"/>
                      <w:szCs w:val="21"/>
                    </w:rPr>
                    <w:t>市政供水</w:t>
                  </w:r>
                  <w:r>
                    <w:rPr>
                      <w:rFonts w:hint="eastAsia"/>
                      <w:color w:val="auto"/>
                      <w:sz w:val="21"/>
                      <w:szCs w:val="21"/>
                      <w:lang w:eastAsia="zh-CN"/>
                    </w:rPr>
                    <w:t>，</w:t>
                  </w:r>
                  <w:r>
                    <w:rPr>
                      <w:rFonts w:hint="eastAsia"/>
                      <w:color w:val="auto"/>
                      <w:sz w:val="21"/>
                      <w:szCs w:val="21"/>
                      <w:lang w:val="en-US" w:eastAsia="zh-CN"/>
                    </w:rPr>
                    <w:t>供热用水为地热井采水</w:t>
                  </w:r>
                </w:p>
              </w:tc>
              <w:tc>
                <w:tcPr>
                  <w:tcW w:w="928" w:type="pct"/>
                  <w:noWrap w:val="0"/>
                  <w:vAlign w:val="center"/>
                </w:tcPr>
                <w:p w14:paraId="76A2CB82">
                  <w:pPr>
                    <w:adjustRightInd w:val="0"/>
                    <w:snapToGrid w:val="0"/>
                    <w:jc w:val="center"/>
                    <w:rPr>
                      <w:rFonts w:hint="eastAsia" w:eastAsia="宋体"/>
                      <w:color w:val="auto"/>
                      <w:sz w:val="21"/>
                      <w:szCs w:val="21"/>
                      <w:lang w:val="en-US" w:eastAsia="zh-CN"/>
                    </w:rPr>
                  </w:pPr>
                  <w:r>
                    <w:rPr>
                      <w:rFonts w:hint="eastAsia"/>
                      <w:color w:val="auto"/>
                      <w:sz w:val="21"/>
                      <w:szCs w:val="21"/>
                      <w:lang w:val="en-US" w:eastAsia="zh-CN"/>
                    </w:rPr>
                    <w:t>依托</w:t>
                  </w:r>
                </w:p>
              </w:tc>
            </w:tr>
            <w:tr w14:paraId="72EE4B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415" w:type="pct"/>
                  <w:vMerge w:val="continue"/>
                  <w:noWrap w:val="0"/>
                  <w:vAlign w:val="center"/>
                </w:tcPr>
                <w:p w14:paraId="10D086C8">
                  <w:pPr>
                    <w:adjustRightInd w:val="0"/>
                    <w:snapToGrid w:val="0"/>
                    <w:jc w:val="center"/>
                    <w:rPr>
                      <w:color w:val="auto"/>
                      <w:sz w:val="21"/>
                      <w:szCs w:val="21"/>
                    </w:rPr>
                  </w:pPr>
                </w:p>
              </w:tc>
              <w:tc>
                <w:tcPr>
                  <w:tcW w:w="993" w:type="pct"/>
                  <w:gridSpan w:val="3"/>
                  <w:noWrap w:val="0"/>
                  <w:vAlign w:val="center"/>
                </w:tcPr>
                <w:p w14:paraId="500F3992">
                  <w:pPr>
                    <w:adjustRightInd w:val="0"/>
                    <w:snapToGrid w:val="0"/>
                    <w:jc w:val="center"/>
                    <w:rPr>
                      <w:color w:val="auto"/>
                      <w:sz w:val="21"/>
                      <w:szCs w:val="21"/>
                    </w:rPr>
                  </w:pPr>
                  <w:r>
                    <w:rPr>
                      <w:color w:val="auto"/>
                      <w:sz w:val="21"/>
                      <w:szCs w:val="21"/>
                    </w:rPr>
                    <w:t>排水</w:t>
                  </w:r>
                </w:p>
              </w:tc>
              <w:tc>
                <w:tcPr>
                  <w:tcW w:w="2661" w:type="pct"/>
                  <w:noWrap w:val="0"/>
                  <w:vAlign w:val="center"/>
                </w:tcPr>
                <w:p w14:paraId="1C73BF53">
                  <w:pPr>
                    <w:pStyle w:val="28"/>
                    <w:adjustRightInd w:val="0"/>
                    <w:spacing w:line="240" w:lineRule="auto"/>
                    <w:ind w:firstLine="0" w:firstLineChars="0"/>
                    <w:rPr>
                      <w:rFonts w:hint="eastAsia" w:ascii="Times New Roman" w:eastAsia="宋体" w:cs="Times New Roman"/>
                      <w:color w:val="auto"/>
                      <w:sz w:val="21"/>
                      <w:szCs w:val="21"/>
                      <w:lang w:eastAsia="zh-CN"/>
                    </w:rPr>
                  </w:pPr>
                  <w:r>
                    <w:rPr>
                      <w:rFonts w:hint="eastAsia" w:ascii="Times New Roman" w:cs="Times New Roman"/>
                      <w:color w:val="auto"/>
                      <w:sz w:val="21"/>
                      <w:szCs w:val="21"/>
                    </w:rPr>
                    <w:t>生活污水排入小区污水管网，经化粪池处理后排入市政污水管网，最终进入西安净水处理有限责任公司第六再生水厂进行处理</w:t>
                  </w:r>
                  <w:r>
                    <w:rPr>
                      <w:rFonts w:hint="eastAsia" w:ascii="Times New Roman" w:cs="Times New Roman"/>
                      <w:color w:val="auto"/>
                      <w:sz w:val="21"/>
                      <w:szCs w:val="21"/>
                      <w:lang w:eastAsia="zh-CN"/>
                    </w:rPr>
                    <w:t>；软化浓水和反冲洗废水排入小区污水管网，经市政污水管网排入西安净水处理有限责任公司第六再生水厂</w:t>
                  </w:r>
                  <w:r>
                    <w:rPr>
                      <w:rFonts w:hint="eastAsia" w:ascii="Times New Roman" w:cs="Times New Roman"/>
                      <w:color w:val="auto"/>
                      <w:sz w:val="21"/>
                      <w:szCs w:val="21"/>
                      <w:lang w:val="en-US" w:eastAsia="zh-CN"/>
                    </w:rPr>
                    <w:t>处理</w:t>
                  </w:r>
                </w:p>
              </w:tc>
              <w:tc>
                <w:tcPr>
                  <w:tcW w:w="928" w:type="pct"/>
                  <w:noWrap w:val="0"/>
                  <w:vAlign w:val="center"/>
                </w:tcPr>
                <w:p w14:paraId="131F6199">
                  <w:pPr>
                    <w:pStyle w:val="28"/>
                    <w:adjustRightInd w:val="0"/>
                    <w:spacing w:line="240" w:lineRule="auto"/>
                    <w:ind w:firstLine="0" w:firstLineChars="0"/>
                    <w:jc w:val="center"/>
                    <w:rPr>
                      <w:rFonts w:hint="eastAsia" w:ascii="Times New Roman" w:eastAsia="宋体" w:cs="Times New Roman"/>
                      <w:color w:val="auto"/>
                      <w:sz w:val="21"/>
                      <w:szCs w:val="21"/>
                      <w:lang w:val="en-US" w:eastAsia="zh-CN"/>
                    </w:rPr>
                  </w:pPr>
                  <w:r>
                    <w:rPr>
                      <w:rFonts w:hint="eastAsia"/>
                      <w:bCs/>
                      <w:color w:val="auto"/>
                      <w:kern w:val="2"/>
                      <w:sz w:val="21"/>
                      <w:szCs w:val="21"/>
                      <w:lang w:val="en-US" w:eastAsia="zh-CN" w:bidi="ar-SA"/>
                    </w:rPr>
                    <w:t>依托</w:t>
                  </w:r>
                </w:p>
              </w:tc>
            </w:tr>
            <w:tr w14:paraId="68B779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continue"/>
                  <w:noWrap w:val="0"/>
                  <w:vAlign w:val="center"/>
                </w:tcPr>
                <w:p w14:paraId="45FA86DC">
                  <w:pPr>
                    <w:adjustRightInd w:val="0"/>
                    <w:snapToGrid w:val="0"/>
                    <w:jc w:val="center"/>
                    <w:rPr>
                      <w:color w:val="auto"/>
                      <w:sz w:val="21"/>
                      <w:szCs w:val="21"/>
                    </w:rPr>
                  </w:pPr>
                </w:p>
              </w:tc>
              <w:tc>
                <w:tcPr>
                  <w:tcW w:w="993" w:type="pct"/>
                  <w:gridSpan w:val="3"/>
                  <w:noWrap w:val="0"/>
                  <w:vAlign w:val="center"/>
                </w:tcPr>
                <w:p w14:paraId="39129F59">
                  <w:pPr>
                    <w:adjustRightInd w:val="0"/>
                    <w:snapToGrid w:val="0"/>
                    <w:jc w:val="center"/>
                    <w:rPr>
                      <w:color w:val="auto"/>
                      <w:sz w:val="21"/>
                      <w:szCs w:val="21"/>
                    </w:rPr>
                  </w:pPr>
                  <w:r>
                    <w:rPr>
                      <w:color w:val="auto"/>
                      <w:sz w:val="21"/>
                      <w:szCs w:val="21"/>
                    </w:rPr>
                    <w:t>供电</w:t>
                  </w:r>
                </w:p>
              </w:tc>
              <w:tc>
                <w:tcPr>
                  <w:tcW w:w="2661" w:type="pct"/>
                  <w:noWrap w:val="0"/>
                  <w:vAlign w:val="center"/>
                </w:tcPr>
                <w:p w14:paraId="329BE76D">
                  <w:pPr>
                    <w:pStyle w:val="28"/>
                    <w:adjustRightInd w:val="0"/>
                    <w:spacing w:line="240" w:lineRule="auto"/>
                    <w:ind w:firstLine="0" w:firstLineChars="0"/>
                    <w:rPr>
                      <w:rFonts w:ascii="Times New Roman" w:cs="Times New Roman"/>
                      <w:color w:val="auto"/>
                      <w:sz w:val="21"/>
                      <w:szCs w:val="21"/>
                    </w:rPr>
                  </w:pPr>
                  <w:r>
                    <w:rPr>
                      <w:rFonts w:ascii="Times New Roman" w:cs="Times New Roman"/>
                      <w:color w:val="auto"/>
                      <w:sz w:val="21"/>
                      <w:szCs w:val="21"/>
                    </w:rPr>
                    <w:t>由市政电网供给</w:t>
                  </w:r>
                </w:p>
              </w:tc>
              <w:tc>
                <w:tcPr>
                  <w:tcW w:w="928" w:type="pct"/>
                  <w:noWrap w:val="0"/>
                  <w:vAlign w:val="center"/>
                </w:tcPr>
                <w:p w14:paraId="45671782">
                  <w:pPr>
                    <w:pStyle w:val="28"/>
                    <w:adjustRightInd w:val="0"/>
                    <w:spacing w:line="240" w:lineRule="auto"/>
                    <w:ind w:firstLine="0" w:firstLineChars="0"/>
                    <w:jc w:val="center"/>
                    <w:rPr>
                      <w:rFonts w:hint="default" w:ascii="Times New Roman" w:eastAsia="宋体" w:cs="Times New Roman"/>
                      <w:color w:val="auto"/>
                      <w:sz w:val="21"/>
                      <w:szCs w:val="21"/>
                      <w:lang w:val="en-US" w:eastAsia="zh-CN"/>
                    </w:rPr>
                  </w:pPr>
                  <w:r>
                    <w:rPr>
                      <w:rFonts w:hint="eastAsia" w:ascii="Times New Roman" w:cs="Times New Roman"/>
                      <w:color w:val="auto"/>
                      <w:sz w:val="21"/>
                      <w:szCs w:val="21"/>
                      <w:lang w:val="en-US" w:eastAsia="zh-CN"/>
                    </w:rPr>
                    <w:t>依托</w:t>
                  </w:r>
                </w:p>
              </w:tc>
            </w:tr>
            <w:tr w14:paraId="3E0D73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restart"/>
                  <w:noWrap w:val="0"/>
                  <w:vAlign w:val="center"/>
                </w:tcPr>
                <w:p w14:paraId="27564A9C">
                  <w:pPr>
                    <w:adjustRightInd w:val="0"/>
                    <w:snapToGrid w:val="0"/>
                    <w:jc w:val="center"/>
                    <w:rPr>
                      <w:color w:val="auto"/>
                      <w:sz w:val="21"/>
                      <w:szCs w:val="21"/>
                    </w:rPr>
                  </w:pPr>
                  <w:r>
                    <w:rPr>
                      <w:color w:val="auto"/>
                      <w:sz w:val="21"/>
                      <w:szCs w:val="21"/>
                    </w:rPr>
                    <w:t>环保工程</w:t>
                  </w:r>
                </w:p>
              </w:tc>
              <w:tc>
                <w:tcPr>
                  <w:tcW w:w="599" w:type="pct"/>
                  <w:gridSpan w:val="2"/>
                  <w:vMerge w:val="restart"/>
                  <w:noWrap w:val="0"/>
                  <w:vAlign w:val="center"/>
                </w:tcPr>
                <w:p w14:paraId="6E05166E">
                  <w:pPr>
                    <w:adjustRightInd w:val="0"/>
                    <w:snapToGrid w:val="0"/>
                    <w:jc w:val="center"/>
                    <w:rPr>
                      <w:rFonts w:hint="eastAsia" w:eastAsia="宋体"/>
                      <w:color w:val="auto"/>
                      <w:sz w:val="21"/>
                      <w:szCs w:val="21"/>
                      <w:lang w:val="en-US" w:eastAsia="zh-CN"/>
                    </w:rPr>
                  </w:pPr>
                  <w:r>
                    <w:rPr>
                      <w:rFonts w:hint="eastAsia"/>
                      <w:color w:val="auto"/>
                      <w:sz w:val="21"/>
                      <w:szCs w:val="21"/>
                      <w:lang w:val="en-US" w:eastAsia="zh-CN"/>
                    </w:rPr>
                    <w:t>施工期</w:t>
                  </w:r>
                </w:p>
              </w:tc>
              <w:tc>
                <w:tcPr>
                  <w:tcW w:w="394" w:type="pct"/>
                  <w:vMerge w:val="restart"/>
                  <w:noWrap w:val="0"/>
                  <w:vAlign w:val="center"/>
                </w:tcPr>
                <w:p w14:paraId="5842A509">
                  <w:pPr>
                    <w:adjustRightInd w:val="0"/>
                    <w:snapToGrid w:val="0"/>
                    <w:jc w:val="center"/>
                    <w:rPr>
                      <w:rFonts w:hint="eastAsia" w:eastAsia="宋体"/>
                      <w:color w:val="auto"/>
                      <w:sz w:val="21"/>
                      <w:szCs w:val="21"/>
                      <w:lang w:val="en-US" w:eastAsia="zh-CN"/>
                    </w:rPr>
                  </w:pPr>
                  <w:r>
                    <w:rPr>
                      <w:rFonts w:hint="eastAsia"/>
                      <w:color w:val="auto"/>
                      <w:sz w:val="21"/>
                      <w:szCs w:val="21"/>
                      <w:lang w:val="en-US" w:eastAsia="zh-CN"/>
                    </w:rPr>
                    <w:t>废水</w:t>
                  </w:r>
                </w:p>
              </w:tc>
              <w:tc>
                <w:tcPr>
                  <w:tcW w:w="2661" w:type="pct"/>
                  <w:noWrap w:val="0"/>
                  <w:vAlign w:val="center"/>
                </w:tcPr>
                <w:p w14:paraId="2A3FD5C5">
                  <w:pPr>
                    <w:adjustRightInd w:val="0"/>
                    <w:snapToGrid w:val="0"/>
                    <w:rPr>
                      <w:rFonts w:hint="eastAsia" w:ascii="Times New Roman" w:cs="Times New Roman"/>
                      <w:color w:val="auto"/>
                      <w:sz w:val="21"/>
                      <w:szCs w:val="21"/>
                    </w:rPr>
                  </w:pPr>
                  <w:r>
                    <w:rPr>
                      <w:rFonts w:hint="eastAsia" w:ascii="Times New Roman" w:cs="Times New Roman"/>
                      <w:color w:val="auto"/>
                      <w:sz w:val="21"/>
                      <w:szCs w:val="21"/>
                    </w:rPr>
                    <w:t>生活污水排入小区污水管网，经化粪池处理后排入市政污水管网，最终进入西安净水处理有限责任公司第六再生水厂进行处理</w:t>
                  </w:r>
                </w:p>
              </w:tc>
              <w:tc>
                <w:tcPr>
                  <w:tcW w:w="928" w:type="pct"/>
                  <w:noWrap w:val="0"/>
                  <w:vAlign w:val="center"/>
                </w:tcPr>
                <w:p w14:paraId="361AD46D">
                  <w:pPr>
                    <w:adjustRightInd w:val="0"/>
                    <w:snapToGrid w:val="0"/>
                    <w:jc w:val="center"/>
                    <w:rPr>
                      <w:rFonts w:hint="default"/>
                      <w:bCs/>
                      <w:color w:val="auto"/>
                      <w:kern w:val="2"/>
                      <w:sz w:val="21"/>
                      <w:szCs w:val="21"/>
                      <w:lang w:val="en-US" w:eastAsia="zh-CN" w:bidi="ar-SA"/>
                    </w:rPr>
                  </w:pPr>
                  <w:r>
                    <w:rPr>
                      <w:rFonts w:hint="eastAsia"/>
                      <w:bCs/>
                      <w:color w:val="auto"/>
                      <w:kern w:val="2"/>
                      <w:sz w:val="21"/>
                      <w:szCs w:val="21"/>
                      <w:lang w:val="en-US" w:eastAsia="zh-CN" w:bidi="ar-SA"/>
                    </w:rPr>
                    <w:t>依托</w:t>
                  </w:r>
                </w:p>
              </w:tc>
            </w:tr>
            <w:tr w14:paraId="6298EF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continue"/>
                  <w:noWrap w:val="0"/>
                  <w:vAlign w:val="center"/>
                </w:tcPr>
                <w:p w14:paraId="0AF51371">
                  <w:pPr>
                    <w:adjustRightInd w:val="0"/>
                    <w:snapToGrid w:val="0"/>
                    <w:jc w:val="center"/>
                    <w:rPr>
                      <w:color w:val="auto"/>
                      <w:sz w:val="21"/>
                      <w:szCs w:val="21"/>
                    </w:rPr>
                  </w:pPr>
                </w:p>
              </w:tc>
              <w:tc>
                <w:tcPr>
                  <w:tcW w:w="599" w:type="pct"/>
                  <w:gridSpan w:val="2"/>
                  <w:vMerge w:val="continue"/>
                  <w:noWrap w:val="0"/>
                  <w:vAlign w:val="center"/>
                </w:tcPr>
                <w:p w14:paraId="2E59EAE6">
                  <w:pPr>
                    <w:adjustRightInd w:val="0"/>
                    <w:snapToGrid w:val="0"/>
                    <w:jc w:val="center"/>
                    <w:rPr>
                      <w:rFonts w:hint="eastAsia"/>
                      <w:color w:val="auto"/>
                      <w:sz w:val="21"/>
                      <w:szCs w:val="21"/>
                      <w:lang w:val="en-US" w:eastAsia="zh-CN"/>
                    </w:rPr>
                  </w:pPr>
                </w:p>
              </w:tc>
              <w:tc>
                <w:tcPr>
                  <w:tcW w:w="394" w:type="pct"/>
                  <w:vMerge w:val="continue"/>
                  <w:noWrap w:val="0"/>
                  <w:vAlign w:val="center"/>
                </w:tcPr>
                <w:p w14:paraId="4A73060E">
                  <w:pPr>
                    <w:adjustRightInd w:val="0"/>
                    <w:snapToGrid w:val="0"/>
                    <w:jc w:val="center"/>
                    <w:rPr>
                      <w:rFonts w:hint="eastAsia"/>
                      <w:color w:val="auto"/>
                      <w:sz w:val="21"/>
                      <w:szCs w:val="21"/>
                      <w:lang w:val="en-US" w:eastAsia="zh-CN"/>
                    </w:rPr>
                  </w:pPr>
                </w:p>
              </w:tc>
              <w:tc>
                <w:tcPr>
                  <w:tcW w:w="2661" w:type="pct"/>
                  <w:shd w:val="clear" w:color="auto" w:fill="auto"/>
                  <w:noWrap w:val="0"/>
                  <w:vAlign w:val="center"/>
                </w:tcPr>
                <w:p w14:paraId="0CE00D7B">
                  <w:pPr>
                    <w:adjustRightInd w:val="0"/>
                    <w:snapToGrid w:val="0"/>
                    <w:rPr>
                      <w:rFonts w:hint="eastAsia" w:ascii="Times New Roman" w:hAnsi="Times New Roman" w:eastAsia="宋体" w:cs="Times New Roman"/>
                      <w:color w:val="auto"/>
                      <w:kern w:val="2"/>
                      <w:sz w:val="21"/>
                      <w:szCs w:val="21"/>
                      <w:lang w:val="en-US" w:eastAsia="zh-CN" w:bidi="ar-SA"/>
                    </w:rPr>
                  </w:pPr>
                  <w:r>
                    <w:rPr>
                      <w:rFonts w:hint="eastAsia" w:ascii="Times New Roman" w:cs="Times New Roman"/>
                      <w:color w:val="auto"/>
                      <w:sz w:val="21"/>
                      <w:szCs w:val="21"/>
                    </w:rPr>
                    <w:t>钻井废水排入井场防渗泥浆罐用于配制泥浆，循环使用，钻井结束后与废弃泥浆一起固化处置</w:t>
                  </w:r>
                  <w:r>
                    <w:rPr>
                      <w:rFonts w:hint="eastAsia" w:cs="Times New Roman"/>
                      <w:color w:val="auto"/>
                      <w:sz w:val="21"/>
                      <w:szCs w:val="21"/>
                      <w:lang w:eastAsia="zh-CN"/>
                    </w:rPr>
                    <w:t>，统一运转至附近修路单位，用来铺设路基</w:t>
                  </w:r>
                </w:p>
              </w:tc>
              <w:tc>
                <w:tcPr>
                  <w:tcW w:w="928" w:type="pct"/>
                  <w:shd w:val="clear" w:color="auto" w:fill="auto"/>
                  <w:noWrap w:val="0"/>
                  <w:vAlign w:val="center"/>
                </w:tcPr>
                <w:p w14:paraId="5AF74601">
                  <w:pPr>
                    <w:adjustRightInd w:val="0"/>
                    <w:snapToGrid w:val="0"/>
                    <w:jc w:val="center"/>
                    <w:rPr>
                      <w:rFonts w:hint="eastAsia" w:ascii="Times New Roman" w:hAnsi="Times New Roman" w:eastAsia="宋体" w:cs="Times New Roman"/>
                      <w:bCs/>
                      <w:color w:val="auto"/>
                      <w:kern w:val="2"/>
                      <w:sz w:val="21"/>
                      <w:szCs w:val="21"/>
                      <w:lang w:val="en-US" w:eastAsia="zh-CN" w:bidi="ar-SA"/>
                    </w:rPr>
                  </w:pPr>
                  <w:r>
                    <w:rPr>
                      <w:rFonts w:hint="eastAsia"/>
                      <w:bCs/>
                      <w:color w:val="auto"/>
                      <w:kern w:val="2"/>
                      <w:sz w:val="21"/>
                      <w:szCs w:val="21"/>
                      <w:lang w:val="en-US" w:eastAsia="zh-CN" w:bidi="ar-SA"/>
                    </w:rPr>
                    <w:t>新建</w:t>
                  </w:r>
                </w:p>
              </w:tc>
            </w:tr>
            <w:tr w14:paraId="184094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continue"/>
                  <w:noWrap w:val="0"/>
                  <w:vAlign w:val="center"/>
                </w:tcPr>
                <w:p w14:paraId="70432476">
                  <w:pPr>
                    <w:adjustRightInd w:val="0"/>
                    <w:snapToGrid w:val="0"/>
                    <w:jc w:val="center"/>
                    <w:rPr>
                      <w:color w:val="auto"/>
                      <w:sz w:val="21"/>
                      <w:szCs w:val="21"/>
                    </w:rPr>
                  </w:pPr>
                </w:p>
              </w:tc>
              <w:tc>
                <w:tcPr>
                  <w:tcW w:w="599" w:type="pct"/>
                  <w:gridSpan w:val="2"/>
                  <w:vMerge w:val="continue"/>
                  <w:noWrap w:val="0"/>
                  <w:vAlign w:val="center"/>
                </w:tcPr>
                <w:p w14:paraId="69F3727C">
                  <w:pPr>
                    <w:adjustRightInd w:val="0"/>
                    <w:snapToGrid w:val="0"/>
                    <w:jc w:val="center"/>
                    <w:rPr>
                      <w:rFonts w:hint="eastAsia"/>
                      <w:color w:val="auto"/>
                      <w:sz w:val="21"/>
                      <w:szCs w:val="21"/>
                      <w:lang w:val="en-US" w:eastAsia="zh-CN"/>
                    </w:rPr>
                  </w:pPr>
                </w:p>
              </w:tc>
              <w:tc>
                <w:tcPr>
                  <w:tcW w:w="394" w:type="pct"/>
                  <w:vMerge w:val="continue"/>
                  <w:noWrap w:val="0"/>
                  <w:vAlign w:val="center"/>
                </w:tcPr>
                <w:p w14:paraId="6FFF8C14">
                  <w:pPr>
                    <w:adjustRightInd w:val="0"/>
                    <w:snapToGrid w:val="0"/>
                    <w:jc w:val="center"/>
                    <w:rPr>
                      <w:rFonts w:hint="eastAsia"/>
                      <w:color w:val="auto"/>
                      <w:sz w:val="21"/>
                      <w:szCs w:val="21"/>
                      <w:lang w:val="en-US" w:eastAsia="zh-CN"/>
                    </w:rPr>
                  </w:pPr>
                </w:p>
              </w:tc>
              <w:tc>
                <w:tcPr>
                  <w:tcW w:w="2661" w:type="pct"/>
                  <w:noWrap w:val="0"/>
                  <w:vAlign w:val="center"/>
                </w:tcPr>
                <w:p w14:paraId="5C304C0B">
                  <w:pPr>
                    <w:adjustRightInd w:val="0"/>
                    <w:snapToGrid w:val="0"/>
                    <w:rPr>
                      <w:rFonts w:hint="default" w:ascii="Times New Roman" w:eastAsia="宋体" w:cs="Times New Roman"/>
                      <w:color w:val="auto"/>
                      <w:sz w:val="21"/>
                      <w:szCs w:val="21"/>
                      <w:lang w:val="en-US" w:eastAsia="zh-CN"/>
                    </w:rPr>
                  </w:pPr>
                  <w:r>
                    <w:rPr>
                      <w:rFonts w:hint="eastAsia" w:ascii="Times New Roman" w:cs="Times New Roman"/>
                      <w:color w:val="auto"/>
                      <w:sz w:val="21"/>
                      <w:szCs w:val="21"/>
                    </w:rPr>
                    <w:t>抽水试验废水</w:t>
                  </w:r>
                  <w:r>
                    <w:rPr>
                      <w:rFonts w:hint="eastAsia"/>
                      <w:color w:val="auto"/>
                      <w:lang w:val="en-US" w:eastAsia="zh-CN"/>
                    </w:rPr>
                    <w:t>在罐池中储存，</w:t>
                  </w:r>
                  <w:r>
                    <w:rPr>
                      <w:rFonts w:hint="eastAsia"/>
                      <w:color w:val="auto"/>
                    </w:rPr>
                    <w:t>温</w:t>
                  </w:r>
                  <w:r>
                    <w:rPr>
                      <w:rFonts w:hint="eastAsia"/>
                      <w:color w:val="auto"/>
                      <w:lang w:eastAsia="zh-CN"/>
                    </w:rPr>
                    <w:t>降</w:t>
                  </w:r>
                  <w:r>
                    <w:rPr>
                      <w:rFonts w:hint="eastAsia"/>
                      <w:color w:val="auto"/>
                      <w:lang w:val="en-US" w:eastAsia="zh-CN"/>
                    </w:rPr>
                    <w:t>后专业公司转运处置</w:t>
                  </w:r>
                </w:p>
              </w:tc>
              <w:tc>
                <w:tcPr>
                  <w:tcW w:w="928" w:type="pct"/>
                  <w:noWrap w:val="0"/>
                  <w:vAlign w:val="center"/>
                </w:tcPr>
                <w:p w14:paraId="4673D636">
                  <w:pPr>
                    <w:adjustRightInd w:val="0"/>
                    <w:snapToGrid w:val="0"/>
                    <w:jc w:val="center"/>
                    <w:rPr>
                      <w:rFonts w:hint="default"/>
                      <w:bCs/>
                      <w:color w:val="auto"/>
                      <w:kern w:val="2"/>
                      <w:sz w:val="21"/>
                      <w:szCs w:val="21"/>
                      <w:lang w:val="en-US" w:eastAsia="zh-CN" w:bidi="ar-SA"/>
                    </w:rPr>
                  </w:pPr>
                  <w:r>
                    <w:rPr>
                      <w:rFonts w:hint="eastAsia"/>
                      <w:bCs/>
                      <w:color w:val="auto"/>
                      <w:kern w:val="2"/>
                      <w:sz w:val="21"/>
                      <w:szCs w:val="21"/>
                      <w:lang w:val="en-US" w:eastAsia="zh-CN" w:bidi="ar-SA"/>
                    </w:rPr>
                    <w:t>新建</w:t>
                  </w:r>
                </w:p>
              </w:tc>
            </w:tr>
            <w:tr w14:paraId="73778B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continue"/>
                  <w:noWrap w:val="0"/>
                  <w:vAlign w:val="center"/>
                </w:tcPr>
                <w:p w14:paraId="7D65937B">
                  <w:pPr>
                    <w:adjustRightInd w:val="0"/>
                    <w:snapToGrid w:val="0"/>
                    <w:jc w:val="center"/>
                    <w:rPr>
                      <w:color w:val="auto"/>
                      <w:sz w:val="21"/>
                      <w:szCs w:val="21"/>
                    </w:rPr>
                  </w:pPr>
                </w:p>
              </w:tc>
              <w:tc>
                <w:tcPr>
                  <w:tcW w:w="599" w:type="pct"/>
                  <w:gridSpan w:val="2"/>
                  <w:vMerge w:val="continue"/>
                  <w:noWrap w:val="0"/>
                  <w:vAlign w:val="center"/>
                </w:tcPr>
                <w:p w14:paraId="5D682D41">
                  <w:pPr>
                    <w:adjustRightInd w:val="0"/>
                    <w:snapToGrid w:val="0"/>
                    <w:jc w:val="center"/>
                    <w:rPr>
                      <w:rFonts w:hint="eastAsia"/>
                      <w:color w:val="auto"/>
                      <w:sz w:val="21"/>
                      <w:szCs w:val="21"/>
                      <w:lang w:val="en-US" w:eastAsia="zh-CN"/>
                    </w:rPr>
                  </w:pPr>
                </w:p>
              </w:tc>
              <w:tc>
                <w:tcPr>
                  <w:tcW w:w="394" w:type="pct"/>
                  <w:vMerge w:val="continue"/>
                  <w:noWrap w:val="0"/>
                  <w:vAlign w:val="center"/>
                </w:tcPr>
                <w:p w14:paraId="3B89F2A4">
                  <w:pPr>
                    <w:adjustRightInd w:val="0"/>
                    <w:snapToGrid w:val="0"/>
                    <w:jc w:val="center"/>
                    <w:rPr>
                      <w:rFonts w:hint="eastAsia"/>
                      <w:color w:val="auto"/>
                      <w:sz w:val="21"/>
                      <w:szCs w:val="21"/>
                      <w:lang w:val="en-US" w:eastAsia="zh-CN"/>
                    </w:rPr>
                  </w:pPr>
                </w:p>
              </w:tc>
              <w:tc>
                <w:tcPr>
                  <w:tcW w:w="2661" w:type="pct"/>
                  <w:noWrap w:val="0"/>
                  <w:vAlign w:val="center"/>
                </w:tcPr>
                <w:p w14:paraId="128C70D3">
                  <w:pPr>
                    <w:adjustRightInd w:val="0"/>
                    <w:snapToGrid w:val="0"/>
                    <w:rPr>
                      <w:rFonts w:hint="eastAsia" w:ascii="Times New Roman" w:cs="Times New Roman"/>
                      <w:color w:val="auto"/>
                      <w:sz w:val="21"/>
                      <w:szCs w:val="21"/>
                    </w:rPr>
                  </w:pPr>
                  <w:r>
                    <w:rPr>
                      <w:rFonts w:hint="eastAsia" w:ascii="Times New Roman" w:cs="Times New Roman"/>
                      <w:color w:val="auto"/>
                      <w:sz w:val="21"/>
                      <w:szCs w:val="21"/>
                    </w:rPr>
                    <w:t>管道试压废水</w:t>
                  </w:r>
                  <w:r>
                    <w:rPr>
                      <w:rFonts w:hint="eastAsia"/>
                      <w:color w:val="auto"/>
                      <w:lang w:val="en-US" w:eastAsia="zh-CN"/>
                    </w:rPr>
                    <w:t>试压后回灌至回灌井</w:t>
                  </w:r>
                </w:p>
              </w:tc>
              <w:tc>
                <w:tcPr>
                  <w:tcW w:w="928" w:type="pct"/>
                  <w:noWrap w:val="0"/>
                  <w:vAlign w:val="center"/>
                </w:tcPr>
                <w:p w14:paraId="65D455CD">
                  <w:pPr>
                    <w:adjustRightInd w:val="0"/>
                    <w:snapToGrid w:val="0"/>
                    <w:jc w:val="center"/>
                    <w:rPr>
                      <w:rFonts w:hint="default"/>
                      <w:bCs/>
                      <w:color w:val="auto"/>
                      <w:kern w:val="2"/>
                      <w:sz w:val="21"/>
                      <w:szCs w:val="21"/>
                      <w:lang w:val="en-US" w:eastAsia="zh-CN" w:bidi="ar-SA"/>
                    </w:rPr>
                  </w:pPr>
                  <w:r>
                    <w:rPr>
                      <w:rFonts w:hint="eastAsia"/>
                      <w:bCs/>
                      <w:color w:val="auto"/>
                      <w:kern w:val="2"/>
                      <w:sz w:val="21"/>
                      <w:szCs w:val="21"/>
                      <w:lang w:val="en-US" w:eastAsia="zh-CN" w:bidi="ar-SA"/>
                    </w:rPr>
                    <w:t>新建</w:t>
                  </w:r>
                </w:p>
              </w:tc>
            </w:tr>
            <w:tr w14:paraId="79A97E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continue"/>
                  <w:noWrap w:val="0"/>
                  <w:vAlign w:val="center"/>
                </w:tcPr>
                <w:p w14:paraId="556B29EE">
                  <w:pPr>
                    <w:adjustRightInd w:val="0"/>
                    <w:snapToGrid w:val="0"/>
                    <w:jc w:val="center"/>
                    <w:rPr>
                      <w:color w:val="auto"/>
                      <w:sz w:val="21"/>
                      <w:szCs w:val="21"/>
                    </w:rPr>
                  </w:pPr>
                </w:p>
              </w:tc>
              <w:tc>
                <w:tcPr>
                  <w:tcW w:w="599" w:type="pct"/>
                  <w:gridSpan w:val="2"/>
                  <w:vMerge w:val="continue"/>
                  <w:noWrap w:val="0"/>
                  <w:vAlign w:val="center"/>
                </w:tcPr>
                <w:p w14:paraId="6DDD2C94">
                  <w:pPr>
                    <w:adjustRightInd w:val="0"/>
                    <w:snapToGrid w:val="0"/>
                    <w:jc w:val="center"/>
                    <w:rPr>
                      <w:rFonts w:hint="eastAsia"/>
                      <w:color w:val="auto"/>
                      <w:sz w:val="21"/>
                      <w:szCs w:val="21"/>
                      <w:lang w:val="en-US" w:eastAsia="zh-CN"/>
                    </w:rPr>
                  </w:pPr>
                </w:p>
              </w:tc>
              <w:tc>
                <w:tcPr>
                  <w:tcW w:w="394" w:type="pct"/>
                  <w:vMerge w:val="restart"/>
                  <w:noWrap w:val="0"/>
                  <w:vAlign w:val="center"/>
                </w:tcPr>
                <w:p w14:paraId="31501957">
                  <w:pPr>
                    <w:adjustRightInd w:val="0"/>
                    <w:snapToGrid w:val="0"/>
                    <w:jc w:val="center"/>
                    <w:rPr>
                      <w:rFonts w:hint="default"/>
                      <w:color w:val="auto"/>
                      <w:sz w:val="21"/>
                      <w:szCs w:val="21"/>
                      <w:lang w:val="en-US" w:eastAsia="zh-CN"/>
                    </w:rPr>
                  </w:pPr>
                  <w:r>
                    <w:rPr>
                      <w:rFonts w:hint="eastAsia"/>
                      <w:color w:val="auto"/>
                      <w:sz w:val="21"/>
                      <w:szCs w:val="21"/>
                      <w:lang w:val="en-US" w:eastAsia="zh-CN"/>
                    </w:rPr>
                    <w:t>废气</w:t>
                  </w:r>
                </w:p>
              </w:tc>
              <w:tc>
                <w:tcPr>
                  <w:tcW w:w="2661" w:type="pct"/>
                  <w:noWrap w:val="0"/>
                  <w:vAlign w:val="center"/>
                </w:tcPr>
                <w:p w14:paraId="66AC559B">
                  <w:pPr>
                    <w:adjustRightInd w:val="0"/>
                    <w:snapToGrid w:val="0"/>
                    <w:rPr>
                      <w:rFonts w:hint="eastAsia" w:ascii="Times New Roman" w:cs="Times New Roman"/>
                      <w:color w:val="auto"/>
                      <w:sz w:val="21"/>
                      <w:szCs w:val="21"/>
                    </w:rPr>
                  </w:pPr>
                  <w:r>
                    <w:rPr>
                      <w:rFonts w:hint="eastAsia" w:cs="Times New Roman"/>
                      <w:color w:val="auto"/>
                      <w:sz w:val="21"/>
                      <w:szCs w:val="21"/>
                      <w:lang w:val="en-US" w:eastAsia="zh-CN"/>
                    </w:rPr>
                    <w:t>粉尘：</w:t>
                  </w:r>
                  <w:r>
                    <w:rPr>
                      <w:rFonts w:hint="eastAsia" w:ascii="Times New Roman" w:cs="Times New Roman"/>
                      <w:color w:val="auto"/>
                      <w:sz w:val="21"/>
                      <w:szCs w:val="21"/>
                    </w:rPr>
                    <w:t>制定专项方案，设施工工地标志牌，设围挡，临时土方覆盖并及时清理，大风天气停止作业</w:t>
                  </w:r>
                </w:p>
              </w:tc>
              <w:tc>
                <w:tcPr>
                  <w:tcW w:w="928" w:type="pct"/>
                  <w:noWrap w:val="0"/>
                  <w:vAlign w:val="center"/>
                </w:tcPr>
                <w:p w14:paraId="615222DC">
                  <w:pPr>
                    <w:adjustRightInd w:val="0"/>
                    <w:snapToGrid w:val="0"/>
                    <w:jc w:val="center"/>
                    <w:rPr>
                      <w:rFonts w:hint="default"/>
                      <w:bCs/>
                      <w:color w:val="auto"/>
                      <w:kern w:val="2"/>
                      <w:sz w:val="21"/>
                      <w:szCs w:val="21"/>
                      <w:lang w:val="en-US" w:eastAsia="zh-CN" w:bidi="ar-SA"/>
                    </w:rPr>
                  </w:pPr>
                  <w:r>
                    <w:rPr>
                      <w:rFonts w:hint="eastAsia"/>
                      <w:bCs/>
                      <w:color w:val="auto"/>
                      <w:kern w:val="2"/>
                      <w:sz w:val="21"/>
                      <w:szCs w:val="21"/>
                      <w:lang w:val="en-US" w:eastAsia="zh-CN" w:bidi="ar-SA"/>
                    </w:rPr>
                    <w:t>新建</w:t>
                  </w:r>
                </w:p>
              </w:tc>
            </w:tr>
            <w:tr w14:paraId="67D381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continue"/>
                  <w:noWrap w:val="0"/>
                  <w:vAlign w:val="center"/>
                </w:tcPr>
                <w:p w14:paraId="4AAE0FC4">
                  <w:pPr>
                    <w:adjustRightInd w:val="0"/>
                    <w:snapToGrid w:val="0"/>
                    <w:jc w:val="center"/>
                    <w:rPr>
                      <w:color w:val="auto"/>
                      <w:sz w:val="21"/>
                      <w:szCs w:val="21"/>
                    </w:rPr>
                  </w:pPr>
                </w:p>
              </w:tc>
              <w:tc>
                <w:tcPr>
                  <w:tcW w:w="599" w:type="pct"/>
                  <w:gridSpan w:val="2"/>
                  <w:vMerge w:val="continue"/>
                  <w:noWrap w:val="0"/>
                  <w:vAlign w:val="center"/>
                </w:tcPr>
                <w:p w14:paraId="01E731E6">
                  <w:pPr>
                    <w:adjustRightInd w:val="0"/>
                    <w:snapToGrid w:val="0"/>
                    <w:jc w:val="center"/>
                    <w:rPr>
                      <w:rFonts w:hint="eastAsia"/>
                      <w:color w:val="auto"/>
                      <w:sz w:val="21"/>
                      <w:szCs w:val="21"/>
                      <w:lang w:val="en-US" w:eastAsia="zh-CN"/>
                    </w:rPr>
                  </w:pPr>
                </w:p>
              </w:tc>
              <w:tc>
                <w:tcPr>
                  <w:tcW w:w="394" w:type="pct"/>
                  <w:vMerge w:val="continue"/>
                  <w:noWrap w:val="0"/>
                  <w:vAlign w:val="center"/>
                </w:tcPr>
                <w:p w14:paraId="271B69A0">
                  <w:pPr>
                    <w:adjustRightInd w:val="0"/>
                    <w:snapToGrid w:val="0"/>
                    <w:jc w:val="center"/>
                    <w:rPr>
                      <w:rFonts w:hint="eastAsia"/>
                      <w:color w:val="auto"/>
                      <w:sz w:val="21"/>
                      <w:szCs w:val="21"/>
                      <w:lang w:val="en-US" w:eastAsia="zh-CN"/>
                    </w:rPr>
                  </w:pPr>
                </w:p>
              </w:tc>
              <w:tc>
                <w:tcPr>
                  <w:tcW w:w="2661" w:type="pct"/>
                  <w:noWrap w:val="0"/>
                  <w:vAlign w:val="center"/>
                </w:tcPr>
                <w:p w14:paraId="5C1DD804">
                  <w:pPr>
                    <w:adjustRightInd w:val="0"/>
                    <w:snapToGrid w:val="0"/>
                    <w:rPr>
                      <w:rFonts w:hint="eastAsia" w:ascii="Times New Roman" w:cs="Times New Roman"/>
                      <w:color w:val="auto"/>
                      <w:sz w:val="21"/>
                      <w:szCs w:val="21"/>
                    </w:rPr>
                  </w:pPr>
                  <w:r>
                    <w:rPr>
                      <w:rFonts w:hint="eastAsia" w:ascii="Times New Roman" w:cs="Times New Roman"/>
                      <w:color w:val="auto"/>
                      <w:sz w:val="21"/>
                      <w:szCs w:val="21"/>
                    </w:rPr>
                    <w:t>机械、车辆废气：加强设备维修保养等</w:t>
                  </w:r>
                </w:p>
              </w:tc>
              <w:tc>
                <w:tcPr>
                  <w:tcW w:w="928" w:type="pct"/>
                  <w:noWrap w:val="0"/>
                  <w:vAlign w:val="center"/>
                </w:tcPr>
                <w:p w14:paraId="64276D6C">
                  <w:pPr>
                    <w:adjustRightInd w:val="0"/>
                    <w:snapToGrid w:val="0"/>
                    <w:jc w:val="center"/>
                    <w:rPr>
                      <w:rFonts w:hint="eastAsia"/>
                      <w:bCs/>
                      <w:color w:val="auto"/>
                      <w:kern w:val="2"/>
                      <w:sz w:val="21"/>
                      <w:szCs w:val="21"/>
                      <w:lang w:val="en-US" w:eastAsia="zh-CN" w:bidi="ar-SA"/>
                    </w:rPr>
                  </w:pPr>
                  <w:r>
                    <w:rPr>
                      <w:rFonts w:hint="eastAsia"/>
                      <w:bCs/>
                      <w:color w:val="auto"/>
                      <w:kern w:val="2"/>
                      <w:sz w:val="21"/>
                      <w:szCs w:val="21"/>
                      <w:lang w:val="en-US" w:eastAsia="zh-CN" w:bidi="ar-SA"/>
                    </w:rPr>
                    <w:t>新建</w:t>
                  </w:r>
                </w:p>
              </w:tc>
            </w:tr>
            <w:tr w14:paraId="552B8F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continue"/>
                  <w:noWrap w:val="0"/>
                  <w:vAlign w:val="center"/>
                </w:tcPr>
                <w:p w14:paraId="1A86F873">
                  <w:pPr>
                    <w:adjustRightInd w:val="0"/>
                    <w:snapToGrid w:val="0"/>
                    <w:jc w:val="center"/>
                    <w:rPr>
                      <w:color w:val="auto"/>
                      <w:sz w:val="21"/>
                      <w:szCs w:val="21"/>
                    </w:rPr>
                  </w:pPr>
                </w:p>
              </w:tc>
              <w:tc>
                <w:tcPr>
                  <w:tcW w:w="599" w:type="pct"/>
                  <w:gridSpan w:val="2"/>
                  <w:vMerge w:val="continue"/>
                  <w:noWrap w:val="0"/>
                  <w:vAlign w:val="center"/>
                </w:tcPr>
                <w:p w14:paraId="2D55432A">
                  <w:pPr>
                    <w:adjustRightInd w:val="0"/>
                    <w:snapToGrid w:val="0"/>
                    <w:jc w:val="center"/>
                    <w:rPr>
                      <w:rFonts w:hint="eastAsia"/>
                      <w:color w:val="auto"/>
                      <w:sz w:val="21"/>
                      <w:szCs w:val="21"/>
                      <w:lang w:val="en-US" w:eastAsia="zh-CN"/>
                    </w:rPr>
                  </w:pPr>
                </w:p>
              </w:tc>
              <w:tc>
                <w:tcPr>
                  <w:tcW w:w="394" w:type="pct"/>
                  <w:noWrap w:val="0"/>
                  <w:vAlign w:val="center"/>
                </w:tcPr>
                <w:p w14:paraId="53D0BD4C">
                  <w:pPr>
                    <w:adjustRightInd w:val="0"/>
                    <w:snapToGrid w:val="0"/>
                    <w:jc w:val="center"/>
                    <w:rPr>
                      <w:rFonts w:hint="default"/>
                      <w:color w:val="auto"/>
                      <w:sz w:val="21"/>
                      <w:szCs w:val="21"/>
                      <w:lang w:val="en-US" w:eastAsia="zh-CN"/>
                    </w:rPr>
                  </w:pPr>
                  <w:r>
                    <w:rPr>
                      <w:rFonts w:hint="eastAsia"/>
                      <w:color w:val="auto"/>
                      <w:sz w:val="21"/>
                      <w:szCs w:val="21"/>
                      <w:lang w:val="en-US" w:eastAsia="zh-CN"/>
                    </w:rPr>
                    <w:t>噪声</w:t>
                  </w:r>
                </w:p>
              </w:tc>
              <w:tc>
                <w:tcPr>
                  <w:tcW w:w="2661" w:type="pct"/>
                  <w:noWrap w:val="0"/>
                  <w:vAlign w:val="center"/>
                </w:tcPr>
                <w:p w14:paraId="0547FE09">
                  <w:pPr>
                    <w:adjustRightInd w:val="0"/>
                    <w:snapToGrid w:val="0"/>
                    <w:rPr>
                      <w:rFonts w:hint="eastAsia" w:ascii="Times New Roman" w:cs="Times New Roman"/>
                      <w:color w:val="auto"/>
                      <w:sz w:val="21"/>
                      <w:szCs w:val="21"/>
                    </w:rPr>
                  </w:pPr>
                  <w:r>
                    <w:rPr>
                      <w:rFonts w:hint="eastAsia" w:ascii="Times New Roman" w:cs="Times New Roman"/>
                      <w:color w:val="auto"/>
                      <w:sz w:val="21"/>
                      <w:szCs w:val="21"/>
                    </w:rPr>
                    <w:t>优先选用低噪声机械设备或自带隔声、消声的机械设备；同时做好施工机械的维护和保养</w:t>
                  </w:r>
                  <w:r>
                    <w:rPr>
                      <w:rFonts w:hint="eastAsia" w:cs="Times New Roman"/>
                      <w:color w:val="auto"/>
                      <w:sz w:val="21"/>
                      <w:szCs w:val="21"/>
                      <w:lang w:eastAsia="zh-CN"/>
                    </w:rPr>
                    <w:t>；</w:t>
                  </w:r>
                  <w:r>
                    <w:rPr>
                      <w:rFonts w:hint="eastAsia" w:ascii="Times New Roman" w:cs="Times New Roman"/>
                      <w:color w:val="auto"/>
                      <w:sz w:val="21"/>
                      <w:szCs w:val="21"/>
                    </w:rPr>
                    <w:t>距离居民楼要求建设单位在噪声源与受体之间安装隔声屏障等隔音设备</w:t>
                  </w:r>
                </w:p>
              </w:tc>
              <w:tc>
                <w:tcPr>
                  <w:tcW w:w="928" w:type="pct"/>
                  <w:noWrap w:val="0"/>
                  <w:vAlign w:val="center"/>
                </w:tcPr>
                <w:p w14:paraId="349438A1">
                  <w:pPr>
                    <w:adjustRightInd w:val="0"/>
                    <w:snapToGrid w:val="0"/>
                    <w:jc w:val="center"/>
                    <w:rPr>
                      <w:rFonts w:hint="eastAsia"/>
                      <w:bCs/>
                      <w:color w:val="auto"/>
                      <w:kern w:val="2"/>
                      <w:sz w:val="21"/>
                      <w:szCs w:val="21"/>
                      <w:lang w:val="en-US" w:eastAsia="zh-CN" w:bidi="ar-SA"/>
                    </w:rPr>
                  </w:pPr>
                  <w:r>
                    <w:rPr>
                      <w:rFonts w:hint="eastAsia"/>
                      <w:bCs/>
                      <w:color w:val="auto"/>
                      <w:kern w:val="2"/>
                      <w:sz w:val="21"/>
                      <w:szCs w:val="21"/>
                      <w:lang w:val="en-US" w:eastAsia="zh-CN" w:bidi="ar-SA"/>
                    </w:rPr>
                    <w:t>新建</w:t>
                  </w:r>
                </w:p>
              </w:tc>
            </w:tr>
            <w:tr w14:paraId="4B5581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continue"/>
                  <w:noWrap w:val="0"/>
                  <w:vAlign w:val="center"/>
                </w:tcPr>
                <w:p w14:paraId="4BD0EB7B">
                  <w:pPr>
                    <w:adjustRightInd w:val="0"/>
                    <w:snapToGrid w:val="0"/>
                    <w:jc w:val="center"/>
                    <w:rPr>
                      <w:color w:val="auto"/>
                      <w:sz w:val="21"/>
                      <w:szCs w:val="21"/>
                    </w:rPr>
                  </w:pPr>
                </w:p>
              </w:tc>
              <w:tc>
                <w:tcPr>
                  <w:tcW w:w="599" w:type="pct"/>
                  <w:gridSpan w:val="2"/>
                  <w:vMerge w:val="continue"/>
                  <w:noWrap w:val="0"/>
                  <w:vAlign w:val="center"/>
                </w:tcPr>
                <w:p w14:paraId="7F332636">
                  <w:pPr>
                    <w:adjustRightInd w:val="0"/>
                    <w:snapToGrid w:val="0"/>
                    <w:jc w:val="center"/>
                    <w:rPr>
                      <w:color w:val="auto"/>
                      <w:sz w:val="21"/>
                      <w:szCs w:val="21"/>
                    </w:rPr>
                  </w:pPr>
                </w:p>
              </w:tc>
              <w:tc>
                <w:tcPr>
                  <w:tcW w:w="394" w:type="pct"/>
                  <w:vMerge w:val="restart"/>
                  <w:noWrap w:val="0"/>
                  <w:vAlign w:val="center"/>
                </w:tcPr>
                <w:p w14:paraId="1304B3A2">
                  <w:pPr>
                    <w:adjustRightInd w:val="0"/>
                    <w:snapToGrid w:val="0"/>
                    <w:jc w:val="center"/>
                    <w:rPr>
                      <w:rFonts w:hint="eastAsia" w:eastAsia="宋体"/>
                      <w:color w:val="auto"/>
                      <w:sz w:val="21"/>
                      <w:szCs w:val="21"/>
                      <w:lang w:val="en-US" w:eastAsia="zh-CN"/>
                    </w:rPr>
                  </w:pPr>
                  <w:r>
                    <w:rPr>
                      <w:rFonts w:hint="eastAsia"/>
                      <w:color w:val="auto"/>
                      <w:sz w:val="21"/>
                      <w:szCs w:val="21"/>
                      <w:lang w:val="en-US" w:eastAsia="zh-CN"/>
                    </w:rPr>
                    <w:t>固废</w:t>
                  </w:r>
                </w:p>
              </w:tc>
              <w:tc>
                <w:tcPr>
                  <w:tcW w:w="2661" w:type="pct"/>
                  <w:noWrap w:val="0"/>
                  <w:vAlign w:val="center"/>
                </w:tcPr>
                <w:p w14:paraId="6783E97C">
                  <w:pPr>
                    <w:adjustRightInd w:val="0"/>
                    <w:snapToGrid w:val="0"/>
                    <w:rPr>
                      <w:rFonts w:hint="eastAsia" w:ascii="Times New Roman" w:cs="Times New Roman"/>
                      <w:color w:val="auto"/>
                      <w:sz w:val="21"/>
                      <w:szCs w:val="21"/>
                    </w:rPr>
                  </w:pPr>
                  <w:r>
                    <w:rPr>
                      <w:rFonts w:hint="eastAsia" w:ascii="Times New Roman" w:cs="Times New Roman"/>
                      <w:color w:val="auto"/>
                      <w:sz w:val="21"/>
                      <w:szCs w:val="21"/>
                    </w:rPr>
                    <w:t>生活垃圾</w:t>
                  </w:r>
                  <w:r>
                    <w:rPr>
                      <w:rFonts w:hint="eastAsia" w:cs="Times New Roman"/>
                      <w:color w:val="auto"/>
                      <w:sz w:val="21"/>
                      <w:szCs w:val="21"/>
                      <w:lang w:eastAsia="zh-CN"/>
                    </w:rPr>
                    <w:t>：</w:t>
                  </w:r>
                  <w:r>
                    <w:rPr>
                      <w:rFonts w:hint="eastAsia" w:ascii="Times New Roman" w:cs="Times New Roman"/>
                      <w:color w:val="auto"/>
                      <w:sz w:val="21"/>
                      <w:szCs w:val="21"/>
                    </w:rPr>
                    <w:t>分类收集后，由环卫部门统一清运</w:t>
                  </w:r>
                </w:p>
              </w:tc>
              <w:tc>
                <w:tcPr>
                  <w:tcW w:w="928" w:type="pct"/>
                  <w:noWrap w:val="0"/>
                  <w:vAlign w:val="center"/>
                </w:tcPr>
                <w:p w14:paraId="2C41B6EA">
                  <w:pPr>
                    <w:adjustRightInd w:val="0"/>
                    <w:snapToGrid w:val="0"/>
                    <w:jc w:val="center"/>
                    <w:rPr>
                      <w:rFonts w:hint="default"/>
                      <w:bCs/>
                      <w:color w:val="auto"/>
                      <w:kern w:val="2"/>
                      <w:sz w:val="21"/>
                      <w:szCs w:val="21"/>
                      <w:lang w:val="en-US" w:eastAsia="zh-CN" w:bidi="ar-SA"/>
                    </w:rPr>
                  </w:pPr>
                  <w:r>
                    <w:rPr>
                      <w:rFonts w:hint="eastAsia"/>
                      <w:bCs/>
                      <w:color w:val="auto"/>
                      <w:kern w:val="2"/>
                      <w:sz w:val="21"/>
                      <w:szCs w:val="21"/>
                      <w:lang w:val="en-US" w:eastAsia="zh-CN" w:bidi="ar-SA"/>
                    </w:rPr>
                    <w:t>依托</w:t>
                  </w:r>
                </w:p>
              </w:tc>
            </w:tr>
            <w:tr w14:paraId="14D343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continue"/>
                  <w:noWrap w:val="0"/>
                  <w:vAlign w:val="center"/>
                </w:tcPr>
                <w:p w14:paraId="2FFA54FF">
                  <w:pPr>
                    <w:adjustRightInd w:val="0"/>
                    <w:snapToGrid w:val="0"/>
                    <w:jc w:val="center"/>
                    <w:rPr>
                      <w:color w:val="auto"/>
                      <w:sz w:val="21"/>
                      <w:szCs w:val="21"/>
                    </w:rPr>
                  </w:pPr>
                </w:p>
              </w:tc>
              <w:tc>
                <w:tcPr>
                  <w:tcW w:w="599" w:type="pct"/>
                  <w:gridSpan w:val="2"/>
                  <w:vMerge w:val="continue"/>
                  <w:noWrap w:val="0"/>
                  <w:vAlign w:val="center"/>
                </w:tcPr>
                <w:p w14:paraId="38D5E923">
                  <w:pPr>
                    <w:adjustRightInd w:val="0"/>
                    <w:snapToGrid w:val="0"/>
                    <w:jc w:val="center"/>
                    <w:rPr>
                      <w:color w:val="auto"/>
                      <w:sz w:val="21"/>
                      <w:szCs w:val="21"/>
                    </w:rPr>
                  </w:pPr>
                </w:p>
              </w:tc>
              <w:tc>
                <w:tcPr>
                  <w:tcW w:w="394" w:type="pct"/>
                  <w:vMerge w:val="continue"/>
                  <w:noWrap w:val="0"/>
                  <w:vAlign w:val="center"/>
                </w:tcPr>
                <w:p w14:paraId="01550C40">
                  <w:pPr>
                    <w:adjustRightInd w:val="0"/>
                    <w:snapToGrid w:val="0"/>
                    <w:jc w:val="center"/>
                    <w:rPr>
                      <w:rFonts w:hint="eastAsia"/>
                      <w:color w:val="auto"/>
                      <w:sz w:val="21"/>
                      <w:szCs w:val="21"/>
                      <w:lang w:val="en-US" w:eastAsia="zh-CN"/>
                    </w:rPr>
                  </w:pPr>
                </w:p>
              </w:tc>
              <w:tc>
                <w:tcPr>
                  <w:tcW w:w="2661" w:type="pct"/>
                  <w:noWrap w:val="0"/>
                  <w:vAlign w:val="center"/>
                </w:tcPr>
                <w:p w14:paraId="32DD9E3B">
                  <w:pPr>
                    <w:adjustRightInd w:val="0"/>
                    <w:snapToGrid w:val="0"/>
                    <w:rPr>
                      <w:rFonts w:hint="default" w:ascii="Times New Roman" w:eastAsia="宋体" w:cs="Times New Roman"/>
                      <w:color w:val="auto"/>
                      <w:sz w:val="21"/>
                      <w:szCs w:val="21"/>
                      <w:lang w:val="en-US" w:eastAsia="zh-CN"/>
                    </w:rPr>
                  </w:pPr>
                  <w:r>
                    <w:rPr>
                      <w:rFonts w:hint="eastAsia" w:ascii="Times New Roman" w:cs="Times New Roman"/>
                      <w:color w:val="auto"/>
                      <w:sz w:val="21"/>
                      <w:szCs w:val="21"/>
                    </w:rPr>
                    <w:t>挖方：及时回填，少量弃土压成泥饼后由施工单位统一联系清运，无弃土</w:t>
                  </w:r>
                </w:p>
              </w:tc>
              <w:tc>
                <w:tcPr>
                  <w:tcW w:w="928" w:type="pct"/>
                  <w:noWrap w:val="0"/>
                  <w:vAlign w:val="center"/>
                </w:tcPr>
                <w:p w14:paraId="28EE7702">
                  <w:pPr>
                    <w:adjustRightInd w:val="0"/>
                    <w:snapToGrid w:val="0"/>
                    <w:jc w:val="center"/>
                    <w:rPr>
                      <w:rFonts w:hint="eastAsia"/>
                      <w:bCs/>
                      <w:color w:val="auto"/>
                      <w:kern w:val="2"/>
                      <w:sz w:val="21"/>
                      <w:szCs w:val="21"/>
                      <w:lang w:val="en-US" w:eastAsia="zh-CN" w:bidi="ar-SA"/>
                    </w:rPr>
                  </w:pPr>
                  <w:r>
                    <w:rPr>
                      <w:rFonts w:hint="eastAsia"/>
                      <w:bCs/>
                      <w:color w:val="auto"/>
                      <w:kern w:val="2"/>
                      <w:sz w:val="21"/>
                      <w:szCs w:val="21"/>
                      <w:lang w:val="en-US" w:eastAsia="zh-CN" w:bidi="ar-SA"/>
                    </w:rPr>
                    <w:t>新建</w:t>
                  </w:r>
                </w:p>
              </w:tc>
            </w:tr>
            <w:tr w14:paraId="3CF582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continue"/>
                  <w:noWrap w:val="0"/>
                  <w:vAlign w:val="center"/>
                </w:tcPr>
                <w:p w14:paraId="1E30A97A">
                  <w:pPr>
                    <w:adjustRightInd w:val="0"/>
                    <w:snapToGrid w:val="0"/>
                    <w:jc w:val="center"/>
                    <w:rPr>
                      <w:color w:val="auto"/>
                      <w:sz w:val="21"/>
                      <w:szCs w:val="21"/>
                    </w:rPr>
                  </w:pPr>
                </w:p>
              </w:tc>
              <w:tc>
                <w:tcPr>
                  <w:tcW w:w="599" w:type="pct"/>
                  <w:gridSpan w:val="2"/>
                  <w:vMerge w:val="continue"/>
                  <w:noWrap w:val="0"/>
                  <w:vAlign w:val="center"/>
                </w:tcPr>
                <w:p w14:paraId="6224D33B">
                  <w:pPr>
                    <w:adjustRightInd w:val="0"/>
                    <w:snapToGrid w:val="0"/>
                    <w:jc w:val="center"/>
                    <w:rPr>
                      <w:color w:val="auto"/>
                      <w:sz w:val="21"/>
                      <w:szCs w:val="21"/>
                    </w:rPr>
                  </w:pPr>
                </w:p>
              </w:tc>
              <w:tc>
                <w:tcPr>
                  <w:tcW w:w="394" w:type="pct"/>
                  <w:vMerge w:val="continue"/>
                  <w:noWrap w:val="0"/>
                  <w:vAlign w:val="center"/>
                </w:tcPr>
                <w:p w14:paraId="2004BB20">
                  <w:pPr>
                    <w:adjustRightInd w:val="0"/>
                    <w:snapToGrid w:val="0"/>
                    <w:jc w:val="center"/>
                    <w:rPr>
                      <w:rFonts w:hint="eastAsia"/>
                      <w:color w:val="auto"/>
                      <w:sz w:val="21"/>
                      <w:szCs w:val="21"/>
                      <w:lang w:val="en-US" w:eastAsia="zh-CN"/>
                    </w:rPr>
                  </w:pPr>
                </w:p>
              </w:tc>
              <w:tc>
                <w:tcPr>
                  <w:tcW w:w="2661" w:type="pct"/>
                  <w:noWrap w:val="0"/>
                  <w:vAlign w:val="center"/>
                </w:tcPr>
                <w:p w14:paraId="4AB39937">
                  <w:pPr>
                    <w:adjustRightInd w:val="0"/>
                    <w:snapToGrid w:val="0"/>
                    <w:rPr>
                      <w:rFonts w:hint="eastAsia" w:ascii="Times New Roman" w:cs="Times New Roman"/>
                      <w:color w:val="auto"/>
                      <w:sz w:val="21"/>
                      <w:szCs w:val="21"/>
                    </w:rPr>
                  </w:pPr>
                  <w:r>
                    <w:rPr>
                      <w:rFonts w:hint="eastAsia" w:ascii="Times New Roman" w:cs="Times New Roman"/>
                      <w:color w:val="auto"/>
                      <w:sz w:val="21"/>
                      <w:szCs w:val="21"/>
                    </w:rPr>
                    <w:t>钻井泥浆：进入防渗泥浆罐，固化处理后综合利用，最终用于修路利用，确保泥浆不落地</w:t>
                  </w:r>
                </w:p>
              </w:tc>
              <w:tc>
                <w:tcPr>
                  <w:tcW w:w="928" w:type="pct"/>
                  <w:noWrap w:val="0"/>
                  <w:vAlign w:val="center"/>
                </w:tcPr>
                <w:p w14:paraId="45591604">
                  <w:pPr>
                    <w:adjustRightInd w:val="0"/>
                    <w:snapToGrid w:val="0"/>
                    <w:jc w:val="center"/>
                    <w:rPr>
                      <w:rFonts w:hint="default"/>
                      <w:bCs/>
                      <w:color w:val="auto"/>
                      <w:kern w:val="2"/>
                      <w:sz w:val="21"/>
                      <w:szCs w:val="21"/>
                      <w:lang w:val="en-US" w:eastAsia="zh-CN" w:bidi="ar-SA"/>
                    </w:rPr>
                  </w:pPr>
                  <w:r>
                    <w:rPr>
                      <w:rFonts w:hint="eastAsia"/>
                      <w:bCs/>
                      <w:color w:val="auto"/>
                      <w:kern w:val="2"/>
                      <w:sz w:val="21"/>
                      <w:szCs w:val="21"/>
                      <w:lang w:val="en-US" w:eastAsia="zh-CN" w:bidi="ar-SA"/>
                    </w:rPr>
                    <w:t>新建</w:t>
                  </w:r>
                </w:p>
              </w:tc>
            </w:tr>
            <w:tr w14:paraId="18A7DB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continue"/>
                  <w:noWrap w:val="0"/>
                  <w:vAlign w:val="center"/>
                </w:tcPr>
                <w:p w14:paraId="1197EB18">
                  <w:pPr>
                    <w:adjustRightInd w:val="0"/>
                    <w:snapToGrid w:val="0"/>
                    <w:jc w:val="center"/>
                    <w:rPr>
                      <w:color w:val="auto"/>
                      <w:sz w:val="21"/>
                      <w:szCs w:val="21"/>
                    </w:rPr>
                  </w:pPr>
                </w:p>
              </w:tc>
              <w:tc>
                <w:tcPr>
                  <w:tcW w:w="599" w:type="pct"/>
                  <w:gridSpan w:val="2"/>
                  <w:vMerge w:val="continue"/>
                  <w:noWrap w:val="0"/>
                  <w:vAlign w:val="center"/>
                </w:tcPr>
                <w:p w14:paraId="34D8F1E9">
                  <w:pPr>
                    <w:adjustRightInd w:val="0"/>
                    <w:snapToGrid w:val="0"/>
                    <w:jc w:val="center"/>
                    <w:rPr>
                      <w:color w:val="auto"/>
                      <w:sz w:val="21"/>
                      <w:szCs w:val="21"/>
                    </w:rPr>
                  </w:pPr>
                </w:p>
              </w:tc>
              <w:tc>
                <w:tcPr>
                  <w:tcW w:w="394" w:type="pct"/>
                  <w:vMerge w:val="continue"/>
                  <w:noWrap w:val="0"/>
                  <w:vAlign w:val="center"/>
                </w:tcPr>
                <w:p w14:paraId="55982C34">
                  <w:pPr>
                    <w:adjustRightInd w:val="0"/>
                    <w:snapToGrid w:val="0"/>
                    <w:jc w:val="center"/>
                    <w:rPr>
                      <w:rFonts w:hint="eastAsia"/>
                      <w:color w:val="auto"/>
                      <w:sz w:val="21"/>
                      <w:szCs w:val="21"/>
                      <w:lang w:val="en-US" w:eastAsia="zh-CN"/>
                    </w:rPr>
                  </w:pPr>
                </w:p>
              </w:tc>
              <w:tc>
                <w:tcPr>
                  <w:tcW w:w="2661" w:type="pct"/>
                  <w:noWrap w:val="0"/>
                  <w:vAlign w:val="center"/>
                </w:tcPr>
                <w:p w14:paraId="5CB746DD">
                  <w:pPr>
                    <w:adjustRightInd w:val="0"/>
                    <w:snapToGrid w:val="0"/>
                    <w:rPr>
                      <w:rFonts w:hint="eastAsia" w:ascii="Times New Roman" w:cs="Times New Roman"/>
                      <w:color w:val="auto"/>
                      <w:sz w:val="21"/>
                      <w:szCs w:val="21"/>
                    </w:rPr>
                  </w:pPr>
                  <w:r>
                    <w:rPr>
                      <w:rFonts w:hint="eastAsia" w:ascii="Times New Roman" w:cs="Times New Roman"/>
                      <w:color w:val="auto"/>
                      <w:sz w:val="21"/>
                      <w:szCs w:val="21"/>
                    </w:rPr>
                    <w:t>钻井岩屑：同钻井泥浆一同处置</w:t>
                  </w:r>
                </w:p>
              </w:tc>
              <w:tc>
                <w:tcPr>
                  <w:tcW w:w="928" w:type="pct"/>
                  <w:noWrap w:val="0"/>
                  <w:vAlign w:val="center"/>
                </w:tcPr>
                <w:p w14:paraId="51BA76A7">
                  <w:pPr>
                    <w:adjustRightInd w:val="0"/>
                    <w:snapToGrid w:val="0"/>
                    <w:jc w:val="center"/>
                    <w:rPr>
                      <w:rFonts w:hint="eastAsia"/>
                      <w:bCs/>
                      <w:color w:val="auto"/>
                      <w:kern w:val="2"/>
                      <w:sz w:val="21"/>
                      <w:szCs w:val="21"/>
                      <w:lang w:val="en-US" w:eastAsia="zh-CN" w:bidi="ar-SA"/>
                    </w:rPr>
                  </w:pPr>
                  <w:r>
                    <w:rPr>
                      <w:rFonts w:hint="eastAsia"/>
                      <w:bCs/>
                      <w:color w:val="auto"/>
                      <w:kern w:val="2"/>
                      <w:sz w:val="21"/>
                      <w:szCs w:val="21"/>
                      <w:lang w:val="en-US" w:eastAsia="zh-CN" w:bidi="ar-SA"/>
                    </w:rPr>
                    <w:t>新建</w:t>
                  </w:r>
                </w:p>
              </w:tc>
            </w:tr>
            <w:tr w14:paraId="64FB4D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continue"/>
                  <w:noWrap w:val="0"/>
                  <w:vAlign w:val="center"/>
                </w:tcPr>
                <w:p w14:paraId="6871A789">
                  <w:pPr>
                    <w:adjustRightInd w:val="0"/>
                    <w:snapToGrid w:val="0"/>
                    <w:jc w:val="center"/>
                    <w:rPr>
                      <w:color w:val="auto"/>
                      <w:sz w:val="21"/>
                      <w:szCs w:val="21"/>
                    </w:rPr>
                  </w:pPr>
                </w:p>
              </w:tc>
              <w:tc>
                <w:tcPr>
                  <w:tcW w:w="599" w:type="pct"/>
                  <w:gridSpan w:val="2"/>
                  <w:vMerge w:val="restart"/>
                  <w:noWrap w:val="0"/>
                  <w:vAlign w:val="center"/>
                </w:tcPr>
                <w:p w14:paraId="446A4C5C">
                  <w:pPr>
                    <w:adjustRightInd w:val="0"/>
                    <w:snapToGrid w:val="0"/>
                    <w:jc w:val="center"/>
                    <w:rPr>
                      <w:rFonts w:hint="default"/>
                      <w:color w:val="auto"/>
                      <w:kern w:val="2"/>
                      <w:sz w:val="21"/>
                      <w:szCs w:val="21"/>
                      <w:lang w:val="en-US" w:eastAsia="zh-CN" w:bidi="ar-SA"/>
                    </w:rPr>
                  </w:pPr>
                  <w:r>
                    <w:rPr>
                      <w:rFonts w:hint="eastAsia"/>
                      <w:color w:val="auto"/>
                      <w:kern w:val="2"/>
                      <w:sz w:val="21"/>
                      <w:szCs w:val="21"/>
                      <w:lang w:val="en-US" w:eastAsia="zh-CN" w:bidi="ar-SA"/>
                    </w:rPr>
                    <w:t>运营期</w:t>
                  </w:r>
                </w:p>
              </w:tc>
              <w:tc>
                <w:tcPr>
                  <w:tcW w:w="394" w:type="pct"/>
                  <w:vMerge w:val="restart"/>
                  <w:noWrap w:val="0"/>
                  <w:vAlign w:val="center"/>
                </w:tcPr>
                <w:p w14:paraId="68D94BCE">
                  <w:pPr>
                    <w:adjustRightInd w:val="0"/>
                    <w:snapToGrid w:val="0"/>
                    <w:jc w:val="center"/>
                    <w:rPr>
                      <w:color w:val="auto"/>
                      <w:sz w:val="21"/>
                      <w:szCs w:val="21"/>
                    </w:rPr>
                  </w:pPr>
                  <w:r>
                    <w:rPr>
                      <w:color w:val="auto"/>
                      <w:sz w:val="21"/>
                      <w:szCs w:val="21"/>
                    </w:rPr>
                    <w:t>废水</w:t>
                  </w:r>
                </w:p>
              </w:tc>
              <w:tc>
                <w:tcPr>
                  <w:tcW w:w="2661" w:type="pct"/>
                  <w:noWrap w:val="0"/>
                  <w:vAlign w:val="center"/>
                </w:tcPr>
                <w:p w14:paraId="6ED706A8">
                  <w:pPr>
                    <w:adjustRightInd w:val="0"/>
                    <w:snapToGrid w:val="0"/>
                    <w:rPr>
                      <w:rFonts w:hint="default" w:eastAsia="宋体"/>
                      <w:bCs/>
                      <w:color w:val="auto"/>
                      <w:kern w:val="2"/>
                      <w:sz w:val="21"/>
                      <w:szCs w:val="21"/>
                      <w:lang w:val="en-US" w:eastAsia="zh-CN" w:bidi="ar-SA"/>
                    </w:rPr>
                  </w:pPr>
                  <w:r>
                    <w:rPr>
                      <w:rFonts w:hint="eastAsia" w:ascii="Times New Roman" w:cs="Times New Roman"/>
                      <w:color w:val="auto"/>
                      <w:sz w:val="21"/>
                      <w:szCs w:val="21"/>
                    </w:rPr>
                    <w:t>生活污水排入小区污水管网，经化粪池处理后排入市政污水管网，最终进入西安净水处理有限责任公司第六再生水厂进行处理</w:t>
                  </w:r>
                  <w:r>
                    <w:rPr>
                      <w:rFonts w:hint="eastAsia" w:ascii="Times New Roman" w:cs="Times New Roman"/>
                      <w:color w:val="auto"/>
                      <w:sz w:val="21"/>
                      <w:szCs w:val="21"/>
                      <w:lang w:eastAsia="zh-CN"/>
                    </w:rPr>
                    <w:t>；软化浓水和反冲洗废水排入小区污水管网，经市政污水管网排入西安净水处理有限责任公司第六再生水厂</w:t>
                  </w:r>
                  <w:r>
                    <w:rPr>
                      <w:rFonts w:hint="eastAsia" w:ascii="Times New Roman" w:cs="Times New Roman"/>
                      <w:color w:val="auto"/>
                      <w:sz w:val="21"/>
                      <w:szCs w:val="21"/>
                      <w:lang w:val="en-US" w:eastAsia="zh-CN"/>
                    </w:rPr>
                    <w:t>处理</w:t>
                  </w:r>
                </w:p>
              </w:tc>
              <w:tc>
                <w:tcPr>
                  <w:tcW w:w="928" w:type="pct"/>
                  <w:noWrap w:val="0"/>
                  <w:vAlign w:val="center"/>
                </w:tcPr>
                <w:p w14:paraId="45CB57D0">
                  <w:pPr>
                    <w:adjustRightInd w:val="0"/>
                    <w:snapToGrid w:val="0"/>
                    <w:jc w:val="center"/>
                    <w:rPr>
                      <w:rFonts w:hint="default"/>
                      <w:bCs/>
                      <w:color w:val="auto"/>
                      <w:kern w:val="2"/>
                      <w:sz w:val="21"/>
                      <w:szCs w:val="21"/>
                      <w:lang w:val="en-US" w:eastAsia="zh-CN" w:bidi="ar-SA"/>
                    </w:rPr>
                  </w:pPr>
                  <w:r>
                    <w:rPr>
                      <w:rFonts w:hint="eastAsia"/>
                      <w:bCs/>
                      <w:color w:val="auto"/>
                      <w:kern w:val="2"/>
                      <w:sz w:val="21"/>
                      <w:szCs w:val="21"/>
                      <w:lang w:val="en-US" w:eastAsia="zh-CN" w:bidi="ar-SA"/>
                    </w:rPr>
                    <w:t>依托</w:t>
                  </w:r>
                </w:p>
              </w:tc>
            </w:tr>
            <w:tr w14:paraId="58BC89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continue"/>
                  <w:noWrap w:val="0"/>
                  <w:vAlign w:val="center"/>
                </w:tcPr>
                <w:p w14:paraId="2A4B15CA">
                  <w:pPr>
                    <w:adjustRightInd w:val="0"/>
                    <w:snapToGrid w:val="0"/>
                    <w:jc w:val="center"/>
                    <w:rPr>
                      <w:color w:val="auto"/>
                      <w:sz w:val="21"/>
                      <w:szCs w:val="21"/>
                    </w:rPr>
                  </w:pPr>
                </w:p>
              </w:tc>
              <w:tc>
                <w:tcPr>
                  <w:tcW w:w="599" w:type="pct"/>
                  <w:gridSpan w:val="2"/>
                  <w:vMerge w:val="continue"/>
                  <w:noWrap w:val="0"/>
                  <w:vAlign w:val="center"/>
                </w:tcPr>
                <w:p w14:paraId="5AB74732">
                  <w:pPr>
                    <w:adjustRightInd w:val="0"/>
                    <w:snapToGrid w:val="0"/>
                    <w:jc w:val="center"/>
                    <w:rPr>
                      <w:color w:val="auto"/>
                      <w:sz w:val="21"/>
                      <w:szCs w:val="21"/>
                    </w:rPr>
                  </w:pPr>
                </w:p>
              </w:tc>
              <w:tc>
                <w:tcPr>
                  <w:tcW w:w="394" w:type="pct"/>
                  <w:vMerge w:val="continue"/>
                  <w:noWrap w:val="0"/>
                  <w:vAlign w:val="center"/>
                </w:tcPr>
                <w:p w14:paraId="53CC920F">
                  <w:pPr>
                    <w:adjustRightInd w:val="0"/>
                    <w:snapToGrid w:val="0"/>
                    <w:jc w:val="center"/>
                    <w:rPr>
                      <w:color w:val="auto"/>
                      <w:sz w:val="21"/>
                      <w:szCs w:val="21"/>
                    </w:rPr>
                  </w:pPr>
                </w:p>
              </w:tc>
              <w:tc>
                <w:tcPr>
                  <w:tcW w:w="2661" w:type="pct"/>
                  <w:noWrap w:val="0"/>
                  <w:vAlign w:val="center"/>
                </w:tcPr>
                <w:p w14:paraId="03189457">
                  <w:pPr>
                    <w:adjustRightInd w:val="0"/>
                    <w:snapToGrid w:val="0"/>
                    <w:rPr>
                      <w:rFonts w:hint="eastAsia" w:ascii="Times New Roman" w:cs="Times New Roman"/>
                      <w:color w:val="auto"/>
                      <w:sz w:val="21"/>
                      <w:szCs w:val="21"/>
                    </w:rPr>
                  </w:pPr>
                  <w:r>
                    <w:rPr>
                      <w:rFonts w:hint="eastAsia" w:ascii="Times New Roman" w:cs="Times New Roman"/>
                      <w:color w:val="auto"/>
                      <w:sz w:val="21"/>
                      <w:szCs w:val="21"/>
                      <w:lang w:eastAsia="zh-CN"/>
                    </w:rPr>
                    <w:t>换热尾水经过</w:t>
                  </w:r>
                  <w:r>
                    <w:rPr>
                      <w:rFonts w:hint="eastAsia" w:ascii="Times New Roman" w:cs="Times New Roman"/>
                      <w:color w:val="auto"/>
                      <w:sz w:val="21"/>
                      <w:szCs w:val="21"/>
                      <w:lang w:val="en-US" w:eastAsia="zh-CN"/>
                    </w:rPr>
                    <w:t>高效</w:t>
                  </w:r>
                  <w:r>
                    <w:rPr>
                      <w:rFonts w:hint="eastAsia" w:ascii="Times New Roman" w:cs="Times New Roman"/>
                      <w:color w:val="auto"/>
                      <w:sz w:val="21"/>
                      <w:szCs w:val="21"/>
                      <w:lang w:eastAsia="zh-CN"/>
                    </w:rPr>
                    <w:t>过滤器、</w:t>
                  </w:r>
                  <w:r>
                    <w:rPr>
                      <w:rFonts w:hint="eastAsia" w:ascii="Times New Roman" w:cs="Times New Roman"/>
                      <w:color w:val="auto"/>
                      <w:sz w:val="21"/>
                      <w:szCs w:val="21"/>
                      <w:lang w:val="en-US" w:eastAsia="zh-CN"/>
                    </w:rPr>
                    <w:t>精密过</w:t>
                  </w:r>
                  <w:r>
                    <w:rPr>
                      <w:rFonts w:hint="eastAsia" w:ascii="Times New Roman" w:cs="Times New Roman"/>
                      <w:color w:val="auto"/>
                      <w:sz w:val="21"/>
                      <w:szCs w:val="21"/>
                      <w:lang w:eastAsia="zh-CN"/>
                    </w:rPr>
                    <w:t>滤器过滤，同时经自动排气阀排出不凝气，再经加压泵加压，通过回灌井回灌到与生产井同层位</w:t>
                  </w:r>
                </w:p>
              </w:tc>
              <w:tc>
                <w:tcPr>
                  <w:tcW w:w="928" w:type="pct"/>
                  <w:noWrap w:val="0"/>
                  <w:vAlign w:val="center"/>
                </w:tcPr>
                <w:p w14:paraId="4A623606">
                  <w:pPr>
                    <w:adjustRightInd w:val="0"/>
                    <w:snapToGrid w:val="0"/>
                    <w:jc w:val="center"/>
                    <w:rPr>
                      <w:rFonts w:hint="default"/>
                      <w:bCs/>
                      <w:color w:val="auto"/>
                      <w:kern w:val="2"/>
                      <w:sz w:val="21"/>
                      <w:szCs w:val="21"/>
                      <w:lang w:val="en-US" w:eastAsia="zh-CN" w:bidi="ar-SA"/>
                    </w:rPr>
                  </w:pPr>
                  <w:r>
                    <w:rPr>
                      <w:rFonts w:hint="eastAsia"/>
                      <w:bCs/>
                      <w:color w:val="auto"/>
                      <w:kern w:val="2"/>
                      <w:sz w:val="21"/>
                      <w:szCs w:val="21"/>
                      <w:lang w:val="en-US" w:eastAsia="zh-CN" w:bidi="ar-SA"/>
                    </w:rPr>
                    <w:t>新建</w:t>
                  </w:r>
                </w:p>
              </w:tc>
            </w:tr>
            <w:tr w14:paraId="437A7E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15" w:type="pct"/>
                  <w:vMerge w:val="continue"/>
                  <w:noWrap w:val="0"/>
                  <w:vAlign w:val="center"/>
                </w:tcPr>
                <w:p w14:paraId="02FC9FF2">
                  <w:pPr>
                    <w:adjustRightInd w:val="0"/>
                    <w:snapToGrid w:val="0"/>
                    <w:jc w:val="center"/>
                    <w:rPr>
                      <w:color w:val="auto"/>
                      <w:spacing w:val="-20"/>
                      <w:sz w:val="21"/>
                      <w:szCs w:val="21"/>
                    </w:rPr>
                  </w:pPr>
                </w:p>
              </w:tc>
              <w:tc>
                <w:tcPr>
                  <w:tcW w:w="599" w:type="pct"/>
                  <w:gridSpan w:val="2"/>
                  <w:vMerge w:val="continue"/>
                  <w:noWrap w:val="0"/>
                  <w:vAlign w:val="center"/>
                </w:tcPr>
                <w:p w14:paraId="36BF192F">
                  <w:pPr>
                    <w:adjustRightInd w:val="0"/>
                    <w:snapToGrid w:val="0"/>
                    <w:jc w:val="center"/>
                    <w:rPr>
                      <w:color w:val="auto"/>
                      <w:sz w:val="21"/>
                      <w:szCs w:val="21"/>
                    </w:rPr>
                  </w:pPr>
                </w:p>
              </w:tc>
              <w:tc>
                <w:tcPr>
                  <w:tcW w:w="394" w:type="pct"/>
                  <w:shd w:val="clear" w:color="auto" w:fill="auto"/>
                  <w:noWrap w:val="0"/>
                  <w:vAlign w:val="center"/>
                </w:tcPr>
                <w:p w14:paraId="210D2C9D">
                  <w:pPr>
                    <w:adjustRightInd w:val="0"/>
                    <w:snapToGrid w:val="0"/>
                    <w:jc w:val="center"/>
                    <w:rPr>
                      <w:rFonts w:ascii="Times New Roman" w:hAnsi="Times New Roman" w:eastAsia="宋体" w:cs="Times New Roman"/>
                      <w:color w:val="auto"/>
                      <w:kern w:val="2"/>
                      <w:sz w:val="21"/>
                      <w:szCs w:val="21"/>
                      <w:lang w:val="en-US" w:eastAsia="zh-CN" w:bidi="ar-SA"/>
                    </w:rPr>
                  </w:pPr>
                  <w:r>
                    <w:rPr>
                      <w:color w:val="auto"/>
                      <w:sz w:val="21"/>
                      <w:szCs w:val="21"/>
                    </w:rPr>
                    <w:t>噪声</w:t>
                  </w:r>
                </w:p>
              </w:tc>
              <w:tc>
                <w:tcPr>
                  <w:tcW w:w="2661" w:type="pct"/>
                  <w:noWrap w:val="0"/>
                  <w:vAlign w:val="center"/>
                </w:tcPr>
                <w:p w14:paraId="10CE4C9D">
                  <w:pPr>
                    <w:adjustRightInd w:val="0"/>
                    <w:snapToGrid w:val="0"/>
                    <w:rPr>
                      <w:color w:val="auto"/>
                      <w:sz w:val="21"/>
                      <w:szCs w:val="21"/>
                    </w:rPr>
                  </w:pPr>
                  <w:r>
                    <w:rPr>
                      <w:rFonts w:hint="eastAsia"/>
                      <w:color w:val="auto"/>
                      <w:sz w:val="21"/>
                      <w:szCs w:val="21"/>
                      <w:lang w:val="en-US" w:eastAsia="zh-CN"/>
                    </w:rPr>
                    <w:t>选用</w:t>
                  </w:r>
                  <w:r>
                    <w:rPr>
                      <w:color w:val="auto"/>
                      <w:sz w:val="21"/>
                      <w:szCs w:val="21"/>
                    </w:rPr>
                    <w:t>低噪声设备</w:t>
                  </w:r>
                  <w:r>
                    <w:rPr>
                      <w:rFonts w:hint="eastAsia"/>
                      <w:color w:val="auto"/>
                      <w:sz w:val="21"/>
                      <w:szCs w:val="21"/>
                      <w:lang w:eastAsia="zh-CN"/>
                    </w:rPr>
                    <w:t>，</w:t>
                  </w:r>
                  <w:r>
                    <w:rPr>
                      <w:rFonts w:hint="eastAsia"/>
                      <w:color w:val="auto"/>
                      <w:sz w:val="21"/>
                      <w:szCs w:val="21"/>
                      <w:lang w:val="en-US" w:eastAsia="zh-CN"/>
                    </w:rPr>
                    <w:t>水泵、加压泵等采取基础减振，设备设置在地下供热机房内，采用隔声及合理布局等降噪等措施</w:t>
                  </w:r>
                </w:p>
              </w:tc>
              <w:tc>
                <w:tcPr>
                  <w:tcW w:w="928" w:type="pct"/>
                  <w:noWrap w:val="0"/>
                  <w:vAlign w:val="center"/>
                </w:tcPr>
                <w:p w14:paraId="3423A731">
                  <w:pPr>
                    <w:adjustRightInd w:val="0"/>
                    <w:snapToGrid w:val="0"/>
                    <w:jc w:val="center"/>
                    <w:rPr>
                      <w:rFonts w:hint="default"/>
                      <w:color w:val="auto"/>
                      <w:sz w:val="21"/>
                      <w:szCs w:val="21"/>
                      <w:lang w:val="en-US" w:eastAsia="zh-CN"/>
                    </w:rPr>
                  </w:pPr>
                  <w:r>
                    <w:rPr>
                      <w:rFonts w:hint="eastAsia"/>
                      <w:color w:val="auto"/>
                      <w:sz w:val="21"/>
                      <w:szCs w:val="21"/>
                      <w:lang w:val="en-US" w:eastAsia="zh-CN"/>
                    </w:rPr>
                    <w:t>新建</w:t>
                  </w:r>
                </w:p>
              </w:tc>
            </w:tr>
            <w:tr w14:paraId="3A085D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continue"/>
                  <w:noWrap w:val="0"/>
                  <w:vAlign w:val="center"/>
                </w:tcPr>
                <w:p w14:paraId="68E41374">
                  <w:pPr>
                    <w:adjustRightInd w:val="0"/>
                    <w:snapToGrid w:val="0"/>
                    <w:jc w:val="center"/>
                    <w:rPr>
                      <w:color w:val="auto"/>
                      <w:spacing w:val="-20"/>
                      <w:sz w:val="21"/>
                      <w:szCs w:val="21"/>
                    </w:rPr>
                  </w:pPr>
                </w:p>
              </w:tc>
              <w:tc>
                <w:tcPr>
                  <w:tcW w:w="599" w:type="pct"/>
                  <w:gridSpan w:val="2"/>
                  <w:vMerge w:val="continue"/>
                  <w:noWrap w:val="0"/>
                  <w:vAlign w:val="center"/>
                </w:tcPr>
                <w:p w14:paraId="6829F16F">
                  <w:pPr>
                    <w:adjustRightInd w:val="0"/>
                    <w:snapToGrid w:val="0"/>
                    <w:jc w:val="center"/>
                    <w:rPr>
                      <w:color w:val="auto"/>
                      <w:sz w:val="21"/>
                      <w:szCs w:val="21"/>
                    </w:rPr>
                  </w:pPr>
                </w:p>
              </w:tc>
              <w:tc>
                <w:tcPr>
                  <w:tcW w:w="394" w:type="pct"/>
                  <w:vMerge w:val="restart"/>
                  <w:shd w:val="clear" w:color="auto" w:fill="auto"/>
                  <w:noWrap w:val="0"/>
                  <w:vAlign w:val="center"/>
                </w:tcPr>
                <w:p w14:paraId="2F34370B">
                  <w:pPr>
                    <w:adjustRightInd w:val="0"/>
                    <w:snapToGrid w:val="0"/>
                    <w:jc w:val="center"/>
                    <w:rPr>
                      <w:rFonts w:ascii="Times New Roman" w:hAnsi="Times New Roman" w:eastAsia="宋体" w:cs="Times New Roman"/>
                      <w:color w:val="auto"/>
                      <w:kern w:val="2"/>
                      <w:sz w:val="21"/>
                      <w:szCs w:val="21"/>
                      <w:lang w:val="en-US" w:eastAsia="zh-CN" w:bidi="ar-SA"/>
                    </w:rPr>
                  </w:pPr>
                  <w:r>
                    <w:rPr>
                      <w:color w:val="auto"/>
                      <w:sz w:val="21"/>
                      <w:szCs w:val="21"/>
                    </w:rPr>
                    <w:t>固废</w:t>
                  </w:r>
                </w:p>
              </w:tc>
              <w:tc>
                <w:tcPr>
                  <w:tcW w:w="2661" w:type="pct"/>
                  <w:noWrap w:val="0"/>
                  <w:vAlign w:val="center"/>
                </w:tcPr>
                <w:p w14:paraId="2F6E2FCA">
                  <w:pPr>
                    <w:adjustRightInd w:val="0"/>
                    <w:snapToGrid w:val="0"/>
                    <w:rPr>
                      <w:color w:val="auto"/>
                      <w:sz w:val="21"/>
                      <w:szCs w:val="21"/>
                    </w:rPr>
                  </w:pPr>
                  <w:r>
                    <w:rPr>
                      <w:rFonts w:hint="eastAsia"/>
                      <w:color w:val="auto"/>
                      <w:sz w:val="21"/>
                      <w:szCs w:val="21"/>
                    </w:rPr>
                    <w:t>生活垃圾分类收集后，由环卫部门</w:t>
                  </w:r>
                  <w:r>
                    <w:rPr>
                      <w:rFonts w:hint="eastAsia"/>
                      <w:color w:val="auto"/>
                      <w:sz w:val="21"/>
                      <w:szCs w:val="21"/>
                      <w:lang w:val="en-US" w:eastAsia="zh-CN"/>
                    </w:rPr>
                    <w:t>统一清运</w:t>
                  </w:r>
                </w:p>
              </w:tc>
              <w:tc>
                <w:tcPr>
                  <w:tcW w:w="928" w:type="pct"/>
                  <w:noWrap w:val="0"/>
                  <w:vAlign w:val="center"/>
                </w:tcPr>
                <w:p w14:paraId="6D00E285">
                  <w:pPr>
                    <w:adjustRightInd w:val="0"/>
                    <w:snapToGrid w:val="0"/>
                    <w:jc w:val="center"/>
                    <w:rPr>
                      <w:rFonts w:hint="eastAsia" w:eastAsia="宋体"/>
                      <w:color w:val="auto"/>
                      <w:sz w:val="21"/>
                      <w:szCs w:val="21"/>
                      <w:lang w:val="en-US" w:eastAsia="zh-CN"/>
                    </w:rPr>
                  </w:pPr>
                  <w:r>
                    <w:rPr>
                      <w:rFonts w:hint="eastAsia"/>
                      <w:color w:val="auto"/>
                      <w:sz w:val="21"/>
                      <w:szCs w:val="21"/>
                      <w:lang w:val="en-US" w:eastAsia="zh-CN"/>
                    </w:rPr>
                    <w:t>已建</w:t>
                  </w:r>
                </w:p>
              </w:tc>
            </w:tr>
            <w:tr w14:paraId="289B26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5" w:type="pct"/>
                  <w:vMerge w:val="continue"/>
                  <w:noWrap w:val="0"/>
                  <w:vAlign w:val="center"/>
                </w:tcPr>
                <w:p w14:paraId="7347ED6A">
                  <w:pPr>
                    <w:adjustRightInd w:val="0"/>
                    <w:snapToGrid w:val="0"/>
                    <w:jc w:val="center"/>
                    <w:rPr>
                      <w:color w:val="auto"/>
                      <w:spacing w:val="-20"/>
                      <w:sz w:val="21"/>
                      <w:szCs w:val="21"/>
                    </w:rPr>
                  </w:pPr>
                </w:p>
              </w:tc>
              <w:tc>
                <w:tcPr>
                  <w:tcW w:w="599" w:type="pct"/>
                  <w:gridSpan w:val="2"/>
                  <w:vMerge w:val="continue"/>
                  <w:noWrap w:val="0"/>
                  <w:vAlign w:val="center"/>
                </w:tcPr>
                <w:p w14:paraId="4D212E50">
                  <w:pPr>
                    <w:adjustRightInd w:val="0"/>
                    <w:snapToGrid w:val="0"/>
                    <w:jc w:val="center"/>
                    <w:rPr>
                      <w:color w:val="auto"/>
                      <w:sz w:val="21"/>
                      <w:szCs w:val="21"/>
                    </w:rPr>
                  </w:pPr>
                </w:p>
              </w:tc>
              <w:tc>
                <w:tcPr>
                  <w:tcW w:w="394" w:type="pct"/>
                  <w:vMerge w:val="continue"/>
                  <w:noWrap w:val="0"/>
                  <w:vAlign w:val="center"/>
                </w:tcPr>
                <w:p w14:paraId="113F7603">
                  <w:pPr>
                    <w:adjustRightInd w:val="0"/>
                    <w:snapToGrid w:val="0"/>
                    <w:jc w:val="center"/>
                    <w:rPr>
                      <w:color w:val="auto"/>
                      <w:sz w:val="21"/>
                      <w:szCs w:val="21"/>
                    </w:rPr>
                  </w:pPr>
                </w:p>
              </w:tc>
              <w:tc>
                <w:tcPr>
                  <w:tcW w:w="2661" w:type="pct"/>
                  <w:noWrap w:val="0"/>
                  <w:vAlign w:val="center"/>
                </w:tcPr>
                <w:p w14:paraId="2D1DFA49">
                  <w:pPr>
                    <w:adjustRightInd w:val="0"/>
                    <w:snapToGrid w:val="0"/>
                    <w:rPr>
                      <w:rFonts w:hint="default"/>
                      <w:color w:val="auto"/>
                      <w:sz w:val="21"/>
                      <w:szCs w:val="21"/>
                      <w:lang w:val="en-US" w:eastAsia="zh-CN"/>
                    </w:rPr>
                  </w:pPr>
                  <w:r>
                    <w:rPr>
                      <w:rFonts w:hint="eastAsia"/>
                      <w:color w:val="auto"/>
                      <w:sz w:val="21"/>
                      <w:szCs w:val="21"/>
                      <w:lang w:val="en-US" w:eastAsia="zh-CN"/>
                    </w:rPr>
                    <w:t>回灌水处理系统废滤芯交由厂家回收处置；废离子交换树脂由厂家回收处置；废砂综合利用于修路</w:t>
                  </w:r>
                </w:p>
              </w:tc>
              <w:tc>
                <w:tcPr>
                  <w:tcW w:w="928" w:type="pct"/>
                  <w:noWrap w:val="0"/>
                  <w:vAlign w:val="center"/>
                </w:tcPr>
                <w:p w14:paraId="7360765A">
                  <w:pPr>
                    <w:adjustRightInd w:val="0"/>
                    <w:snapToGrid w:val="0"/>
                    <w:jc w:val="center"/>
                    <w:rPr>
                      <w:rFonts w:hint="default"/>
                      <w:color w:val="auto"/>
                      <w:sz w:val="21"/>
                      <w:szCs w:val="21"/>
                      <w:lang w:val="en-US" w:eastAsia="zh-CN"/>
                    </w:rPr>
                  </w:pPr>
                  <w:r>
                    <w:rPr>
                      <w:rFonts w:hint="eastAsia"/>
                      <w:color w:val="auto"/>
                      <w:sz w:val="21"/>
                      <w:szCs w:val="21"/>
                      <w:lang w:val="en-US" w:eastAsia="zh-CN"/>
                    </w:rPr>
                    <w:t>新建</w:t>
                  </w:r>
                </w:p>
              </w:tc>
            </w:tr>
            <w:bookmarkEnd w:id="2"/>
          </w:tbl>
          <w:p w14:paraId="1D867E91">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default"/>
                <w:b/>
                <w:bCs/>
                <w:color w:val="auto"/>
                <w:lang w:val="en-US" w:eastAsia="zh-CN"/>
              </w:rPr>
            </w:pPr>
            <w:r>
              <w:rPr>
                <w:rFonts w:hint="eastAsia"/>
                <w:b/>
                <w:bCs/>
                <w:color w:val="auto"/>
                <w:lang w:val="en-US" w:eastAsia="zh-CN"/>
              </w:rPr>
              <w:t>4、</w:t>
            </w:r>
            <w:r>
              <w:rPr>
                <w:rFonts w:hint="default"/>
                <w:b/>
                <w:bCs/>
                <w:color w:val="auto"/>
                <w:lang w:val="en-US" w:eastAsia="zh-CN"/>
              </w:rPr>
              <w:t>建设规模及主要工程参数</w:t>
            </w:r>
          </w:p>
          <w:p w14:paraId="0E57A292">
            <w:pPr>
              <w:pStyle w:val="22"/>
              <w:bidi w:val="0"/>
              <w:rPr>
                <w:rFonts w:hint="default"/>
                <w:color w:val="auto"/>
                <w:lang w:val="en-US" w:eastAsia="zh-CN"/>
              </w:rPr>
            </w:pPr>
            <w:r>
              <w:rPr>
                <w:rFonts w:hint="default"/>
                <w:color w:val="auto"/>
                <w:lang w:val="en-US" w:eastAsia="zh-CN"/>
              </w:rPr>
              <w:t>项目地热井指标参数见表2-2，回灌井指标参数见表2-3</w:t>
            </w:r>
            <w:r>
              <w:rPr>
                <w:rFonts w:hint="eastAsia"/>
                <w:color w:val="auto"/>
                <w:lang w:val="en-US" w:eastAsia="zh-CN"/>
              </w:rPr>
              <w:t>，供热参数见表2-4</w:t>
            </w:r>
            <w:r>
              <w:rPr>
                <w:rFonts w:hint="default"/>
                <w:color w:val="auto"/>
                <w:lang w:val="en-US" w:eastAsia="zh-CN"/>
              </w:rPr>
              <w:t>。</w:t>
            </w:r>
          </w:p>
          <w:p w14:paraId="46797658">
            <w:pPr>
              <w:spacing w:line="240" w:lineRule="auto"/>
              <w:jc w:val="center"/>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表2-2  地热井</w:t>
            </w:r>
            <w:r>
              <w:rPr>
                <w:rFonts w:hint="eastAsia" w:ascii="Times New Roman" w:hAnsi="Times New Roman" w:cs="Times New Roman"/>
                <w:b/>
                <w:bCs/>
                <w:color w:val="auto"/>
                <w:sz w:val="24"/>
                <w:szCs w:val="24"/>
                <w:lang w:val="en-US" w:eastAsia="zh-CN"/>
              </w:rPr>
              <w:t>技术参数一览表</w:t>
            </w:r>
          </w:p>
          <w:tbl>
            <w:tblPr>
              <w:tblStyle w:val="1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45"/>
              <w:gridCol w:w="2754"/>
              <w:gridCol w:w="3963"/>
            </w:tblGrid>
            <w:tr w14:paraId="44B12D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5" w:type="pct"/>
                  <w:tcBorders>
                    <w:tl2br w:val="nil"/>
                    <w:tr2bl w:val="nil"/>
                  </w:tcBorders>
                  <w:noWrap w:val="0"/>
                  <w:vAlign w:val="center"/>
                </w:tcPr>
                <w:p w14:paraId="3A9853AB">
                  <w:pPr>
                    <w:ind w:right="50" w:rightChars="24"/>
                    <w:jc w:val="center"/>
                    <w:rPr>
                      <w:rFonts w:hint="default" w:ascii="Times New Roman" w:hAnsi="Times New Roman" w:cs="Times New Roman"/>
                      <w:b/>
                      <w:bCs/>
                      <w:color w:val="auto"/>
                    </w:rPr>
                  </w:pPr>
                  <w:r>
                    <w:rPr>
                      <w:rFonts w:hint="default" w:ascii="Times New Roman" w:hAnsi="Times New Roman" w:cs="Times New Roman"/>
                      <w:b/>
                      <w:bCs/>
                      <w:color w:val="auto"/>
                    </w:rPr>
                    <w:t>编号</w:t>
                  </w:r>
                </w:p>
              </w:tc>
              <w:tc>
                <w:tcPr>
                  <w:tcW w:w="1687" w:type="pct"/>
                  <w:tcBorders>
                    <w:tl2br w:val="nil"/>
                    <w:tr2bl w:val="nil"/>
                  </w:tcBorders>
                  <w:noWrap w:val="0"/>
                  <w:vAlign w:val="center"/>
                </w:tcPr>
                <w:p w14:paraId="6171C3F9">
                  <w:pPr>
                    <w:adjustRightInd w:val="0"/>
                    <w:jc w:val="center"/>
                    <w:textAlignment w:val="baseline"/>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技术项目</w:t>
                  </w:r>
                </w:p>
              </w:tc>
              <w:tc>
                <w:tcPr>
                  <w:tcW w:w="2427" w:type="pct"/>
                  <w:tcBorders>
                    <w:tl2br w:val="nil"/>
                    <w:tr2bl w:val="nil"/>
                  </w:tcBorders>
                  <w:noWrap w:val="0"/>
                  <w:vAlign w:val="center"/>
                </w:tcPr>
                <w:p w14:paraId="293505F7">
                  <w:pPr>
                    <w:adjustRightInd w:val="0"/>
                    <w:jc w:val="center"/>
                    <w:textAlignment w:val="baseline"/>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成井指标</w:t>
                  </w:r>
                </w:p>
              </w:tc>
            </w:tr>
            <w:tr w14:paraId="7224F5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85" w:type="pct"/>
                  <w:tcBorders>
                    <w:tl2br w:val="nil"/>
                    <w:tr2bl w:val="nil"/>
                  </w:tcBorders>
                  <w:noWrap w:val="0"/>
                  <w:vAlign w:val="center"/>
                </w:tcPr>
                <w:p w14:paraId="26F37231">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1687" w:type="pct"/>
                  <w:tcBorders>
                    <w:tl2br w:val="nil"/>
                    <w:tr2bl w:val="nil"/>
                  </w:tcBorders>
                  <w:noWrap w:val="0"/>
                  <w:vAlign w:val="center"/>
                </w:tcPr>
                <w:p w14:paraId="31EFF150">
                  <w:pPr>
                    <w:bidi w:val="0"/>
                    <w:jc w:val="center"/>
                    <w:rPr>
                      <w:rFonts w:hint="default" w:ascii="Times New Roman" w:hAnsi="Times New Roman" w:cs="Times New Roman"/>
                      <w:color w:val="auto"/>
                      <w:lang w:eastAsia="zh-CN"/>
                    </w:rPr>
                  </w:pPr>
                  <w:r>
                    <w:rPr>
                      <w:rFonts w:hint="default" w:ascii="Times New Roman" w:hAnsi="Times New Roman" w:cs="Times New Roman"/>
                      <w:color w:val="auto"/>
                    </w:rPr>
                    <w:t>井深</w:t>
                  </w:r>
                </w:p>
              </w:tc>
              <w:tc>
                <w:tcPr>
                  <w:tcW w:w="2427" w:type="pct"/>
                  <w:tcBorders>
                    <w:tl2br w:val="nil"/>
                    <w:tr2bl w:val="nil"/>
                  </w:tcBorders>
                  <w:noWrap w:val="0"/>
                  <w:vAlign w:val="center"/>
                </w:tcPr>
                <w:p w14:paraId="6ED6029D">
                  <w:pPr>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2772.2m</w:t>
                  </w:r>
                </w:p>
              </w:tc>
            </w:tr>
            <w:tr w14:paraId="1EB403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85" w:type="pct"/>
                  <w:tcBorders>
                    <w:tl2br w:val="nil"/>
                    <w:tr2bl w:val="nil"/>
                  </w:tcBorders>
                  <w:noWrap w:val="0"/>
                  <w:vAlign w:val="center"/>
                </w:tcPr>
                <w:p w14:paraId="55F1C824">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p>
              </w:tc>
              <w:tc>
                <w:tcPr>
                  <w:tcW w:w="1687" w:type="pct"/>
                  <w:tcBorders>
                    <w:tl2br w:val="nil"/>
                    <w:tr2bl w:val="nil"/>
                  </w:tcBorders>
                  <w:noWrap w:val="0"/>
                  <w:vAlign w:val="center"/>
                </w:tcPr>
                <w:p w14:paraId="7D1F80FA">
                  <w:pPr>
                    <w:bidi w:val="0"/>
                    <w:jc w:val="center"/>
                    <w:rPr>
                      <w:rFonts w:hint="default" w:ascii="Times New Roman" w:hAnsi="Times New Roman" w:cs="Times New Roman"/>
                      <w:color w:val="auto"/>
                    </w:rPr>
                  </w:pPr>
                  <w:r>
                    <w:rPr>
                      <w:rFonts w:hint="default" w:ascii="Times New Roman" w:hAnsi="Times New Roman" w:cs="Times New Roman"/>
                      <w:color w:val="auto"/>
                    </w:rPr>
                    <w:t>取水段深度</w:t>
                  </w:r>
                </w:p>
              </w:tc>
              <w:tc>
                <w:tcPr>
                  <w:tcW w:w="2427" w:type="pct"/>
                  <w:tcBorders>
                    <w:tl2br w:val="nil"/>
                    <w:tr2bl w:val="nil"/>
                  </w:tcBorders>
                  <w:noWrap w:val="0"/>
                  <w:vAlign w:val="center"/>
                </w:tcPr>
                <w:p w14:paraId="4058BA02">
                  <w:pPr>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1932.50～2772.20m</w:t>
                  </w:r>
                </w:p>
              </w:tc>
            </w:tr>
            <w:tr w14:paraId="1C4A88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85" w:type="pct"/>
                  <w:tcBorders>
                    <w:tl2br w:val="nil"/>
                    <w:tr2bl w:val="nil"/>
                  </w:tcBorders>
                  <w:noWrap w:val="0"/>
                  <w:vAlign w:val="center"/>
                </w:tcPr>
                <w:p w14:paraId="7EFE6770">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w:t>
                  </w:r>
                </w:p>
              </w:tc>
              <w:tc>
                <w:tcPr>
                  <w:tcW w:w="1687" w:type="pct"/>
                  <w:tcBorders>
                    <w:tl2br w:val="nil"/>
                    <w:tr2bl w:val="nil"/>
                  </w:tcBorders>
                  <w:noWrap w:val="0"/>
                  <w:vAlign w:val="center"/>
                </w:tcPr>
                <w:p w14:paraId="0C7ED6BC">
                  <w:pPr>
                    <w:bidi w:val="0"/>
                    <w:jc w:val="center"/>
                    <w:rPr>
                      <w:rFonts w:hint="default" w:ascii="Times New Roman" w:hAnsi="Times New Roman" w:cs="Times New Roman"/>
                      <w:color w:val="auto"/>
                    </w:rPr>
                  </w:pPr>
                  <w:r>
                    <w:rPr>
                      <w:rFonts w:hint="default" w:ascii="Times New Roman" w:hAnsi="Times New Roman" w:cs="Times New Roman"/>
                      <w:color w:val="auto"/>
                    </w:rPr>
                    <w:t>井径</w:t>
                  </w:r>
                </w:p>
              </w:tc>
              <w:tc>
                <w:tcPr>
                  <w:tcW w:w="2427" w:type="pct"/>
                  <w:tcBorders>
                    <w:tl2br w:val="nil"/>
                    <w:tr2bl w:val="nil"/>
                  </w:tcBorders>
                  <w:noWrap w:val="0"/>
                  <w:vAlign w:val="center"/>
                </w:tcPr>
                <w:p w14:paraId="45BDE12D">
                  <w:pPr>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245mm</w:t>
                  </w:r>
                </w:p>
              </w:tc>
            </w:tr>
            <w:tr w14:paraId="7C341C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85" w:type="pct"/>
                  <w:tcBorders>
                    <w:tl2br w:val="nil"/>
                    <w:tr2bl w:val="nil"/>
                  </w:tcBorders>
                  <w:noWrap w:val="0"/>
                  <w:vAlign w:val="center"/>
                </w:tcPr>
                <w:p w14:paraId="45DFD62D">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w:t>
                  </w:r>
                </w:p>
              </w:tc>
              <w:tc>
                <w:tcPr>
                  <w:tcW w:w="1687" w:type="pct"/>
                  <w:tcBorders>
                    <w:tl2br w:val="nil"/>
                    <w:tr2bl w:val="nil"/>
                  </w:tcBorders>
                  <w:noWrap w:val="0"/>
                  <w:vAlign w:val="center"/>
                </w:tcPr>
                <w:p w14:paraId="5A24DE0F">
                  <w:pPr>
                    <w:bidi w:val="0"/>
                    <w:jc w:val="center"/>
                    <w:rPr>
                      <w:rFonts w:hint="default" w:ascii="Times New Roman" w:hAnsi="Times New Roman" w:cs="Times New Roman"/>
                      <w:color w:val="auto"/>
                    </w:rPr>
                  </w:pPr>
                  <w:r>
                    <w:rPr>
                      <w:rFonts w:hint="default" w:ascii="Times New Roman" w:hAnsi="Times New Roman" w:cs="Times New Roman"/>
                      <w:color w:val="auto"/>
                    </w:rPr>
                    <w:t>泵室管</w:t>
                  </w:r>
                </w:p>
              </w:tc>
              <w:tc>
                <w:tcPr>
                  <w:tcW w:w="2427" w:type="pct"/>
                  <w:tcBorders>
                    <w:tl2br w:val="nil"/>
                    <w:tr2bl w:val="nil"/>
                  </w:tcBorders>
                  <w:noWrap w:val="0"/>
                  <w:vAlign w:val="center"/>
                </w:tcPr>
                <w:p w14:paraId="234318A6">
                  <w:pPr>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339.7mm</w:t>
                  </w:r>
                </w:p>
              </w:tc>
            </w:tr>
            <w:tr w14:paraId="30A37D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85" w:type="pct"/>
                  <w:tcBorders>
                    <w:tl2br w:val="nil"/>
                    <w:tr2bl w:val="nil"/>
                  </w:tcBorders>
                  <w:noWrap w:val="0"/>
                  <w:vAlign w:val="center"/>
                </w:tcPr>
                <w:p w14:paraId="12530D39">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w:t>
                  </w:r>
                </w:p>
              </w:tc>
              <w:tc>
                <w:tcPr>
                  <w:tcW w:w="1687" w:type="pct"/>
                  <w:tcBorders>
                    <w:tl2br w:val="nil"/>
                    <w:tr2bl w:val="nil"/>
                  </w:tcBorders>
                  <w:noWrap w:val="0"/>
                  <w:vAlign w:val="center"/>
                </w:tcPr>
                <w:p w14:paraId="6A0608DC">
                  <w:pPr>
                    <w:bidi w:val="0"/>
                    <w:jc w:val="center"/>
                    <w:rPr>
                      <w:rFonts w:hint="default" w:ascii="Times New Roman" w:hAnsi="Times New Roman" w:cs="Times New Roman"/>
                      <w:color w:val="auto"/>
                    </w:rPr>
                  </w:pPr>
                  <w:r>
                    <w:rPr>
                      <w:rFonts w:hint="default" w:ascii="Times New Roman" w:hAnsi="Times New Roman" w:cs="Times New Roman"/>
                      <w:color w:val="auto"/>
                    </w:rPr>
                    <w:t>水层井管</w:t>
                  </w:r>
                </w:p>
              </w:tc>
              <w:tc>
                <w:tcPr>
                  <w:tcW w:w="2427" w:type="pct"/>
                  <w:tcBorders>
                    <w:tl2br w:val="nil"/>
                    <w:tr2bl w:val="nil"/>
                  </w:tcBorders>
                  <w:noWrap w:val="0"/>
                  <w:vAlign w:val="center"/>
                </w:tcPr>
                <w:p w14:paraId="79B0CE36">
                  <w:pPr>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177.8mm</w:t>
                  </w:r>
                </w:p>
              </w:tc>
            </w:tr>
            <w:tr w14:paraId="182323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85" w:type="pct"/>
                  <w:tcBorders>
                    <w:tl2br w:val="nil"/>
                    <w:tr2bl w:val="nil"/>
                  </w:tcBorders>
                  <w:noWrap w:val="0"/>
                  <w:vAlign w:val="center"/>
                </w:tcPr>
                <w:p w14:paraId="52152C3F">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w:t>
                  </w:r>
                </w:p>
              </w:tc>
              <w:tc>
                <w:tcPr>
                  <w:tcW w:w="1687" w:type="pct"/>
                  <w:tcBorders>
                    <w:tl2br w:val="nil"/>
                    <w:tr2bl w:val="nil"/>
                  </w:tcBorders>
                  <w:noWrap w:val="0"/>
                  <w:vAlign w:val="center"/>
                </w:tcPr>
                <w:p w14:paraId="2027A6F0">
                  <w:pPr>
                    <w:bidi w:val="0"/>
                    <w:jc w:val="center"/>
                    <w:rPr>
                      <w:rFonts w:hint="default" w:ascii="Times New Roman" w:hAnsi="Times New Roman" w:cs="Times New Roman"/>
                      <w:color w:val="auto"/>
                    </w:rPr>
                  </w:pPr>
                  <w:r>
                    <w:rPr>
                      <w:rFonts w:hint="default" w:ascii="Times New Roman" w:hAnsi="Times New Roman" w:cs="Times New Roman"/>
                      <w:color w:val="auto"/>
                    </w:rPr>
                    <w:t>泵室段有效长度</w:t>
                  </w:r>
                  <w:r>
                    <w:rPr>
                      <w:rFonts w:hint="default" w:ascii="Times New Roman" w:hAnsi="Times New Roman" w:cs="Times New Roman"/>
                      <w:color w:val="auto"/>
                      <w:lang w:val="en-US" w:eastAsia="en-US"/>
                    </w:rPr>
                    <w:t>(m</w:t>
                  </w:r>
                  <w:r>
                    <w:rPr>
                      <w:rFonts w:hint="eastAsia" w:cs="Times New Roman"/>
                      <w:color w:val="auto"/>
                      <w:lang w:val="en-US" w:eastAsia="zh-CN"/>
                    </w:rPr>
                    <w:t>）</w:t>
                  </w:r>
                </w:p>
              </w:tc>
              <w:tc>
                <w:tcPr>
                  <w:tcW w:w="2427" w:type="pct"/>
                  <w:tcBorders>
                    <w:tl2br w:val="nil"/>
                    <w:tr2bl w:val="nil"/>
                  </w:tcBorders>
                  <w:noWrap w:val="0"/>
                  <w:vAlign w:val="center"/>
                </w:tcPr>
                <w:p w14:paraId="5CF038A1">
                  <w:pPr>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430m</w:t>
                  </w:r>
                </w:p>
              </w:tc>
            </w:tr>
            <w:tr w14:paraId="0B90A3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85" w:type="pct"/>
                  <w:tcBorders>
                    <w:tl2br w:val="nil"/>
                    <w:tr2bl w:val="nil"/>
                  </w:tcBorders>
                  <w:noWrap w:val="0"/>
                  <w:vAlign w:val="center"/>
                </w:tcPr>
                <w:p w14:paraId="6110EB77">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w:t>
                  </w:r>
                </w:p>
              </w:tc>
              <w:tc>
                <w:tcPr>
                  <w:tcW w:w="1687" w:type="pct"/>
                  <w:tcBorders>
                    <w:tl2br w:val="nil"/>
                    <w:tr2bl w:val="nil"/>
                  </w:tcBorders>
                  <w:noWrap w:val="0"/>
                  <w:vAlign w:val="center"/>
                </w:tcPr>
                <w:p w14:paraId="7776DBFE">
                  <w:pPr>
                    <w:bidi w:val="0"/>
                    <w:jc w:val="center"/>
                    <w:rPr>
                      <w:rFonts w:hint="default" w:ascii="Times New Roman" w:hAnsi="Times New Roman" w:cs="Times New Roman"/>
                      <w:color w:val="auto"/>
                    </w:rPr>
                  </w:pPr>
                  <w:r>
                    <w:rPr>
                      <w:rFonts w:hint="default" w:ascii="Times New Roman" w:hAnsi="Times New Roman" w:cs="Times New Roman"/>
                      <w:color w:val="auto"/>
                    </w:rPr>
                    <w:t>井斜</w:t>
                  </w:r>
                </w:p>
              </w:tc>
              <w:tc>
                <w:tcPr>
                  <w:tcW w:w="2427" w:type="pct"/>
                  <w:tcBorders>
                    <w:tl2br w:val="nil"/>
                    <w:tr2bl w:val="nil"/>
                  </w:tcBorders>
                  <w:noWrap w:val="0"/>
                  <w:vAlign w:val="center"/>
                </w:tcPr>
                <w:p w14:paraId="61AAC028">
                  <w:pPr>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w:t>
                  </w:r>
                  <w:r>
                    <w:rPr>
                      <w:rFonts w:hint="default" w:ascii="Times New Roman" w:hAnsi="Times New Roman" w:eastAsia="宋体" w:cs="Times New Roman"/>
                      <w:color w:val="auto"/>
                      <w:lang w:val="en-US" w:eastAsia="zh-CN"/>
                    </w:rPr>
                    <w:t>°</w:t>
                  </w:r>
                </w:p>
              </w:tc>
            </w:tr>
            <w:tr w14:paraId="3705F2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85" w:type="pct"/>
                  <w:tcBorders>
                    <w:tl2br w:val="nil"/>
                    <w:tr2bl w:val="nil"/>
                  </w:tcBorders>
                  <w:noWrap w:val="0"/>
                  <w:vAlign w:val="center"/>
                </w:tcPr>
                <w:p w14:paraId="7F586806">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8</w:t>
                  </w:r>
                </w:p>
              </w:tc>
              <w:tc>
                <w:tcPr>
                  <w:tcW w:w="1687" w:type="pct"/>
                  <w:tcBorders>
                    <w:tl2br w:val="nil"/>
                    <w:tr2bl w:val="nil"/>
                  </w:tcBorders>
                  <w:noWrap w:val="0"/>
                  <w:vAlign w:val="center"/>
                </w:tcPr>
                <w:p w14:paraId="4ADDC617">
                  <w:pPr>
                    <w:bidi w:val="0"/>
                    <w:jc w:val="center"/>
                    <w:rPr>
                      <w:rFonts w:hint="default" w:ascii="Times New Roman" w:hAnsi="Times New Roman" w:cs="Times New Roman"/>
                      <w:color w:val="auto"/>
                    </w:rPr>
                  </w:pPr>
                  <w:r>
                    <w:rPr>
                      <w:rFonts w:hint="default" w:ascii="Times New Roman" w:hAnsi="Times New Roman" w:cs="Times New Roman"/>
                      <w:color w:val="auto"/>
                    </w:rPr>
                    <w:t>井底总水平位移</w:t>
                  </w:r>
                  <w:r>
                    <w:rPr>
                      <w:rFonts w:hint="eastAsia" w:cs="Times New Roman"/>
                      <w:color w:val="auto"/>
                      <w:lang w:eastAsia="zh-CN"/>
                    </w:rPr>
                    <w:t>（</w:t>
                  </w:r>
                  <w:r>
                    <w:rPr>
                      <w:rFonts w:hint="default" w:ascii="Times New Roman" w:hAnsi="Times New Roman" w:cs="Times New Roman"/>
                      <w:color w:val="auto"/>
                      <w:lang w:val="en-US" w:eastAsia="en-US"/>
                    </w:rPr>
                    <w:t>m</w:t>
                  </w:r>
                  <w:r>
                    <w:rPr>
                      <w:rFonts w:hint="eastAsia" w:cs="Times New Roman"/>
                      <w:color w:val="auto"/>
                      <w:lang w:val="en-US" w:eastAsia="zh-CN"/>
                    </w:rPr>
                    <w:t>）</w:t>
                  </w:r>
                </w:p>
              </w:tc>
              <w:tc>
                <w:tcPr>
                  <w:tcW w:w="2427" w:type="pct"/>
                  <w:tcBorders>
                    <w:tl2br w:val="nil"/>
                    <w:tr2bl w:val="nil"/>
                  </w:tcBorders>
                  <w:noWrap w:val="0"/>
                  <w:vAlign w:val="center"/>
                </w:tcPr>
                <w:p w14:paraId="70D2578F">
                  <w:pPr>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310m</w:t>
                  </w:r>
                </w:p>
              </w:tc>
            </w:tr>
            <w:tr w14:paraId="628768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85" w:type="pct"/>
                  <w:tcBorders>
                    <w:tl2br w:val="nil"/>
                    <w:tr2bl w:val="nil"/>
                  </w:tcBorders>
                  <w:noWrap w:val="0"/>
                  <w:vAlign w:val="center"/>
                </w:tcPr>
                <w:p w14:paraId="0F8EE46B">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w:t>
                  </w:r>
                </w:p>
              </w:tc>
              <w:tc>
                <w:tcPr>
                  <w:tcW w:w="1687" w:type="pct"/>
                  <w:tcBorders>
                    <w:tl2br w:val="nil"/>
                    <w:tr2bl w:val="nil"/>
                  </w:tcBorders>
                  <w:noWrap w:val="0"/>
                  <w:vAlign w:val="center"/>
                </w:tcPr>
                <w:p w14:paraId="104A9450">
                  <w:pPr>
                    <w:bidi w:val="0"/>
                    <w:jc w:val="center"/>
                    <w:rPr>
                      <w:rFonts w:hint="default" w:ascii="Times New Roman" w:hAnsi="Times New Roman" w:cs="Times New Roman"/>
                      <w:color w:val="auto"/>
                    </w:rPr>
                  </w:pPr>
                  <w:r>
                    <w:rPr>
                      <w:rFonts w:hint="default" w:ascii="Times New Roman" w:hAnsi="Times New Roman" w:cs="Times New Roman"/>
                      <w:color w:val="auto"/>
                    </w:rPr>
                    <w:t>井口出水量</w:t>
                  </w:r>
                  <w:r>
                    <w:rPr>
                      <w:rFonts w:hint="eastAsia" w:cs="Times New Roman"/>
                      <w:color w:val="auto"/>
                      <w:lang w:eastAsia="zh-CN"/>
                    </w:rPr>
                    <w:t>（</w:t>
                  </w:r>
                  <w:r>
                    <w:rPr>
                      <w:rFonts w:hint="default" w:ascii="Times New Roman" w:hAnsi="Times New Roman" w:cs="Times New Roman"/>
                      <w:color w:val="auto"/>
                      <w:lang w:val="en-US" w:eastAsia="en-US"/>
                    </w:rPr>
                    <w:t>m</w:t>
                  </w:r>
                  <w:r>
                    <w:rPr>
                      <w:rFonts w:hint="default" w:ascii="Times New Roman" w:hAnsi="Times New Roman" w:cs="Times New Roman"/>
                      <w:color w:val="auto"/>
                      <w:vertAlign w:val="superscript"/>
                      <w:lang w:val="en-US" w:eastAsia="en-US"/>
                    </w:rPr>
                    <w:t>3</w:t>
                  </w:r>
                  <w:r>
                    <w:rPr>
                      <w:rFonts w:hint="default" w:ascii="Times New Roman" w:hAnsi="Times New Roman" w:cs="Times New Roman"/>
                      <w:color w:val="auto"/>
                      <w:lang w:val="en-US" w:eastAsia="en-US"/>
                    </w:rPr>
                    <w:t>/h</w:t>
                  </w:r>
                  <w:r>
                    <w:rPr>
                      <w:rFonts w:hint="eastAsia" w:cs="Times New Roman"/>
                      <w:color w:val="auto"/>
                      <w:lang w:val="en-US" w:eastAsia="zh-CN"/>
                    </w:rPr>
                    <w:t>）</w:t>
                  </w:r>
                </w:p>
              </w:tc>
              <w:tc>
                <w:tcPr>
                  <w:tcW w:w="2427" w:type="pct"/>
                  <w:tcBorders>
                    <w:tl2br w:val="nil"/>
                    <w:tr2bl w:val="nil"/>
                  </w:tcBorders>
                  <w:noWrap w:val="0"/>
                  <w:vAlign w:val="center"/>
                </w:tcPr>
                <w:p w14:paraId="27D28C69">
                  <w:pPr>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50m³/h</w:t>
                  </w:r>
                </w:p>
              </w:tc>
            </w:tr>
            <w:tr w14:paraId="674F43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85" w:type="pct"/>
                  <w:tcBorders>
                    <w:tl2br w:val="nil"/>
                    <w:tr2bl w:val="nil"/>
                  </w:tcBorders>
                  <w:noWrap w:val="0"/>
                  <w:vAlign w:val="center"/>
                </w:tcPr>
                <w:p w14:paraId="741838E9">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10</w:t>
                  </w:r>
                </w:p>
              </w:tc>
              <w:tc>
                <w:tcPr>
                  <w:tcW w:w="1687" w:type="pct"/>
                  <w:tcBorders>
                    <w:tl2br w:val="nil"/>
                    <w:tr2bl w:val="nil"/>
                  </w:tcBorders>
                  <w:noWrap w:val="0"/>
                  <w:vAlign w:val="center"/>
                </w:tcPr>
                <w:p w14:paraId="4CB82F92">
                  <w:pPr>
                    <w:bidi w:val="0"/>
                    <w:jc w:val="center"/>
                    <w:rPr>
                      <w:rFonts w:hint="eastAsia" w:ascii="Times New Roman" w:hAnsi="Times New Roman" w:eastAsia="宋体" w:cs="Times New Roman"/>
                      <w:color w:val="auto"/>
                      <w:lang w:val="en-US" w:eastAsia="zh-CN"/>
                    </w:rPr>
                  </w:pPr>
                  <w:r>
                    <w:rPr>
                      <w:rFonts w:hint="default" w:ascii="Times New Roman" w:hAnsi="Times New Roman" w:cs="Times New Roman"/>
                      <w:color w:val="auto"/>
                    </w:rPr>
                    <w:t>井口水温</w:t>
                  </w:r>
                  <w:r>
                    <w:rPr>
                      <w:rFonts w:hint="eastAsia" w:ascii="Times New Roman" w:hAnsi="Times New Roman" w:cs="Times New Roman"/>
                      <w:color w:val="auto"/>
                      <w:lang w:eastAsia="zh-CN"/>
                    </w:rPr>
                    <w:t>（</w:t>
                  </w:r>
                  <w:r>
                    <w:rPr>
                      <w:rFonts w:hint="default" w:ascii="Times New Roman" w:hAnsi="Times New Roman" w:cs="Times New Roman"/>
                      <w:color w:val="auto"/>
                      <w:lang w:val="en-US" w:eastAsia="en-US"/>
                    </w:rPr>
                    <w:t>°C</w:t>
                  </w:r>
                  <w:r>
                    <w:rPr>
                      <w:rFonts w:hint="eastAsia" w:ascii="Times New Roman" w:hAnsi="Times New Roman" w:cs="Times New Roman"/>
                      <w:color w:val="auto"/>
                      <w:lang w:val="en-US" w:eastAsia="zh-CN"/>
                    </w:rPr>
                    <w:t>）</w:t>
                  </w:r>
                </w:p>
              </w:tc>
              <w:tc>
                <w:tcPr>
                  <w:tcW w:w="2427" w:type="pct"/>
                  <w:tcBorders>
                    <w:tl2br w:val="nil"/>
                    <w:tr2bl w:val="nil"/>
                  </w:tcBorders>
                  <w:noWrap w:val="0"/>
                  <w:vAlign w:val="center"/>
                </w:tcPr>
                <w:p w14:paraId="6AED4244">
                  <w:pPr>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70</w:t>
                  </w:r>
                  <w:r>
                    <w:rPr>
                      <w:rFonts w:hint="default" w:ascii="Times New Roman" w:hAnsi="Times New Roman" w:eastAsia="宋体" w:cs="Times New Roman"/>
                      <w:color w:val="auto"/>
                      <w:lang w:val="en-US" w:eastAsia="zh-CN"/>
                    </w:rPr>
                    <w:t>℃</w:t>
                  </w:r>
                </w:p>
              </w:tc>
            </w:tr>
            <w:tr w14:paraId="0797E6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85" w:type="pct"/>
                  <w:tcBorders>
                    <w:tl2br w:val="nil"/>
                    <w:tr2bl w:val="nil"/>
                  </w:tcBorders>
                  <w:noWrap w:val="0"/>
                  <w:vAlign w:val="center"/>
                </w:tcPr>
                <w:p w14:paraId="724278F3">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11</w:t>
                  </w:r>
                </w:p>
              </w:tc>
              <w:tc>
                <w:tcPr>
                  <w:tcW w:w="1687" w:type="pct"/>
                  <w:tcBorders>
                    <w:tl2br w:val="nil"/>
                    <w:tr2bl w:val="nil"/>
                  </w:tcBorders>
                  <w:noWrap w:val="0"/>
                  <w:vAlign w:val="center"/>
                </w:tcPr>
                <w:p w14:paraId="0DE8BEFC">
                  <w:pPr>
                    <w:bidi w:val="0"/>
                    <w:jc w:val="center"/>
                    <w:rPr>
                      <w:rFonts w:hint="default" w:ascii="Times New Roman" w:hAnsi="Times New Roman" w:cs="Times New Roman"/>
                      <w:color w:val="auto"/>
                    </w:rPr>
                  </w:pPr>
                  <w:r>
                    <w:rPr>
                      <w:rFonts w:hint="default" w:ascii="Times New Roman" w:hAnsi="Times New Roman" w:cs="Times New Roman"/>
                      <w:color w:val="auto"/>
                    </w:rPr>
                    <w:t>含砂量</w:t>
                  </w:r>
                </w:p>
              </w:tc>
              <w:tc>
                <w:tcPr>
                  <w:tcW w:w="2427" w:type="pct"/>
                  <w:tcBorders>
                    <w:tl2br w:val="nil"/>
                    <w:tr2bl w:val="nil"/>
                  </w:tcBorders>
                  <w:noWrap w:val="0"/>
                  <w:vAlign w:val="center"/>
                </w:tcPr>
                <w:p w14:paraId="0A029036">
                  <w:pPr>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0.001</w:t>
                  </w:r>
                  <w:r>
                    <w:rPr>
                      <w:rFonts w:hint="default" w:ascii="Times New Roman" w:hAnsi="Times New Roman" w:eastAsia="宋体" w:cs="Times New Roman"/>
                      <w:color w:val="auto"/>
                      <w:lang w:val="en-US" w:eastAsia="zh-CN"/>
                    </w:rPr>
                    <w:t>%</w:t>
                  </w:r>
                </w:p>
              </w:tc>
            </w:tr>
            <w:tr w14:paraId="5D36E3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85" w:type="pct"/>
                  <w:tcBorders>
                    <w:tl2br w:val="nil"/>
                    <w:tr2bl w:val="nil"/>
                  </w:tcBorders>
                  <w:noWrap w:val="0"/>
                  <w:vAlign w:val="center"/>
                </w:tcPr>
                <w:p w14:paraId="0FE51889">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12</w:t>
                  </w:r>
                </w:p>
              </w:tc>
              <w:tc>
                <w:tcPr>
                  <w:tcW w:w="1687" w:type="pct"/>
                  <w:tcBorders>
                    <w:tl2br w:val="nil"/>
                    <w:tr2bl w:val="nil"/>
                  </w:tcBorders>
                  <w:noWrap w:val="0"/>
                  <w:vAlign w:val="center"/>
                </w:tcPr>
                <w:p w14:paraId="4CD48165">
                  <w:pPr>
                    <w:bidi w:val="0"/>
                    <w:jc w:val="center"/>
                    <w:rPr>
                      <w:rFonts w:hint="default" w:ascii="Times New Roman" w:hAnsi="Times New Roman" w:cs="Times New Roman"/>
                      <w:color w:val="auto"/>
                    </w:rPr>
                  </w:pPr>
                  <w:r>
                    <w:rPr>
                      <w:rFonts w:hint="default" w:ascii="Times New Roman" w:hAnsi="Times New Roman" w:cs="Times New Roman"/>
                      <w:color w:val="auto"/>
                    </w:rPr>
                    <w:t>完钻地层</w:t>
                  </w:r>
                </w:p>
              </w:tc>
              <w:tc>
                <w:tcPr>
                  <w:tcW w:w="2427" w:type="pct"/>
                  <w:tcBorders>
                    <w:tl2br w:val="nil"/>
                    <w:tr2bl w:val="nil"/>
                  </w:tcBorders>
                  <w:noWrap w:val="0"/>
                  <w:vAlign w:val="center"/>
                </w:tcPr>
                <w:p w14:paraId="65430982">
                  <w:pPr>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蓝田灞河组</w:t>
                  </w:r>
                </w:p>
              </w:tc>
            </w:tr>
            <w:tr w14:paraId="3F7506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5" w:type="pct"/>
                  <w:tcBorders>
                    <w:tl2br w:val="nil"/>
                    <w:tr2bl w:val="nil"/>
                  </w:tcBorders>
                  <w:noWrap w:val="0"/>
                  <w:vAlign w:val="center"/>
                </w:tcPr>
                <w:p w14:paraId="70BBF013">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13</w:t>
                  </w:r>
                </w:p>
              </w:tc>
              <w:tc>
                <w:tcPr>
                  <w:tcW w:w="1687" w:type="pct"/>
                  <w:tcBorders>
                    <w:tl2br w:val="nil"/>
                    <w:tr2bl w:val="nil"/>
                  </w:tcBorders>
                  <w:noWrap w:val="0"/>
                  <w:vAlign w:val="center"/>
                </w:tcPr>
                <w:p w14:paraId="46C498A8">
                  <w:pPr>
                    <w:bidi w:val="0"/>
                    <w:jc w:val="center"/>
                    <w:rPr>
                      <w:rFonts w:hint="default" w:ascii="Times New Roman" w:hAnsi="Times New Roman" w:cs="Times New Roman"/>
                      <w:color w:val="auto"/>
                    </w:rPr>
                  </w:pPr>
                  <w:r>
                    <w:rPr>
                      <w:rFonts w:hint="default" w:ascii="Times New Roman" w:hAnsi="Times New Roman" w:cs="Times New Roman"/>
                      <w:color w:val="auto"/>
                    </w:rPr>
                    <w:t>水化学类型</w:t>
                  </w:r>
                </w:p>
              </w:tc>
              <w:tc>
                <w:tcPr>
                  <w:tcW w:w="2427" w:type="pct"/>
                  <w:tcBorders>
                    <w:tl2br w:val="nil"/>
                    <w:tr2bl w:val="nil"/>
                  </w:tcBorders>
                  <w:noWrap w:val="0"/>
                  <w:vAlign w:val="center"/>
                </w:tcPr>
                <w:p w14:paraId="23E590CA">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重碳酸</w:t>
                  </w:r>
                  <w:r>
                    <w:rPr>
                      <w:rFonts w:hint="eastAsia" w:cs="Times New Roman"/>
                      <w:color w:val="auto"/>
                      <w:lang w:val="en-US" w:eastAsia="zh-CN"/>
                    </w:rPr>
                    <w:t>硫酸钠</w:t>
                  </w:r>
                  <w:r>
                    <w:rPr>
                      <w:rFonts w:hint="default" w:ascii="Times New Roman" w:hAnsi="Times New Roman" w:cs="Times New Roman"/>
                      <w:color w:val="auto"/>
                    </w:rPr>
                    <w:t>型水</w:t>
                  </w:r>
                  <w:r>
                    <w:rPr>
                      <w:rFonts w:hint="eastAsia" w:ascii="Times New Roman" w:hAnsi="Times New Roman" w:cs="Times New Roman"/>
                      <w:color w:val="auto"/>
                      <w:lang w:val="en-US" w:eastAsia="zh-CN"/>
                    </w:rPr>
                    <w:t>（HCO</w:t>
                  </w:r>
                  <w:r>
                    <w:rPr>
                      <w:rFonts w:hint="eastAsia" w:ascii="Times New Roman" w:hAnsi="Times New Roman" w:cs="Times New Roman"/>
                      <w:color w:val="auto"/>
                      <w:vertAlign w:val="subscript"/>
                      <w:lang w:val="en-US" w:eastAsia="zh-CN"/>
                    </w:rPr>
                    <w:t>3</w:t>
                  </w:r>
                  <w:r>
                    <w:rPr>
                      <w:rFonts w:hint="eastAsia" w:ascii="Times New Roman" w:hAnsi="Times New Roman" w:cs="Times New Roman"/>
                      <w:color w:val="auto"/>
                      <w:lang w:val="en-US" w:eastAsia="zh-CN"/>
                    </w:rPr>
                    <w:t>·SO</w:t>
                  </w:r>
                  <w:r>
                    <w:rPr>
                      <w:rFonts w:hint="eastAsia" w:ascii="Times New Roman" w:hAnsi="Times New Roman" w:cs="Times New Roman"/>
                      <w:color w:val="auto"/>
                      <w:vertAlign w:val="subscript"/>
                      <w:lang w:val="en-US" w:eastAsia="zh-CN"/>
                    </w:rPr>
                    <w:t>4</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en-US"/>
                    </w:rPr>
                    <w:t>Na</w:t>
                  </w:r>
                  <w:r>
                    <w:rPr>
                      <w:rFonts w:hint="default" w:ascii="Times New Roman" w:hAnsi="Times New Roman" w:cs="Times New Roman"/>
                      <w:color w:val="auto"/>
                      <w:vertAlign w:val="superscript"/>
                      <w:lang w:val="en-US" w:eastAsia="en-US"/>
                    </w:rPr>
                    <w:t>+</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w:t>
                  </w:r>
                  <w:r>
                    <w:rPr>
                      <w:rFonts w:hint="default" w:ascii="Times New Roman" w:hAnsi="Times New Roman" w:cs="Times New Roman"/>
                      <w:color w:val="auto"/>
                    </w:rPr>
                    <w:t>矿化度</w:t>
                  </w:r>
                  <w:r>
                    <w:rPr>
                      <w:rFonts w:hint="eastAsia" w:ascii="Times New Roman" w:hAnsi="Times New Roman" w:cs="Times New Roman"/>
                      <w:color w:val="auto"/>
                      <w:lang w:val="en-US" w:eastAsia="zh-CN"/>
                    </w:rPr>
                    <w:t>2803</w:t>
                  </w:r>
                  <w:r>
                    <w:rPr>
                      <w:rFonts w:hint="default" w:ascii="Times New Roman" w:hAnsi="Times New Roman" w:cs="Times New Roman"/>
                      <w:color w:val="auto"/>
                      <w:lang w:val="en-US" w:eastAsia="en-US"/>
                    </w:rPr>
                    <w:t>mg/L</w:t>
                  </w:r>
                </w:p>
              </w:tc>
            </w:tr>
          </w:tbl>
          <w:p w14:paraId="15363E65">
            <w:pPr>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表2-3  回灌井</w:t>
            </w:r>
            <w:r>
              <w:rPr>
                <w:rFonts w:hint="eastAsia" w:ascii="Times New Roman" w:hAnsi="Times New Roman" w:cs="Times New Roman"/>
                <w:b/>
                <w:bCs/>
                <w:color w:val="auto"/>
                <w:sz w:val="24"/>
                <w:szCs w:val="24"/>
                <w:lang w:val="en-US" w:eastAsia="zh-CN"/>
              </w:rPr>
              <w:t>技术参数一览表</w:t>
            </w:r>
          </w:p>
          <w:tbl>
            <w:tblPr>
              <w:tblStyle w:val="1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44"/>
              <w:gridCol w:w="1964"/>
              <w:gridCol w:w="4753"/>
            </w:tblGrid>
            <w:tr w14:paraId="2ADCE9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4" w:type="pct"/>
                  <w:tcBorders>
                    <w:tl2br w:val="nil"/>
                    <w:tr2bl w:val="nil"/>
                  </w:tcBorders>
                  <w:noWrap w:val="0"/>
                  <w:vAlign w:val="center"/>
                </w:tcPr>
                <w:p w14:paraId="557DBC9A">
                  <w:pPr>
                    <w:ind w:right="50" w:rightChars="24"/>
                    <w:jc w:val="center"/>
                    <w:rPr>
                      <w:rFonts w:hint="default" w:ascii="Times New Roman" w:hAnsi="Times New Roman" w:cs="Times New Roman"/>
                      <w:b/>
                      <w:bCs/>
                      <w:color w:val="auto"/>
                    </w:rPr>
                  </w:pPr>
                  <w:r>
                    <w:rPr>
                      <w:rFonts w:hint="default" w:ascii="Times New Roman" w:hAnsi="Times New Roman" w:cs="Times New Roman"/>
                      <w:b/>
                      <w:bCs/>
                      <w:color w:val="auto"/>
                    </w:rPr>
                    <w:t>编号</w:t>
                  </w:r>
                </w:p>
              </w:tc>
              <w:tc>
                <w:tcPr>
                  <w:tcW w:w="1203" w:type="pct"/>
                  <w:tcBorders>
                    <w:tl2br w:val="nil"/>
                    <w:tr2bl w:val="nil"/>
                  </w:tcBorders>
                  <w:noWrap w:val="0"/>
                  <w:vAlign w:val="center"/>
                </w:tcPr>
                <w:p w14:paraId="030EAE4E">
                  <w:pPr>
                    <w:adjustRightInd w:val="0"/>
                    <w:jc w:val="center"/>
                    <w:textAlignment w:val="baseline"/>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技术项目</w:t>
                  </w:r>
                </w:p>
              </w:tc>
              <w:tc>
                <w:tcPr>
                  <w:tcW w:w="2912" w:type="pct"/>
                  <w:tcBorders>
                    <w:tl2br w:val="nil"/>
                    <w:tr2bl w:val="nil"/>
                  </w:tcBorders>
                  <w:noWrap w:val="0"/>
                  <w:vAlign w:val="center"/>
                </w:tcPr>
                <w:p w14:paraId="24A11A1B">
                  <w:pPr>
                    <w:adjustRightInd w:val="0"/>
                    <w:jc w:val="center"/>
                    <w:textAlignment w:val="baseline"/>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成井指标</w:t>
                  </w:r>
                </w:p>
              </w:tc>
            </w:tr>
            <w:tr w14:paraId="40A2F8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84" w:type="pct"/>
                  <w:tcBorders>
                    <w:tl2br w:val="nil"/>
                    <w:tr2bl w:val="nil"/>
                  </w:tcBorders>
                  <w:noWrap w:val="0"/>
                  <w:vAlign w:val="center"/>
                </w:tcPr>
                <w:p w14:paraId="60241663">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1203" w:type="pct"/>
                  <w:tcBorders>
                    <w:tl2br w:val="nil"/>
                    <w:tr2bl w:val="nil"/>
                  </w:tcBorders>
                  <w:noWrap w:val="0"/>
                  <w:vAlign w:val="center"/>
                </w:tcPr>
                <w:p w14:paraId="19BD55E3">
                  <w:pPr>
                    <w:bidi w:val="0"/>
                    <w:jc w:val="center"/>
                    <w:rPr>
                      <w:rFonts w:hint="default" w:ascii="Times New Roman" w:hAnsi="Times New Roman" w:cs="Times New Roman"/>
                      <w:color w:val="auto"/>
                      <w:lang w:eastAsia="zh-CN"/>
                    </w:rPr>
                  </w:pPr>
                  <w:r>
                    <w:rPr>
                      <w:rFonts w:hint="default" w:ascii="Times New Roman" w:hAnsi="Times New Roman" w:cs="Times New Roman"/>
                      <w:color w:val="auto"/>
                    </w:rPr>
                    <w:t>井深</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m</w:t>
                  </w:r>
                  <w:r>
                    <w:rPr>
                      <w:rFonts w:hint="default" w:ascii="Times New Roman" w:hAnsi="Times New Roman" w:cs="Times New Roman"/>
                      <w:color w:val="auto"/>
                      <w:lang w:eastAsia="zh-CN"/>
                    </w:rPr>
                    <w:t>）</w:t>
                  </w:r>
                </w:p>
              </w:tc>
              <w:tc>
                <w:tcPr>
                  <w:tcW w:w="2912" w:type="pct"/>
                  <w:tcBorders>
                    <w:tl2br w:val="nil"/>
                    <w:tr2bl w:val="nil"/>
                  </w:tcBorders>
                  <w:noWrap w:val="0"/>
                  <w:vAlign w:val="center"/>
                </w:tcPr>
                <w:p w14:paraId="6523B9B8">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2750m</w:t>
                  </w:r>
                </w:p>
              </w:tc>
            </w:tr>
            <w:tr w14:paraId="22A71E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84" w:type="pct"/>
                  <w:tcBorders>
                    <w:tl2br w:val="nil"/>
                    <w:tr2bl w:val="nil"/>
                  </w:tcBorders>
                  <w:noWrap w:val="0"/>
                  <w:vAlign w:val="center"/>
                </w:tcPr>
                <w:p w14:paraId="6039F8F2">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p>
              </w:tc>
              <w:tc>
                <w:tcPr>
                  <w:tcW w:w="1203" w:type="pct"/>
                  <w:tcBorders>
                    <w:tl2br w:val="nil"/>
                    <w:tr2bl w:val="nil"/>
                  </w:tcBorders>
                  <w:noWrap w:val="0"/>
                  <w:vAlign w:val="center"/>
                </w:tcPr>
                <w:p w14:paraId="59836E7D">
                  <w:pPr>
                    <w:bidi w:val="0"/>
                    <w:jc w:val="center"/>
                    <w:rPr>
                      <w:rFonts w:hint="default" w:ascii="Times New Roman" w:hAnsi="Times New Roman" w:cs="Times New Roman"/>
                      <w:color w:val="auto"/>
                    </w:rPr>
                  </w:pPr>
                  <w:r>
                    <w:rPr>
                      <w:rFonts w:hint="default" w:ascii="Times New Roman" w:hAnsi="Times New Roman" w:cs="Times New Roman"/>
                      <w:color w:val="auto"/>
                    </w:rPr>
                    <w:t>回灌层段</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m</w:t>
                  </w:r>
                  <w:r>
                    <w:rPr>
                      <w:rFonts w:hint="default" w:ascii="Times New Roman" w:hAnsi="Times New Roman" w:cs="Times New Roman"/>
                      <w:color w:val="auto"/>
                      <w:lang w:eastAsia="zh-CN"/>
                    </w:rPr>
                    <w:t>）</w:t>
                  </w:r>
                </w:p>
              </w:tc>
              <w:tc>
                <w:tcPr>
                  <w:tcW w:w="2912" w:type="pct"/>
                  <w:tcBorders>
                    <w:tl2br w:val="nil"/>
                    <w:tr2bl w:val="nil"/>
                  </w:tcBorders>
                  <w:noWrap w:val="0"/>
                  <w:vAlign w:val="center"/>
                </w:tcPr>
                <w:p w14:paraId="4E1B29FC">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1900-2750m</w:t>
                  </w:r>
                </w:p>
              </w:tc>
            </w:tr>
            <w:tr w14:paraId="183B30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84" w:type="pct"/>
                  <w:tcBorders>
                    <w:tl2br w:val="nil"/>
                    <w:tr2bl w:val="nil"/>
                  </w:tcBorders>
                  <w:noWrap w:val="0"/>
                  <w:vAlign w:val="center"/>
                </w:tcPr>
                <w:p w14:paraId="67022EB6">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w:t>
                  </w:r>
                </w:p>
              </w:tc>
              <w:tc>
                <w:tcPr>
                  <w:tcW w:w="1203" w:type="pct"/>
                  <w:tcBorders>
                    <w:tl2br w:val="nil"/>
                    <w:tr2bl w:val="nil"/>
                  </w:tcBorders>
                  <w:noWrap w:val="0"/>
                  <w:vAlign w:val="center"/>
                </w:tcPr>
                <w:p w14:paraId="40453F6F">
                  <w:pPr>
                    <w:bidi w:val="0"/>
                    <w:jc w:val="center"/>
                    <w:rPr>
                      <w:rFonts w:hint="default" w:ascii="Times New Roman" w:hAnsi="Times New Roman" w:cs="Times New Roman"/>
                      <w:color w:val="auto"/>
                    </w:rPr>
                  </w:pPr>
                  <w:r>
                    <w:rPr>
                      <w:rFonts w:hint="default" w:ascii="Times New Roman" w:hAnsi="Times New Roman" w:cs="Times New Roman"/>
                      <w:color w:val="auto"/>
                    </w:rPr>
                    <w:t>回灌站</w:t>
                  </w:r>
                </w:p>
              </w:tc>
              <w:tc>
                <w:tcPr>
                  <w:tcW w:w="2912" w:type="pct"/>
                  <w:tcBorders>
                    <w:tl2br w:val="nil"/>
                    <w:tr2bl w:val="nil"/>
                  </w:tcBorders>
                  <w:noWrap w:val="0"/>
                  <w:vAlign w:val="center"/>
                </w:tcPr>
                <w:p w14:paraId="7E207DE3">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供热机房内</w:t>
                  </w:r>
                </w:p>
              </w:tc>
            </w:tr>
            <w:tr w14:paraId="7E28A4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84" w:type="pct"/>
                  <w:tcBorders>
                    <w:tl2br w:val="nil"/>
                    <w:tr2bl w:val="nil"/>
                  </w:tcBorders>
                  <w:noWrap w:val="0"/>
                  <w:vAlign w:val="center"/>
                </w:tcPr>
                <w:p w14:paraId="0D85F206">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w:t>
                  </w:r>
                </w:p>
              </w:tc>
              <w:tc>
                <w:tcPr>
                  <w:tcW w:w="1203" w:type="pct"/>
                  <w:tcBorders>
                    <w:tl2br w:val="nil"/>
                    <w:tr2bl w:val="nil"/>
                  </w:tcBorders>
                  <w:noWrap w:val="0"/>
                  <w:vAlign w:val="center"/>
                </w:tcPr>
                <w:p w14:paraId="378E225A">
                  <w:pPr>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rPr>
                    <w:t>管线长度</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m</w:t>
                  </w:r>
                  <w:r>
                    <w:rPr>
                      <w:rFonts w:hint="default" w:ascii="Times New Roman" w:hAnsi="Times New Roman" w:cs="Times New Roman"/>
                      <w:color w:val="auto"/>
                      <w:lang w:eastAsia="zh-CN"/>
                    </w:rPr>
                    <w:t>）</w:t>
                  </w:r>
                </w:p>
              </w:tc>
              <w:tc>
                <w:tcPr>
                  <w:tcW w:w="2912" w:type="pct"/>
                  <w:tcBorders>
                    <w:tl2br w:val="nil"/>
                    <w:tr2bl w:val="nil"/>
                  </w:tcBorders>
                  <w:noWrap w:val="0"/>
                  <w:vAlign w:val="center"/>
                </w:tcPr>
                <w:p w14:paraId="2C5DEC12">
                  <w:pPr>
                    <w:bidi w:val="0"/>
                    <w:jc w:val="center"/>
                    <w:rPr>
                      <w:rFonts w:hint="default" w:ascii="Times New Roman" w:hAnsi="Times New Roman" w:cs="Times New Roman"/>
                      <w:color w:val="auto"/>
                      <w:lang w:val="en-US" w:eastAsia="zh-CN"/>
                    </w:rPr>
                  </w:pPr>
                  <w:r>
                    <w:rPr>
                      <w:rFonts w:hint="eastAsia" w:cs="Times New Roman"/>
                      <w:color w:val="auto"/>
                      <w:lang w:val="en-US" w:eastAsia="zh-CN"/>
                    </w:rPr>
                    <w:t>295</w:t>
                  </w:r>
                  <w:r>
                    <w:rPr>
                      <w:rFonts w:hint="default" w:ascii="Times New Roman" w:hAnsi="Times New Roman" w:cs="Times New Roman"/>
                      <w:color w:val="auto"/>
                      <w:lang w:val="en-US" w:eastAsia="zh-CN"/>
                    </w:rPr>
                    <w:t>m</w:t>
                  </w:r>
                </w:p>
              </w:tc>
            </w:tr>
            <w:tr w14:paraId="0654D8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84" w:type="pct"/>
                  <w:tcBorders>
                    <w:tl2br w:val="nil"/>
                    <w:tr2bl w:val="nil"/>
                  </w:tcBorders>
                  <w:noWrap w:val="0"/>
                  <w:vAlign w:val="center"/>
                </w:tcPr>
                <w:p w14:paraId="6C33AB8F">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w:t>
                  </w:r>
                </w:p>
              </w:tc>
              <w:tc>
                <w:tcPr>
                  <w:tcW w:w="1203" w:type="pct"/>
                  <w:tcBorders>
                    <w:tl2br w:val="nil"/>
                    <w:tr2bl w:val="nil"/>
                  </w:tcBorders>
                  <w:noWrap w:val="0"/>
                  <w:vAlign w:val="center"/>
                </w:tcPr>
                <w:p w14:paraId="018B1AE3">
                  <w:pPr>
                    <w:bidi w:val="0"/>
                    <w:jc w:val="center"/>
                    <w:rPr>
                      <w:rFonts w:hint="default" w:ascii="Times New Roman" w:hAnsi="Times New Roman" w:cs="Times New Roman"/>
                      <w:color w:val="auto"/>
                      <w:lang w:eastAsia="zh-CN"/>
                    </w:rPr>
                  </w:pPr>
                  <w:r>
                    <w:rPr>
                      <w:rFonts w:hint="default" w:ascii="Times New Roman" w:hAnsi="Times New Roman" w:cs="Times New Roman"/>
                      <w:color w:val="auto"/>
                    </w:rPr>
                    <w:t>总回灌量</w:t>
                  </w:r>
                  <w:r>
                    <w:rPr>
                      <w:rFonts w:hint="default" w:ascii="Times New Roman" w:hAnsi="Times New Roman" w:cs="Times New Roman"/>
                      <w:color w:val="auto"/>
                      <w:lang w:eastAsia="zh-CN"/>
                    </w:rPr>
                    <w:t>（</w:t>
                  </w:r>
                  <w:r>
                    <w:rPr>
                      <w:rFonts w:hint="default" w:ascii="Times New Roman" w:hAnsi="Times New Roman" w:cs="Times New Roman"/>
                      <w:color w:val="auto"/>
                    </w:rPr>
                    <w:t>m³/</w:t>
                  </w:r>
                  <w:r>
                    <w:rPr>
                      <w:rFonts w:hint="default" w:ascii="Times New Roman" w:hAnsi="Times New Roman" w:cs="Times New Roman"/>
                      <w:color w:val="auto"/>
                      <w:lang w:val="en-US" w:eastAsia="zh-CN"/>
                    </w:rPr>
                    <w:t>a</w:t>
                  </w:r>
                  <w:r>
                    <w:rPr>
                      <w:rFonts w:hint="default" w:ascii="Times New Roman" w:hAnsi="Times New Roman" w:cs="Times New Roman"/>
                      <w:color w:val="auto"/>
                      <w:lang w:eastAsia="zh-CN"/>
                    </w:rPr>
                    <w:t>）</w:t>
                  </w:r>
                </w:p>
              </w:tc>
              <w:tc>
                <w:tcPr>
                  <w:tcW w:w="4753" w:type="dxa"/>
                  <w:tcBorders>
                    <w:tl2br w:val="nil"/>
                    <w:tr2bl w:val="nil"/>
                  </w:tcBorders>
                  <w:noWrap w:val="0"/>
                  <w:vAlign w:val="center"/>
                </w:tcPr>
                <w:p w14:paraId="18E16A3B">
                  <w:pPr>
                    <w:bidi w:val="0"/>
                    <w:jc w:val="center"/>
                    <w:rPr>
                      <w:rFonts w:hint="default" w:ascii="Times New Roman" w:hAnsi="Times New Roman" w:cs="Times New Roman"/>
                      <w:color w:val="auto"/>
                      <w:lang w:val="en-US" w:eastAsia="zh-CN"/>
                    </w:rPr>
                  </w:pPr>
                  <w:r>
                    <w:rPr>
                      <w:rFonts w:hint="eastAsia" w:cs="Times New Roman"/>
                      <w:color w:val="auto"/>
                      <w:lang w:val="en-US" w:eastAsia="zh-CN"/>
                    </w:rPr>
                    <w:t>14.52万</w:t>
                  </w:r>
                  <w:r>
                    <w:rPr>
                      <w:rFonts w:hint="eastAsia" w:ascii="Times New Roman" w:hAnsi="Times New Roman" w:eastAsia="宋体" w:cs="Times New Roman"/>
                      <w:color w:val="auto"/>
                      <w:lang w:val="en-US" w:eastAsia="zh-CN"/>
                    </w:rPr>
                    <w:t>m³/a</w:t>
                  </w:r>
                </w:p>
              </w:tc>
            </w:tr>
            <w:tr w14:paraId="6D2E04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84" w:type="pct"/>
                  <w:tcBorders>
                    <w:tl2br w:val="nil"/>
                    <w:tr2bl w:val="nil"/>
                  </w:tcBorders>
                  <w:noWrap w:val="0"/>
                  <w:vAlign w:val="center"/>
                </w:tcPr>
                <w:p w14:paraId="0B1CD971">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w:t>
                  </w:r>
                </w:p>
              </w:tc>
              <w:tc>
                <w:tcPr>
                  <w:tcW w:w="1203" w:type="pct"/>
                  <w:tcBorders>
                    <w:tl2br w:val="nil"/>
                    <w:tr2bl w:val="nil"/>
                  </w:tcBorders>
                  <w:noWrap w:val="0"/>
                  <w:vAlign w:val="center"/>
                </w:tcPr>
                <w:p w14:paraId="0D930DFE">
                  <w:pPr>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rPr>
                    <w:t>回灌速率</w:t>
                  </w:r>
                  <w:r>
                    <w:rPr>
                      <w:rFonts w:hint="default" w:ascii="Times New Roman" w:hAnsi="Times New Roman" w:cs="Times New Roman"/>
                      <w:color w:val="auto"/>
                      <w:lang w:eastAsia="zh-CN"/>
                    </w:rPr>
                    <w:t>（</w:t>
                  </w:r>
                  <w:r>
                    <w:rPr>
                      <w:rFonts w:hint="default" w:ascii="Times New Roman" w:hAnsi="Times New Roman" w:cs="Times New Roman"/>
                      <w:color w:val="auto"/>
                    </w:rPr>
                    <w:t>m³/h</w:t>
                  </w:r>
                  <w:r>
                    <w:rPr>
                      <w:rFonts w:hint="default" w:ascii="Times New Roman" w:hAnsi="Times New Roman" w:cs="Times New Roman"/>
                      <w:color w:val="auto"/>
                      <w:lang w:eastAsia="zh-CN"/>
                    </w:rPr>
                    <w:t>）</w:t>
                  </w:r>
                </w:p>
              </w:tc>
              <w:tc>
                <w:tcPr>
                  <w:tcW w:w="4753" w:type="dxa"/>
                  <w:tcBorders>
                    <w:tl2br w:val="nil"/>
                    <w:tr2bl w:val="nil"/>
                  </w:tcBorders>
                  <w:noWrap w:val="0"/>
                  <w:vAlign w:val="center"/>
                </w:tcPr>
                <w:p w14:paraId="101598E4">
                  <w:pPr>
                    <w:bidi w:val="0"/>
                    <w:jc w:val="center"/>
                    <w:rPr>
                      <w:rFonts w:hint="default" w:ascii="Times New Roman" w:hAnsi="Times New Roman" w:cs="Times New Roman"/>
                      <w:color w:val="auto"/>
                      <w:lang w:val="en-US" w:eastAsia="zh-CN"/>
                    </w:rPr>
                  </w:pPr>
                  <w:r>
                    <w:rPr>
                      <w:rFonts w:hint="eastAsia" w:ascii="Times New Roman" w:hAnsi="Times New Roman" w:eastAsia="宋体" w:cs="Times New Roman"/>
                      <w:color w:val="auto"/>
                      <w:lang w:val="en-US" w:eastAsia="zh-CN"/>
                    </w:rPr>
                    <w:t>50m³/h</w:t>
                  </w:r>
                </w:p>
              </w:tc>
            </w:tr>
            <w:tr w14:paraId="7D855A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84" w:type="pct"/>
                  <w:tcBorders>
                    <w:tl2br w:val="nil"/>
                    <w:tr2bl w:val="nil"/>
                  </w:tcBorders>
                  <w:noWrap w:val="0"/>
                  <w:vAlign w:val="center"/>
                </w:tcPr>
                <w:p w14:paraId="61536877">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w:t>
                  </w:r>
                </w:p>
              </w:tc>
              <w:tc>
                <w:tcPr>
                  <w:tcW w:w="1203" w:type="pct"/>
                  <w:tcBorders>
                    <w:tl2br w:val="nil"/>
                    <w:tr2bl w:val="nil"/>
                  </w:tcBorders>
                  <w:noWrap w:val="0"/>
                  <w:vAlign w:val="center"/>
                </w:tcPr>
                <w:p w14:paraId="5621605A">
                  <w:pPr>
                    <w:bidi w:val="0"/>
                    <w:jc w:val="center"/>
                    <w:rPr>
                      <w:rFonts w:hint="default" w:ascii="Times New Roman" w:hAnsi="Times New Roman" w:cs="Times New Roman"/>
                      <w:color w:val="auto"/>
                    </w:rPr>
                  </w:pPr>
                  <w:r>
                    <w:rPr>
                      <w:rFonts w:hint="default" w:ascii="Times New Roman" w:hAnsi="Times New Roman" w:cs="Times New Roman"/>
                      <w:color w:val="auto"/>
                    </w:rPr>
                    <w:t>回灌层段</w:t>
                  </w:r>
                </w:p>
              </w:tc>
              <w:tc>
                <w:tcPr>
                  <w:tcW w:w="2912" w:type="pct"/>
                  <w:tcBorders>
                    <w:tl2br w:val="nil"/>
                    <w:tr2bl w:val="nil"/>
                  </w:tcBorders>
                  <w:noWrap w:val="0"/>
                  <w:vAlign w:val="center"/>
                </w:tcPr>
                <w:p w14:paraId="13448229">
                  <w:pPr>
                    <w:bidi w:val="0"/>
                    <w:jc w:val="center"/>
                    <w:rPr>
                      <w:rFonts w:hint="default" w:ascii="Times New Roman" w:hAnsi="Times New Roman" w:cs="Times New Roman"/>
                      <w:color w:val="auto"/>
                      <w:lang w:val="en-US" w:eastAsia="zh-CN"/>
                    </w:rPr>
                  </w:pPr>
                  <w:r>
                    <w:rPr>
                      <w:rFonts w:hint="eastAsia" w:ascii="Times New Roman" w:hAnsi="Times New Roman" w:eastAsia="宋体" w:cs="Times New Roman"/>
                      <w:color w:val="auto"/>
                      <w:lang w:val="en-US" w:eastAsia="zh-CN"/>
                    </w:rPr>
                    <w:t>蓝田灞河组</w:t>
                  </w:r>
                </w:p>
              </w:tc>
            </w:tr>
          </w:tbl>
          <w:p w14:paraId="1CA54DD7">
            <w:pPr>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表2-</w:t>
            </w:r>
            <w:r>
              <w:rPr>
                <w:rFonts w:hint="eastAsia" w:cs="Times New Roman"/>
                <w:b/>
                <w:bCs/>
                <w:color w:val="auto"/>
                <w:sz w:val="24"/>
                <w:szCs w:val="24"/>
                <w:lang w:val="en-US" w:eastAsia="zh-CN"/>
              </w:rPr>
              <w:t>4</w:t>
            </w:r>
            <w:r>
              <w:rPr>
                <w:rFonts w:hint="default" w:ascii="Times New Roman" w:hAnsi="Times New Roman" w:cs="Times New Roman"/>
                <w:b/>
                <w:bCs/>
                <w:color w:val="auto"/>
                <w:sz w:val="24"/>
                <w:szCs w:val="24"/>
                <w:lang w:val="en-US" w:eastAsia="zh-CN"/>
              </w:rPr>
              <w:t xml:space="preserve">  </w:t>
            </w:r>
            <w:r>
              <w:rPr>
                <w:rFonts w:hint="eastAsia" w:cs="Times New Roman"/>
                <w:b/>
                <w:bCs/>
                <w:color w:val="auto"/>
                <w:sz w:val="24"/>
                <w:szCs w:val="24"/>
                <w:lang w:val="en-US" w:eastAsia="zh-CN"/>
              </w:rPr>
              <w:t>供热</w:t>
            </w:r>
            <w:r>
              <w:rPr>
                <w:rFonts w:hint="eastAsia" w:ascii="Times New Roman" w:hAnsi="Times New Roman" w:cs="Times New Roman"/>
                <w:b/>
                <w:bCs/>
                <w:color w:val="auto"/>
                <w:sz w:val="24"/>
                <w:szCs w:val="24"/>
                <w:lang w:val="en-US" w:eastAsia="zh-CN"/>
              </w:rPr>
              <w:t>参数一览表</w:t>
            </w:r>
          </w:p>
          <w:tbl>
            <w:tblPr>
              <w:tblStyle w:val="1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44"/>
              <w:gridCol w:w="1964"/>
              <w:gridCol w:w="4753"/>
            </w:tblGrid>
            <w:tr w14:paraId="3A7AA0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4" w:type="pct"/>
                  <w:tcBorders>
                    <w:tl2br w:val="nil"/>
                    <w:tr2bl w:val="nil"/>
                  </w:tcBorders>
                  <w:noWrap w:val="0"/>
                  <w:vAlign w:val="center"/>
                </w:tcPr>
                <w:p w14:paraId="2800194C">
                  <w:pPr>
                    <w:ind w:right="50" w:rightChars="24"/>
                    <w:jc w:val="center"/>
                    <w:rPr>
                      <w:rFonts w:hint="default" w:ascii="Times New Roman" w:hAnsi="Times New Roman" w:cs="Times New Roman"/>
                      <w:b/>
                      <w:bCs/>
                      <w:color w:val="auto"/>
                    </w:rPr>
                  </w:pPr>
                  <w:r>
                    <w:rPr>
                      <w:rFonts w:hint="default" w:ascii="Times New Roman" w:hAnsi="Times New Roman" w:cs="Times New Roman"/>
                      <w:b/>
                      <w:bCs/>
                      <w:color w:val="auto"/>
                    </w:rPr>
                    <w:t>编号</w:t>
                  </w:r>
                </w:p>
              </w:tc>
              <w:tc>
                <w:tcPr>
                  <w:tcW w:w="1203" w:type="pct"/>
                  <w:tcBorders>
                    <w:tl2br w:val="nil"/>
                    <w:tr2bl w:val="nil"/>
                  </w:tcBorders>
                  <w:noWrap w:val="0"/>
                  <w:vAlign w:val="center"/>
                </w:tcPr>
                <w:p w14:paraId="361107C4">
                  <w:pPr>
                    <w:adjustRightInd w:val="0"/>
                    <w:jc w:val="center"/>
                    <w:textAlignment w:val="baseline"/>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技术项目</w:t>
                  </w:r>
                </w:p>
              </w:tc>
              <w:tc>
                <w:tcPr>
                  <w:tcW w:w="2912" w:type="pct"/>
                  <w:tcBorders>
                    <w:tl2br w:val="nil"/>
                    <w:tr2bl w:val="nil"/>
                  </w:tcBorders>
                  <w:noWrap w:val="0"/>
                  <w:vAlign w:val="center"/>
                </w:tcPr>
                <w:p w14:paraId="0C4D66D4">
                  <w:pPr>
                    <w:adjustRightInd w:val="0"/>
                    <w:jc w:val="center"/>
                    <w:textAlignment w:val="baseline"/>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成井指标</w:t>
                  </w:r>
                </w:p>
              </w:tc>
            </w:tr>
            <w:tr w14:paraId="1B0C66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4" w:type="pct"/>
                  <w:tcBorders>
                    <w:tl2br w:val="nil"/>
                    <w:tr2bl w:val="nil"/>
                  </w:tcBorders>
                  <w:noWrap w:val="0"/>
                  <w:vAlign w:val="center"/>
                </w:tcPr>
                <w:p w14:paraId="11C8FCB4">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1203" w:type="pct"/>
                  <w:tcBorders>
                    <w:tl2br w:val="nil"/>
                    <w:tr2bl w:val="nil"/>
                  </w:tcBorders>
                  <w:noWrap w:val="0"/>
                  <w:vAlign w:val="center"/>
                </w:tcPr>
                <w:p w14:paraId="21BB69BB">
                  <w:pPr>
                    <w:bidi w:val="0"/>
                    <w:jc w:val="center"/>
                    <w:rPr>
                      <w:rFonts w:hint="default" w:ascii="Times New Roman" w:hAnsi="Times New Roman" w:cs="Times New Roman"/>
                      <w:color w:val="auto"/>
                      <w:lang w:val="en-US" w:eastAsia="zh-CN"/>
                    </w:rPr>
                  </w:pPr>
                  <w:r>
                    <w:rPr>
                      <w:rFonts w:hint="eastAsia" w:cs="Times New Roman"/>
                      <w:color w:val="auto"/>
                      <w:lang w:val="en-US" w:eastAsia="zh-CN"/>
                    </w:rPr>
                    <w:t>井口出水温度</w:t>
                  </w:r>
                </w:p>
              </w:tc>
              <w:tc>
                <w:tcPr>
                  <w:tcW w:w="2912" w:type="pct"/>
                  <w:tcBorders>
                    <w:tl2br w:val="nil"/>
                    <w:tr2bl w:val="nil"/>
                  </w:tcBorders>
                  <w:noWrap w:val="0"/>
                  <w:vAlign w:val="center"/>
                </w:tcPr>
                <w:p w14:paraId="4D3F5C74">
                  <w:pPr>
                    <w:bidi w:val="0"/>
                    <w:jc w:val="center"/>
                    <w:rPr>
                      <w:rFonts w:hint="default" w:ascii="Times New Roman" w:hAnsi="Times New Roman" w:cs="Times New Roman"/>
                      <w:color w:val="auto"/>
                      <w:lang w:val="en-US" w:eastAsia="zh-CN"/>
                    </w:rPr>
                  </w:pPr>
                  <w:r>
                    <w:rPr>
                      <w:rFonts w:hint="eastAsia" w:cs="Times New Roman"/>
                      <w:color w:val="auto"/>
                      <w:lang w:val="en-US" w:eastAsia="zh-CN"/>
                    </w:rPr>
                    <w:t>70</w:t>
                  </w:r>
                  <w:r>
                    <w:rPr>
                      <w:rFonts w:hint="default" w:ascii="Times New Roman" w:hAnsi="Times New Roman" w:eastAsia="宋体" w:cs="Times New Roman"/>
                      <w:color w:val="auto"/>
                      <w:lang w:val="en-US" w:eastAsia="zh-CN"/>
                    </w:rPr>
                    <w:t>℃</w:t>
                  </w:r>
                </w:p>
              </w:tc>
            </w:tr>
            <w:tr w14:paraId="695071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4" w:type="pct"/>
                  <w:tcBorders>
                    <w:tl2br w:val="nil"/>
                    <w:tr2bl w:val="nil"/>
                  </w:tcBorders>
                  <w:noWrap w:val="0"/>
                  <w:vAlign w:val="center"/>
                </w:tcPr>
                <w:p w14:paraId="782DAE9E">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p>
              </w:tc>
              <w:tc>
                <w:tcPr>
                  <w:tcW w:w="1203" w:type="pct"/>
                  <w:tcBorders>
                    <w:tl2br w:val="nil"/>
                    <w:tr2bl w:val="nil"/>
                  </w:tcBorders>
                  <w:noWrap w:val="0"/>
                  <w:vAlign w:val="center"/>
                </w:tcPr>
                <w:p w14:paraId="769D5202">
                  <w:pPr>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入井回灌温度</w:t>
                  </w:r>
                </w:p>
              </w:tc>
              <w:tc>
                <w:tcPr>
                  <w:tcW w:w="2912" w:type="pct"/>
                  <w:tcBorders>
                    <w:tl2br w:val="nil"/>
                    <w:tr2bl w:val="nil"/>
                  </w:tcBorders>
                  <w:noWrap w:val="0"/>
                  <w:vAlign w:val="center"/>
                </w:tcPr>
                <w:p w14:paraId="6C29F170">
                  <w:pPr>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15</w:t>
                  </w:r>
                  <w:r>
                    <w:rPr>
                      <w:rFonts w:hint="default" w:ascii="Times New Roman" w:hAnsi="Times New Roman" w:eastAsia="宋体" w:cs="Times New Roman"/>
                      <w:color w:val="auto"/>
                      <w:lang w:val="en-US" w:eastAsia="zh-CN"/>
                    </w:rPr>
                    <w:t>℃</w:t>
                  </w:r>
                </w:p>
              </w:tc>
            </w:tr>
            <w:tr w14:paraId="41B9A6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4" w:type="pct"/>
                  <w:tcBorders>
                    <w:tl2br w:val="nil"/>
                    <w:tr2bl w:val="nil"/>
                  </w:tcBorders>
                  <w:noWrap w:val="0"/>
                  <w:vAlign w:val="center"/>
                </w:tcPr>
                <w:p w14:paraId="69CF0E02">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w:t>
                  </w:r>
                </w:p>
              </w:tc>
              <w:tc>
                <w:tcPr>
                  <w:tcW w:w="1203" w:type="pct"/>
                  <w:tcBorders>
                    <w:tl2br w:val="nil"/>
                    <w:tr2bl w:val="nil"/>
                  </w:tcBorders>
                  <w:noWrap w:val="0"/>
                  <w:vAlign w:val="center"/>
                </w:tcPr>
                <w:p w14:paraId="056D4298">
                  <w:pPr>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二次网供热温度</w:t>
                  </w:r>
                </w:p>
              </w:tc>
              <w:tc>
                <w:tcPr>
                  <w:tcW w:w="2912" w:type="pct"/>
                  <w:tcBorders>
                    <w:tl2br w:val="nil"/>
                    <w:tr2bl w:val="nil"/>
                  </w:tcBorders>
                  <w:noWrap w:val="0"/>
                  <w:vAlign w:val="center"/>
                </w:tcPr>
                <w:p w14:paraId="17B1B62B">
                  <w:pPr>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45</w:t>
                  </w:r>
                  <w:r>
                    <w:rPr>
                      <w:rFonts w:hint="default" w:ascii="Times New Roman" w:hAnsi="Times New Roman" w:eastAsia="宋体" w:cs="Times New Roman"/>
                      <w:color w:val="auto"/>
                      <w:lang w:val="en-US" w:eastAsia="zh-CN"/>
                    </w:rPr>
                    <w:t>℃</w:t>
                  </w:r>
                </w:p>
              </w:tc>
            </w:tr>
            <w:tr w14:paraId="286F73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4" w:type="pct"/>
                  <w:tcBorders>
                    <w:tl2br w:val="nil"/>
                    <w:tr2bl w:val="nil"/>
                  </w:tcBorders>
                  <w:noWrap w:val="0"/>
                  <w:vAlign w:val="center"/>
                </w:tcPr>
                <w:p w14:paraId="1817937B">
                  <w:pPr>
                    <w:ind w:right="50" w:rightChars="24"/>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w:t>
                  </w:r>
                </w:p>
              </w:tc>
              <w:tc>
                <w:tcPr>
                  <w:tcW w:w="1203" w:type="pct"/>
                  <w:tcBorders>
                    <w:tl2br w:val="nil"/>
                    <w:tr2bl w:val="nil"/>
                  </w:tcBorders>
                  <w:noWrap w:val="0"/>
                  <w:vAlign w:val="center"/>
                </w:tcPr>
                <w:p w14:paraId="6269EF8D">
                  <w:pPr>
                    <w:bidi w:val="0"/>
                    <w:jc w:val="center"/>
                    <w:rPr>
                      <w:rFonts w:hint="default" w:ascii="Times New Roman" w:hAnsi="Times New Roman" w:cs="Times New Roman"/>
                      <w:color w:val="auto"/>
                      <w:lang w:val="en-US" w:eastAsia="zh-CN"/>
                    </w:rPr>
                  </w:pPr>
                  <w:r>
                    <w:rPr>
                      <w:rFonts w:hint="eastAsia" w:cs="Times New Roman"/>
                      <w:color w:val="auto"/>
                      <w:lang w:val="en-US" w:eastAsia="zh-CN"/>
                    </w:rPr>
                    <w:t>高区供热运行压力</w:t>
                  </w:r>
                </w:p>
              </w:tc>
              <w:tc>
                <w:tcPr>
                  <w:tcW w:w="2912" w:type="pct"/>
                  <w:tcBorders>
                    <w:tl2br w:val="nil"/>
                    <w:tr2bl w:val="nil"/>
                  </w:tcBorders>
                  <w:noWrap w:val="0"/>
                  <w:vAlign w:val="center"/>
                </w:tcPr>
                <w:p w14:paraId="7AB44D19">
                  <w:pPr>
                    <w:bidi w:val="0"/>
                    <w:jc w:val="center"/>
                    <w:rPr>
                      <w:rFonts w:hint="default" w:ascii="Times New Roman" w:hAnsi="Times New Roman" w:cs="Times New Roman"/>
                      <w:color w:val="auto"/>
                      <w:lang w:val="en-US" w:eastAsia="zh-CN"/>
                    </w:rPr>
                  </w:pPr>
                  <w:r>
                    <w:rPr>
                      <w:rFonts w:hint="eastAsia" w:cs="Times New Roman"/>
                      <w:color w:val="auto"/>
                      <w:lang w:val="en-US" w:eastAsia="zh-CN"/>
                    </w:rPr>
                    <w:t>1.6MPa</w:t>
                  </w:r>
                </w:p>
              </w:tc>
            </w:tr>
            <w:tr w14:paraId="0EFC8C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4" w:type="pct"/>
                  <w:tcBorders>
                    <w:tl2br w:val="nil"/>
                    <w:tr2bl w:val="nil"/>
                  </w:tcBorders>
                  <w:noWrap w:val="0"/>
                  <w:vAlign w:val="center"/>
                </w:tcPr>
                <w:p w14:paraId="1B1515B5">
                  <w:pPr>
                    <w:ind w:right="50" w:rightChars="24"/>
                    <w:jc w:val="center"/>
                    <w:rPr>
                      <w:rFonts w:hint="default" w:ascii="Times New Roman" w:hAnsi="Times New Roman" w:cs="Times New Roman"/>
                      <w:color w:val="auto"/>
                      <w:lang w:val="en-US" w:eastAsia="zh-CN"/>
                    </w:rPr>
                  </w:pPr>
                  <w:r>
                    <w:rPr>
                      <w:rFonts w:hint="eastAsia" w:cs="Times New Roman"/>
                      <w:color w:val="auto"/>
                      <w:lang w:val="en-US" w:eastAsia="zh-CN"/>
                    </w:rPr>
                    <w:t>5</w:t>
                  </w:r>
                </w:p>
              </w:tc>
              <w:tc>
                <w:tcPr>
                  <w:tcW w:w="1203" w:type="pct"/>
                  <w:tcBorders>
                    <w:tl2br w:val="nil"/>
                    <w:tr2bl w:val="nil"/>
                  </w:tcBorders>
                  <w:noWrap w:val="0"/>
                  <w:vAlign w:val="center"/>
                </w:tcPr>
                <w:p w14:paraId="5B958F61">
                  <w:pPr>
                    <w:bidi w:val="0"/>
                    <w:jc w:val="center"/>
                    <w:rPr>
                      <w:rFonts w:hint="eastAsia" w:cs="Times New Roman"/>
                      <w:color w:val="auto"/>
                      <w:lang w:val="en-US" w:eastAsia="zh-CN"/>
                    </w:rPr>
                  </w:pPr>
                  <w:r>
                    <w:rPr>
                      <w:rFonts w:hint="eastAsia" w:cs="Times New Roman"/>
                      <w:color w:val="auto"/>
                      <w:lang w:val="en-US" w:eastAsia="zh-CN"/>
                    </w:rPr>
                    <w:t>低区供热运行压力</w:t>
                  </w:r>
                </w:p>
              </w:tc>
              <w:tc>
                <w:tcPr>
                  <w:tcW w:w="2912" w:type="pct"/>
                  <w:tcBorders>
                    <w:tl2br w:val="nil"/>
                    <w:tr2bl w:val="nil"/>
                  </w:tcBorders>
                  <w:noWrap w:val="0"/>
                  <w:vAlign w:val="center"/>
                </w:tcPr>
                <w:p w14:paraId="42DAA8F5">
                  <w:pPr>
                    <w:bidi w:val="0"/>
                    <w:jc w:val="center"/>
                    <w:rPr>
                      <w:rFonts w:hint="default" w:cs="Times New Roman"/>
                      <w:color w:val="auto"/>
                      <w:lang w:val="en-US" w:eastAsia="zh-CN"/>
                    </w:rPr>
                  </w:pPr>
                  <w:r>
                    <w:rPr>
                      <w:rFonts w:hint="eastAsia" w:cs="Times New Roman"/>
                      <w:color w:val="auto"/>
                      <w:lang w:val="en-US" w:eastAsia="zh-CN"/>
                    </w:rPr>
                    <w:t>0.9MPa</w:t>
                  </w:r>
                </w:p>
              </w:tc>
            </w:tr>
          </w:tbl>
          <w:p w14:paraId="299DCD51">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default"/>
                <w:b/>
                <w:bCs/>
                <w:color w:val="auto"/>
              </w:rPr>
            </w:pPr>
            <w:r>
              <w:rPr>
                <w:rFonts w:hint="eastAsia"/>
                <w:b/>
                <w:bCs/>
                <w:color w:val="auto"/>
                <w:lang w:val="en-US" w:eastAsia="zh-CN"/>
              </w:rPr>
              <w:t>5、</w:t>
            </w:r>
            <w:r>
              <w:rPr>
                <w:rFonts w:hint="default"/>
                <w:b/>
                <w:bCs/>
                <w:color w:val="auto"/>
              </w:rPr>
              <w:t>项目原辅材料用量</w:t>
            </w:r>
          </w:p>
          <w:p w14:paraId="249343F3">
            <w:pPr>
              <w:pStyle w:val="22"/>
              <w:bidi w:val="0"/>
              <w:rPr>
                <w:rFonts w:hint="default"/>
                <w:color w:val="auto"/>
              </w:rPr>
            </w:pPr>
            <w:r>
              <w:rPr>
                <w:rFonts w:hint="default"/>
                <w:color w:val="auto"/>
              </w:rPr>
              <w:t>项目主要原、辅材料见表2-</w:t>
            </w:r>
            <w:r>
              <w:rPr>
                <w:rFonts w:hint="eastAsia"/>
                <w:color w:val="auto"/>
                <w:lang w:val="en-US" w:eastAsia="zh-CN"/>
              </w:rPr>
              <w:t>5</w:t>
            </w:r>
            <w:r>
              <w:rPr>
                <w:rFonts w:hint="default"/>
                <w:color w:val="auto"/>
              </w:rPr>
              <w:t>。</w:t>
            </w:r>
          </w:p>
          <w:p w14:paraId="7DF0A31C">
            <w:pPr>
              <w:spacing w:line="240" w:lineRule="auto"/>
              <w:jc w:val="center"/>
              <w:rPr>
                <w:rFonts w:hint="default" w:ascii="Times New Roman" w:hAnsi="Times New Roman" w:cs="Times New Roman"/>
                <w:color w:val="auto"/>
                <w:sz w:val="24"/>
                <w:szCs w:val="24"/>
                <w:lang w:val="en-US" w:eastAsia="zh-CN"/>
              </w:rPr>
            </w:pPr>
            <w:r>
              <w:rPr>
                <w:rFonts w:hint="default" w:ascii="Times New Roman" w:hAnsi="Times New Roman" w:cs="Times New Roman"/>
                <w:b/>
                <w:bCs/>
                <w:color w:val="auto"/>
                <w:sz w:val="24"/>
                <w:szCs w:val="24"/>
                <w:lang w:val="en-US" w:eastAsia="zh-CN"/>
              </w:rPr>
              <w:t>表2-</w:t>
            </w:r>
            <w:r>
              <w:rPr>
                <w:rFonts w:hint="eastAsia" w:cs="Times New Roman"/>
                <w:b/>
                <w:bCs/>
                <w:color w:val="auto"/>
                <w:sz w:val="24"/>
                <w:szCs w:val="24"/>
                <w:lang w:val="en-US" w:eastAsia="zh-CN"/>
              </w:rPr>
              <w:t>5</w:t>
            </w:r>
            <w:r>
              <w:rPr>
                <w:rFonts w:hint="default" w:ascii="Times New Roman" w:hAnsi="Times New Roman" w:cs="Times New Roman"/>
                <w:b/>
                <w:bCs/>
                <w:color w:val="auto"/>
                <w:sz w:val="24"/>
                <w:szCs w:val="24"/>
                <w:lang w:val="en-US" w:eastAsia="zh-CN"/>
              </w:rPr>
              <w:t xml:space="preserve">  主要原辅材料消耗表</w:t>
            </w:r>
          </w:p>
          <w:tbl>
            <w:tblPr>
              <w:tblStyle w:val="15"/>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4"/>
              <w:gridCol w:w="2208"/>
              <w:gridCol w:w="1778"/>
              <w:gridCol w:w="1638"/>
              <w:gridCol w:w="1958"/>
            </w:tblGrid>
            <w:tr w14:paraId="56C3D7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03" w:type="pct"/>
                  <w:tcBorders>
                    <w:tl2br w:val="nil"/>
                    <w:tr2bl w:val="nil"/>
                  </w:tcBorders>
                  <w:noWrap w:val="0"/>
                  <w:vAlign w:val="center"/>
                </w:tcPr>
                <w:p w14:paraId="7F9607D5">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序号</w:t>
                  </w:r>
                </w:p>
              </w:tc>
              <w:tc>
                <w:tcPr>
                  <w:tcW w:w="1339" w:type="pct"/>
                  <w:tcBorders>
                    <w:tl2br w:val="nil"/>
                    <w:tr2bl w:val="nil"/>
                  </w:tcBorders>
                  <w:noWrap w:val="0"/>
                  <w:vAlign w:val="center"/>
                </w:tcPr>
                <w:p w14:paraId="626243A3">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名称</w:t>
                  </w:r>
                </w:p>
              </w:tc>
              <w:tc>
                <w:tcPr>
                  <w:tcW w:w="1078" w:type="pct"/>
                  <w:tcBorders>
                    <w:tl2br w:val="nil"/>
                    <w:tr2bl w:val="nil"/>
                  </w:tcBorders>
                  <w:noWrap w:val="0"/>
                  <w:vAlign w:val="center"/>
                </w:tcPr>
                <w:p w14:paraId="4DEEC89C">
                  <w:pPr>
                    <w:keepNext w:val="0"/>
                    <w:keepLines w:val="0"/>
                    <w:pageBreakBefore w:val="0"/>
                    <w:widowControl w:val="0"/>
                    <w:tabs>
                      <w:tab w:val="left" w:pos="3900"/>
                    </w:tabs>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b/>
                      <w:bCs/>
                      <w:color w:val="auto"/>
                    </w:rPr>
                  </w:pPr>
                  <w:r>
                    <w:rPr>
                      <w:rFonts w:hint="default" w:ascii="Times New Roman" w:hAnsi="Times New Roman" w:eastAsia="宋体" w:cs="Times New Roman"/>
                      <w:b/>
                      <w:bCs/>
                      <w:color w:val="auto"/>
                      <w:szCs w:val="21"/>
                    </w:rPr>
                    <w:t>用量</w:t>
                  </w:r>
                </w:p>
              </w:tc>
              <w:tc>
                <w:tcPr>
                  <w:tcW w:w="993" w:type="pct"/>
                  <w:tcBorders>
                    <w:tl2br w:val="nil"/>
                    <w:tr2bl w:val="nil"/>
                  </w:tcBorders>
                  <w:noWrap w:val="0"/>
                  <w:vAlign w:val="center"/>
                </w:tcPr>
                <w:p w14:paraId="72CB9E6A">
                  <w:pPr>
                    <w:keepNext w:val="0"/>
                    <w:keepLines w:val="0"/>
                    <w:pageBreakBefore w:val="0"/>
                    <w:widowControl w:val="0"/>
                    <w:tabs>
                      <w:tab w:val="left" w:pos="3900"/>
                    </w:tabs>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szCs w:val="21"/>
                      <w:lang w:eastAsia="zh-CN"/>
                    </w:rPr>
                    <w:t>储存方式</w:t>
                  </w:r>
                </w:p>
              </w:tc>
              <w:tc>
                <w:tcPr>
                  <w:tcW w:w="1186" w:type="pct"/>
                  <w:tcBorders>
                    <w:tl2br w:val="nil"/>
                    <w:tr2bl w:val="nil"/>
                  </w:tcBorders>
                  <w:noWrap w:val="0"/>
                  <w:vAlign w:val="center"/>
                </w:tcPr>
                <w:p w14:paraId="1A2DD4D3">
                  <w:pPr>
                    <w:keepNext w:val="0"/>
                    <w:keepLines w:val="0"/>
                    <w:pageBreakBefore w:val="0"/>
                    <w:widowControl w:val="0"/>
                    <w:kinsoku/>
                    <w:wordWrap/>
                    <w:overflowPunct/>
                    <w:topLinePunct w:val="0"/>
                    <w:autoSpaceDE/>
                    <w:autoSpaceDN/>
                    <w:bidi w:val="0"/>
                    <w:ind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备注</w:t>
                  </w:r>
                </w:p>
              </w:tc>
            </w:tr>
            <w:tr w14:paraId="1EEBCC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03" w:type="pct"/>
                  <w:tcBorders>
                    <w:tl2br w:val="nil"/>
                    <w:tr2bl w:val="nil"/>
                  </w:tcBorders>
                  <w:noWrap w:val="0"/>
                  <w:vAlign w:val="center"/>
                </w:tcPr>
                <w:p w14:paraId="25569EC0">
                  <w:pPr>
                    <w:jc w:val="center"/>
                    <w:rPr>
                      <w:rFonts w:hint="default" w:ascii="Times New Roman" w:hAnsi="Times New Roman" w:cs="Times New Roman"/>
                      <w:color w:val="auto"/>
                    </w:rPr>
                  </w:pPr>
                  <w:r>
                    <w:rPr>
                      <w:rFonts w:hint="default" w:ascii="Times New Roman" w:hAnsi="Times New Roman" w:cs="Times New Roman"/>
                      <w:color w:val="auto"/>
                    </w:rPr>
                    <w:t>1</w:t>
                  </w:r>
                </w:p>
              </w:tc>
              <w:tc>
                <w:tcPr>
                  <w:tcW w:w="1339" w:type="pct"/>
                  <w:tcBorders>
                    <w:tl2br w:val="nil"/>
                    <w:tr2bl w:val="nil"/>
                  </w:tcBorders>
                  <w:noWrap w:val="0"/>
                  <w:vAlign w:val="center"/>
                </w:tcPr>
                <w:p w14:paraId="4A8BCABD">
                  <w:pPr>
                    <w:bidi w:val="0"/>
                    <w:jc w:val="center"/>
                    <w:rPr>
                      <w:rFonts w:hint="default" w:ascii="Times New Roman" w:hAnsi="Times New Roman" w:cs="Times New Roman"/>
                      <w:color w:val="auto"/>
                    </w:rPr>
                  </w:pPr>
                  <w:r>
                    <w:rPr>
                      <w:rFonts w:hint="default" w:ascii="Times New Roman" w:hAnsi="Times New Roman" w:cs="Times New Roman"/>
                      <w:color w:val="auto"/>
                    </w:rPr>
                    <w:t>膨润土</w:t>
                  </w:r>
                </w:p>
              </w:tc>
              <w:tc>
                <w:tcPr>
                  <w:tcW w:w="1078" w:type="pct"/>
                  <w:tcBorders>
                    <w:tl2br w:val="nil"/>
                    <w:tr2bl w:val="nil"/>
                  </w:tcBorders>
                  <w:noWrap w:val="0"/>
                  <w:vAlign w:val="center"/>
                </w:tcPr>
                <w:p w14:paraId="4E473B5A">
                  <w:pPr>
                    <w:bidi w:val="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5t</w:t>
                  </w:r>
                </w:p>
              </w:tc>
              <w:tc>
                <w:tcPr>
                  <w:tcW w:w="993" w:type="pct"/>
                  <w:tcBorders>
                    <w:tl2br w:val="nil"/>
                    <w:tr2bl w:val="nil"/>
                  </w:tcBorders>
                  <w:noWrap w:val="0"/>
                  <w:vAlign w:val="center"/>
                </w:tcPr>
                <w:p w14:paraId="5027537E">
                  <w:pPr>
                    <w:bidi w:val="0"/>
                    <w:jc w:val="center"/>
                    <w:rPr>
                      <w:rFonts w:hint="default" w:ascii="Times New Roman" w:hAnsi="Times New Roman" w:cs="Times New Roman"/>
                      <w:color w:val="auto"/>
                      <w:lang w:val="en-US"/>
                    </w:rPr>
                  </w:pPr>
                  <w:r>
                    <w:rPr>
                      <w:rFonts w:hint="default" w:ascii="Times New Roman" w:hAnsi="Times New Roman" w:cs="Times New Roman"/>
                      <w:color w:val="auto"/>
                    </w:rPr>
                    <w:t>袋装，库房放置</w:t>
                  </w:r>
                </w:p>
              </w:tc>
              <w:tc>
                <w:tcPr>
                  <w:tcW w:w="1186" w:type="pct"/>
                  <w:tcBorders>
                    <w:tl2br w:val="nil"/>
                    <w:tr2bl w:val="nil"/>
                  </w:tcBorders>
                  <w:noWrap w:val="0"/>
                  <w:vAlign w:val="center"/>
                </w:tcPr>
                <w:p w14:paraId="3E0D14EE">
                  <w:pPr>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rPr>
                    <w:t>建设期用量</w:t>
                  </w:r>
                </w:p>
              </w:tc>
            </w:tr>
            <w:tr w14:paraId="46A2D7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403" w:type="pct"/>
                  <w:tcBorders>
                    <w:tl2br w:val="nil"/>
                    <w:tr2bl w:val="nil"/>
                  </w:tcBorders>
                  <w:noWrap w:val="0"/>
                  <w:vAlign w:val="center"/>
                </w:tcPr>
                <w:p w14:paraId="690C0CD4">
                  <w:pPr>
                    <w:jc w:val="center"/>
                    <w:rPr>
                      <w:rFonts w:hint="default" w:ascii="Times New Roman" w:hAnsi="Times New Roman" w:cs="Times New Roman"/>
                      <w:color w:val="auto"/>
                    </w:rPr>
                  </w:pPr>
                  <w:r>
                    <w:rPr>
                      <w:rFonts w:hint="default" w:ascii="Times New Roman" w:hAnsi="Times New Roman" w:cs="Times New Roman"/>
                      <w:color w:val="auto"/>
                    </w:rPr>
                    <w:t>2</w:t>
                  </w:r>
                </w:p>
              </w:tc>
              <w:tc>
                <w:tcPr>
                  <w:tcW w:w="1339" w:type="pct"/>
                  <w:tcBorders>
                    <w:tl2br w:val="nil"/>
                    <w:tr2bl w:val="nil"/>
                  </w:tcBorders>
                  <w:noWrap w:val="0"/>
                  <w:vAlign w:val="center"/>
                </w:tcPr>
                <w:p w14:paraId="3E699E4C">
                  <w:pPr>
                    <w:bidi w:val="0"/>
                    <w:jc w:val="center"/>
                    <w:rPr>
                      <w:rFonts w:hint="default" w:ascii="Times New Roman" w:hAnsi="Times New Roman" w:cs="Times New Roman"/>
                      <w:color w:val="auto"/>
                    </w:rPr>
                  </w:pPr>
                  <w:r>
                    <w:rPr>
                      <w:rFonts w:hint="eastAsia" w:ascii="Times New Roman" w:hAnsi="Times New Roman" w:cs="Times New Roman"/>
                      <w:color w:val="auto"/>
                      <w:lang w:val="en-US" w:eastAsia="zh-CN"/>
                    </w:rPr>
                    <w:t>羧甲基纤维素钠（C</w:t>
                  </w:r>
                  <w:r>
                    <w:rPr>
                      <w:rFonts w:hint="default" w:ascii="Times New Roman" w:hAnsi="Times New Roman" w:cs="Times New Roman"/>
                      <w:color w:val="auto"/>
                    </w:rPr>
                    <w:t>MC</w:t>
                  </w:r>
                  <w:r>
                    <w:rPr>
                      <w:rFonts w:hint="eastAsia" w:ascii="Times New Roman" w:hAnsi="Times New Roman" w:cs="Times New Roman"/>
                      <w:color w:val="auto"/>
                      <w:lang w:val="en-US" w:eastAsia="zh-CN"/>
                    </w:rPr>
                    <w:t>-</w:t>
                  </w:r>
                  <w:r>
                    <w:rPr>
                      <w:rFonts w:hint="default" w:ascii="Times New Roman" w:hAnsi="Times New Roman" w:cs="Times New Roman"/>
                      <w:color w:val="auto"/>
                    </w:rPr>
                    <w:t>HV</w:t>
                  </w:r>
                  <w:r>
                    <w:rPr>
                      <w:rFonts w:hint="eastAsia" w:ascii="Times New Roman" w:hAnsi="Times New Roman" w:cs="Times New Roman"/>
                      <w:color w:val="auto"/>
                      <w:lang w:eastAsia="zh-CN"/>
                    </w:rPr>
                    <w:t>）</w:t>
                  </w:r>
                </w:p>
              </w:tc>
              <w:tc>
                <w:tcPr>
                  <w:tcW w:w="1078" w:type="pct"/>
                  <w:tcBorders>
                    <w:tl2br w:val="nil"/>
                    <w:tr2bl w:val="nil"/>
                  </w:tcBorders>
                  <w:noWrap w:val="0"/>
                  <w:vAlign w:val="center"/>
                </w:tcPr>
                <w:p w14:paraId="3BB2BAD5">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1t</w:t>
                  </w:r>
                </w:p>
              </w:tc>
              <w:tc>
                <w:tcPr>
                  <w:tcW w:w="993" w:type="pct"/>
                  <w:tcBorders>
                    <w:tl2br w:val="nil"/>
                    <w:tr2bl w:val="nil"/>
                  </w:tcBorders>
                  <w:noWrap w:val="0"/>
                  <w:vAlign w:val="center"/>
                </w:tcPr>
                <w:p w14:paraId="0DAC42F9">
                  <w:pPr>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rPr>
                    <w:t>袋装，库房放置</w:t>
                  </w:r>
                </w:p>
              </w:tc>
              <w:tc>
                <w:tcPr>
                  <w:tcW w:w="1186" w:type="pct"/>
                  <w:tcBorders>
                    <w:tl2br w:val="nil"/>
                    <w:tr2bl w:val="nil"/>
                  </w:tcBorders>
                  <w:noWrap w:val="0"/>
                  <w:vAlign w:val="center"/>
                </w:tcPr>
                <w:p w14:paraId="50F6E934">
                  <w:pPr>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rPr>
                    <w:t>建设期用量</w:t>
                  </w:r>
                </w:p>
              </w:tc>
            </w:tr>
            <w:tr w14:paraId="1D15EE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03" w:type="pct"/>
                  <w:tcBorders>
                    <w:tl2br w:val="nil"/>
                    <w:tr2bl w:val="nil"/>
                  </w:tcBorders>
                  <w:noWrap w:val="0"/>
                  <w:vAlign w:val="center"/>
                </w:tcPr>
                <w:p w14:paraId="49E81854">
                  <w:pPr>
                    <w:jc w:val="center"/>
                    <w:rPr>
                      <w:rFonts w:hint="default" w:ascii="Times New Roman" w:hAnsi="Times New Roman" w:cs="Times New Roman"/>
                      <w:color w:val="auto"/>
                    </w:rPr>
                  </w:pPr>
                  <w:r>
                    <w:rPr>
                      <w:rFonts w:hint="default" w:ascii="Times New Roman" w:hAnsi="Times New Roman" w:cs="Times New Roman"/>
                      <w:color w:val="auto"/>
                      <w:lang w:val="en-US" w:eastAsia="zh-CN"/>
                    </w:rPr>
                    <w:t>3</w:t>
                  </w:r>
                </w:p>
              </w:tc>
              <w:tc>
                <w:tcPr>
                  <w:tcW w:w="1339" w:type="pct"/>
                  <w:tcBorders>
                    <w:tl2br w:val="nil"/>
                    <w:tr2bl w:val="nil"/>
                  </w:tcBorders>
                  <w:noWrap w:val="0"/>
                  <w:vAlign w:val="center"/>
                </w:tcPr>
                <w:p w14:paraId="46079D36">
                  <w:pPr>
                    <w:bidi w:val="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包被剂（FA367）</w:t>
                  </w:r>
                </w:p>
              </w:tc>
              <w:tc>
                <w:tcPr>
                  <w:tcW w:w="1078" w:type="pct"/>
                  <w:tcBorders>
                    <w:tl2br w:val="nil"/>
                    <w:tr2bl w:val="nil"/>
                  </w:tcBorders>
                  <w:noWrap w:val="0"/>
                  <w:vAlign w:val="center"/>
                </w:tcPr>
                <w:p w14:paraId="2367420C">
                  <w:pPr>
                    <w:bidi w:val="0"/>
                    <w:jc w:val="center"/>
                    <w:rPr>
                      <w:rFonts w:hint="default"/>
                      <w:color w:val="auto"/>
                      <w:lang w:val="en-US" w:eastAsia="zh-CN"/>
                    </w:rPr>
                  </w:pPr>
                  <w:r>
                    <w:rPr>
                      <w:rFonts w:hint="eastAsia" w:ascii="Times New Roman" w:hAnsi="Times New Roman" w:cs="Times New Roman"/>
                      <w:color w:val="auto"/>
                      <w:lang w:val="en-US" w:eastAsia="zh-CN"/>
                    </w:rPr>
                    <w:t>2t</w:t>
                  </w:r>
                </w:p>
              </w:tc>
              <w:tc>
                <w:tcPr>
                  <w:tcW w:w="993" w:type="pct"/>
                  <w:tcBorders>
                    <w:tl2br w:val="nil"/>
                    <w:tr2bl w:val="nil"/>
                  </w:tcBorders>
                  <w:noWrap w:val="0"/>
                  <w:vAlign w:val="center"/>
                </w:tcPr>
                <w:p w14:paraId="0FAC8796">
                  <w:pPr>
                    <w:bidi w:val="0"/>
                    <w:jc w:val="center"/>
                    <w:rPr>
                      <w:rFonts w:hint="default" w:ascii="Times New Roman" w:hAnsi="Times New Roman" w:cs="Times New Roman"/>
                      <w:color w:val="auto"/>
                    </w:rPr>
                  </w:pPr>
                  <w:r>
                    <w:rPr>
                      <w:rFonts w:hint="default" w:ascii="Times New Roman" w:hAnsi="Times New Roman" w:cs="Times New Roman"/>
                      <w:color w:val="auto"/>
                    </w:rPr>
                    <w:t>袋装，库房放置</w:t>
                  </w:r>
                </w:p>
              </w:tc>
              <w:tc>
                <w:tcPr>
                  <w:tcW w:w="1186" w:type="pct"/>
                  <w:tcBorders>
                    <w:tl2br w:val="nil"/>
                    <w:tr2bl w:val="nil"/>
                  </w:tcBorders>
                  <w:noWrap w:val="0"/>
                  <w:vAlign w:val="center"/>
                </w:tcPr>
                <w:p w14:paraId="790DCF7E">
                  <w:pPr>
                    <w:bidi w:val="0"/>
                    <w:jc w:val="center"/>
                    <w:rPr>
                      <w:rFonts w:hint="default" w:ascii="Times New Roman" w:hAnsi="Times New Roman" w:cs="Times New Roman"/>
                      <w:color w:val="auto"/>
                    </w:rPr>
                  </w:pPr>
                  <w:r>
                    <w:rPr>
                      <w:rFonts w:hint="default" w:ascii="Times New Roman" w:hAnsi="Times New Roman" w:cs="Times New Roman"/>
                      <w:color w:val="auto"/>
                    </w:rPr>
                    <w:t>建设期用量</w:t>
                  </w:r>
                </w:p>
              </w:tc>
            </w:tr>
            <w:tr w14:paraId="1CAA7A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03" w:type="pct"/>
                  <w:tcBorders>
                    <w:tl2br w:val="nil"/>
                    <w:tr2bl w:val="nil"/>
                  </w:tcBorders>
                  <w:noWrap w:val="0"/>
                  <w:vAlign w:val="center"/>
                </w:tcPr>
                <w:p w14:paraId="7735D07B">
                  <w:pPr>
                    <w:jc w:val="center"/>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rPr>
                    <w:t>4</w:t>
                  </w:r>
                </w:p>
              </w:tc>
              <w:tc>
                <w:tcPr>
                  <w:tcW w:w="1339" w:type="pct"/>
                  <w:tcBorders>
                    <w:tl2br w:val="nil"/>
                    <w:tr2bl w:val="nil"/>
                  </w:tcBorders>
                  <w:noWrap w:val="0"/>
                  <w:vAlign w:val="center"/>
                </w:tcPr>
                <w:p w14:paraId="44ED2B32">
                  <w:pPr>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聚丙烯酸钾（KPAM）</w:t>
                  </w:r>
                </w:p>
              </w:tc>
              <w:tc>
                <w:tcPr>
                  <w:tcW w:w="1078" w:type="pct"/>
                  <w:tcBorders>
                    <w:tl2br w:val="nil"/>
                    <w:tr2bl w:val="nil"/>
                  </w:tcBorders>
                  <w:noWrap w:val="0"/>
                  <w:vAlign w:val="center"/>
                </w:tcPr>
                <w:p w14:paraId="4D8313C9">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1t</w:t>
                  </w:r>
                </w:p>
              </w:tc>
              <w:tc>
                <w:tcPr>
                  <w:tcW w:w="993" w:type="pct"/>
                  <w:tcBorders>
                    <w:tl2br w:val="nil"/>
                    <w:tr2bl w:val="nil"/>
                  </w:tcBorders>
                  <w:noWrap w:val="0"/>
                  <w:vAlign w:val="center"/>
                </w:tcPr>
                <w:p w14:paraId="02256449">
                  <w:pPr>
                    <w:bidi w:val="0"/>
                    <w:jc w:val="center"/>
                    <w:rPr>
                      <w:rFonts w:hint="default" w:ascii="Times New Roman" w:hAnsi="Times New Roman" w:cs="Times New Roman"/>
                      <w:color w:val="auto"/>
                    </w:rPr>
                  </w:pPr>
                  <w:r>
                    <w:rPr>
                      <w:rFonts w:hint="default" w:ascii="Times New Roman" w:hAnsi="Times New Roman" w:cs="Times New Roman"/>
                      <w:color w:val="auto"/>
                    </w:rPr>
                    <w:t>袋装，库房放置</w:t>
                  </w:r>
                </w:p>
              </w:tc>
              <w:tc>
                <w:tcPr>
                  <w:tcW w:w="1186" w:type="pct"/>
                  <w:tcBorders>
                    <w:tl2br w:val="nil"/>
                    <w:tr2bl w:val="nil"/>
                  </w:tcBorders>
                  <w:noWrap w:val="0"/>
                  <w:vAlign w:val="center"/>
                </w:tcPr>
                <w:p w14:paraId="0D86B182">
                  <w:pPr>
                    <w:bidi w:val="0"/>
                    <w:jc w:val="center"/>
                    <w:rPr>
                      <w:rFonts w:hint="default" w:ascii="Times New Roman" w:hAnsi="Times New Roman" w:cs="Times New Roman"/>
                      <w:color w:val="auto"/>
                    </w:rPr>
                  </w:pPr>
                  <w:r>
                    <w:rPr>
                      <w:rFonts w:hint="default" w:ascii="Times New Roman" w:hAnsi="Times New Roman" w:cs="Times New Roman"/>
                      <w:color w:val="auto"/>
                    </w:rPr>
                    <w:t>建设期用量</w:t>
                  </w:r>
                </w:p>
              </w:tc>
            </w:tr>
            <w:tr w14:paraId="5909E0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403" w:type="pct"/>
                  <w:tcBorders>
                    <w:tl2br w:val="nil"/>
                    <w:tr2bl w:val="nil"/>
                  </w:tcBorders>
                  <w:noWrap w:val="0"/>
                  <w:vAlign w:val="center"/>
                </w:tcPr>
                <w:p w14:paraId="64980CC3">
                  <w:pPr>
                    <w:jc w:val="center"/>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lang w:val="en-US" w:eastAsia="zh-CN"/>
                    </w:rPr>
                    <w:t>5</w:t>
                  </w:r>
                </w:p>
              </w:tc>
              <w:tc>
                <w:tcPr>
                  <w:tcW w:w="1339" w:type="pct"/>
                  <w:tcBorders>
                    <w:tl2br w:val="nil"/>
                    <w:tr2bl w:val="nil"/>
                  </w:tcBorders>
                  <w:noWrap w:val="0"/>
                  <w:vAlign w:val="center"/>
                </w:tcPr>
                <w:p w14:paraId="4275CE17">
                  <w:pPr>
                    <w:bidi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水解聚丙烯腈铵盐（NH</w:t>
                  </w:r>
                  <w:r>
                    <w:rPr>
                      <w:rFonts w:hint="default" w:ascii="Times New Roman" w:hAnsi="Times New Roman" w:eastAsia="宋体" w:cs="Times New Roman"/>
                      <w:color w:val="auto"/>
                      <w:vertAlign w:val="subscript"/>
                      <w:lang w:val="en-US" w:eastAsia="zh-CN"/>
                    </w:rPr>
                    <w:t>4</w:t>
                  </w:r>
                  <w:r>
                    <w:rPr>
                      <w:rFonts w:hint="default" w:ascii="Times New Roman" w:hAnsi="Times New Roman" w:eastAsia="宋体" w:cs="Times New Roman"/>
                      <w:color w:val="auto"/>
                      <w:lang w:val="en-US" w:eastAsia="zh-CN"/>
                    </w:rPr>
                    <w:t>-HPAN）</w:t>
                  </w:r>
                </w:p>
              </w:tc>
              <w:tc>
                <w:tcPr>
                  <w:tcW w:w="1078" w:type="pct"/>
                  <w:tcBorders>
                    <w:tl2br w:val="nil"/>
                    <w:tr2bl w:val="nil"/>
                  </w:tcBorders>
                  <w:noWrap w:val="0"/>
                  <w:vAlign w:val="center"/>
                </w:tcPr>
                <w:p w14:paraId="7D1067E8">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1t</w:t>
                  </w:r>
                </w:p>
              </w:tc>
              <w:tc>
                <w:tcPr>
                  <w:tcW w:w="993" w:type="pct"/>
                  <w:tcBorders>
                    <w:tl2br w:val="nil"/>
                    <w:tr2bl w:val="nil"/>
                  </w:tcBorders>
                  <w:noWrap w:val="0"/>
                  <w:vAlign w:val="center"/>
                </w:tcPr>
                <w:p w14:paraId="7C39AA4E">
                  <w:pPr>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rPr>
                    <w:t>袋装，库房放置</w:t>
                  </w:r>
                </w:p>
              </w:tc>
              <w:tc>
                <w:tcPr>
                  <w:tcW w:w="1186" w:type="pct"/>
                  <w:tcBorders>
                    <w:tl2br w:val="nil"/>
                    <w:tr2bl w:val="nil"/>
                  </w:tcBorders>
                  <w:noWrap w:val="0"/>
                  <w:vAlign w:val="center"/>
                </w:tcPr>
                <w:p w14:paraId="340DE852">
                  <w:pPr>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rPr>
                    <w:t>建设期用量</w:t>
                  </w:r>
                </w:p>
              </w:tc>
            </w:tr>
            <w:tr w14:paraId="07DA29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403" w:type="pct"/>
                  <w:tcBorders>
                    <w:tl2br w:val="nil"/>
                    <w:tr2bl w:val="nil"/>
                  </w:tcBorders>
                  <w:noWrap w:val="0"/>
                  <w:vAlign w:val="center"/>
                </w:tcPr>
                <w:p w14:paraId="48443641">
                  <w:pPr>
                    <w:jc w:val="center"/>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lang w:val="en-US" w:eastAsia="zh-CN"/>
                    </w:rPr>
                    <w:t>6</w:t>
                  </w:r>
                </w:p>
              </w:tc>
              <w:tc>
                <w:tcPr>
                  <w:tcW w:w="1339" w:type="pct"/>
                  <w:tcBorders>
                    <w:tl2br w:val="nil"/>
                    <w:tr2bl w:val="nil"/>
                  </w:tcBorders>
                  <w:noWrap w:val="0"/>
                  <w:vAlign w:val="center"/>
                </w:tcPr>
                <w:p w14:paraId="73D2D85F">
                  <w:pPr>
                    <w:bidi w:val="0"/>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lang w:val="en-US" w:eastAsia="zh-CN"/>
                    </w:rPr>
                    <w:t>磺甲基酚醛树脂（SMP）</w:t>
                  </w:r>
                </w:p>
              </w:tc>
              <w:tc>
                <w:tcPr>
                  <w:tcW w:w="1078" w:type="pct"/>
                  <w:tcBorders>
                    <w:tl2br w:val="nil"/>
                    <w:tr2bl w:val="nil"/>
                  </w:tcBorders>
                  <w:noWrap w:val="0"/>
                  <w:vAlign w:val="center"/>
                </w:tcPr>
                <w:p w14:paraId="4643EF10">
                  <w:pPr>
                    <w:bidi w:val="0"/>
                    <w:jc w:val="center"/>
                    <w:rPr>
                      <w:rFonts w:hint="default" w:ascii="Times New Roman" w:hAnsi="Times New Roman" w:cs="Times New Roman"/>
                      <w:color w:val="auto"/>
                      <w:kern w:val="2"/>
                      <w:sz w:val="21"/>
                      <w:szCs w:val="24"/>
                      <w:lang w:val="en-US" w:eastAsia="zh-CN" w:bidi="ar-SA"/>
                    </w:rPr>
                  </w:pPr>
                  <w:r>
                    <w:rPr>
                      <w:rFonts w:hint="eastAsia" w:ascii="Times New Roman" w:hAnsi="Times New Roman" w:cs="Times New Roman"/>
                      <w:color w:val="auto"/>
                      <w:lang w:val="en-US" w:eastAsia="zh-CN"/>
                    </w:rPr>
                    <w:t>1.5t</w:t>
                  </w:r>
                </w:p>
              </w:tc>
              <w:tc>
                <w:tcPr>
                  <w:tcW w:w="993" w:type="pct"/>
                  <w:tcBorders>
                    <w:tl2br w:val="nil"/>
                    <w:tr2bl w:val="nil"/>
                  </w:tcBorders>
                  <w:noWrap w:val="0"/>
                  <w:vAlign w:val="center"/>
                </w:tcPr>
                <w:p w14:paraId="6C212022">
                  <w:pPr>
                    <w:bidi w:val="0"/>
                    <w:jc w:val="center"/>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rPr>
                    <w:t>袋装，库房放置</w:t>
                  </w:r>
                </w:p>
              </w:tc>
              <w:tc>
                <w:tcPr>
                  <w:tcW w:w="1186" w:type="pct"/>
                  <w:tcBorders>
                    <w:tl2br w:val="nil"/>
                    <w:tr2bl w:val="nil"/>
                  </w:tcBorders>
                  <w:noWrap w:val="0"/>
                  <w:vAlign w:val="center"/>
                </w:tcPr>
                <w:p w14:paraId="6A0C52E8">
                  <w:pPr>
                    <w:bidi w:val="0"/>
                    <w:jc w:val="center"/>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rPr>
                    <w:t>建设期用量</w:t>
                  </w:r>
                </w:p>
              </w:tc>
            </w:tr>
            <w:tr w14:paraId="6BD2C8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03" w:type="pct"/>
                  <w:tcBorders>
                    <w:tl2br w:val="nil"/>
                    <w:tr2bl w:val="nil"/>
                  </w:tcBorders>
                  <w:noWrap w:val="0"/>
                  <w:vAlign w:val="center"/>
                </w:tcPr>
                <w:p w14:paraId="3400862B">
                  <w:pPr>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7</w:t>
                  </w:r>
                </w:p>
              </w:tc>
              <w:tc>
                <w:tcPr>
                  <w:tcW w:w="1339" w:type="pct"/>
                  <w:tcBorders>
                    <w:tl2br w:val="nil"/>
                    <w:tr2bl w:val="nil"/>
                  </w:tcBorders>
                  <w:noWrap w:val="0"/>
                  <w:vAlign w:val="center"/>
                </w:tcPr>
                <w:p w14:paraId="3CD09813">
                  <w:pPr>
                    <w:bidi w:val="0"/>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lang w:val="en-US" w:eastAsia="zh-CN"/>
                    </w:rPr>
                    <w:t>磺化褐煤（SMC）</w:t>
                  </w:r>
                </w:p>
              </w:tc>
              <w:tc>
                <w:tcPr>
                  <w:tcW w:w="1078" w:type="pct"/>
                  <w:tcBorders>
                    <w:tl2br w:val="nil"/>
                    <w:tr2bl w:val="nil"/>
                  </w:tcBorders>
                  <w:noWrap w:val="0"/>
                  <w:vAlign w:val="center"/>
                </w:tcPr>
                <w:p w14:paraId="42CF5FF1">
                  <w:pPr>
                    <w:bidi w:val="0"/>
                    <w:jc w:val="center"/>
                    <w:rPr>
                      <w:rFonts w:hint="default" w:ascii="Times New Roman" w:hAnsi="Times New Roman" w:cs="Times New Roman"/>
                      <w:color w:val="auto"/>
                      <w:kern w:val="2"/>
                      <w:sz w:val="21"/>
                      <w:szCs w:val="24"/>
                      <w:lang w:val="en-US" w:eastAsia="zh-CN" w:bidi="ar-SA"/>
                    </w:rPr>
                  </w:pPr>
                  <w:r>
                    <w:rPr>
                      <w:rFonts w:hint="eastAsia" w:ascii="Times New Roman" w:hAnsi="Times New Roman" w:cs="Times New Roman"/>
                      <w:color w:val="auto"/>
                      <w:lang w:val="en-US" w:eastAsia="zh-CN"/>
                    </w:rPr>
                    <w:t>1.5t</w:t>
                  </w:r>
                </w:p>
              </w:tc>
              <w:tc>
                <w:tcPr>
                  <w:tcW w:w="993" w:type="pct"/>
                  <w:tcBorders>
                    <w:tl2br w:val="nil"/>
                    <w:tr2bl w:val="nil"/>
                  </w:tcBorders>
                  <w:noWrap w:val="0"/>
                  <w:vAlign w:val="center"/>
                </w:tcPr>
                <w:p w14:paraId="2BA80E3D">
                  <w:pPr>
                    <w:bidi w:val="0"/>
                    <w:jc w:val="center"/>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rPr>
                    <w:t>袋装，库房放置</w:t>
                  </w:r>
                </w:p>
              </w:tc>
              <w:tc>
                <w:tcPr>
                  <w:tcW w:w="1186" w:type="pct"/>
                  <w:tcBorders>
                    <w:tl2br w:val="nil"/>
                    <w:tr2bl w:val="nil"/>
                  </w:tcBorders>
                  <w:noWrap w:val="0"/>
                  <w:vAlign w:val="center"/>
                </w:tcPr>
                <w:p w14:paraId="60ED73BC">
                  <w:pPr>
                    <w:bidi w:val="0"/>
                    <w:jc w:val="center"/>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rPr>
                    <w:t>建设期用量</w:t>
                  </w:r>
                </w:p>
              </w:tc>
            </w:tr>
            <w:tr w14:paraId="618208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03" w:type="pct"/>
                  <w:tcBorders>
                    <w:tl2br w:val="nil"/>
                    <w:tr2bl w:val="nil"/>
                  </w:tcBorders>
                  <w:noWrap w:val="0"/>
                  <w:vAlign w:val="center"/>
                </w:tcPr>
                <w:p w14:paraId="68FEE213">
                  <w:pPr>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lang w:val="en-US" w:eastAsia="zh-CN"/>
                    </w:rPr>
                    <w:t>8</w:t>
                  </w:r>
                </w:p>
              </w:tc>
              <w:tc>
                <w:tcPr>
                  <w:tcW w:w="1339" w:type="pct"/>
                  <w:tcBorders>
                    <w:tl2br w:val="nil"/>
                    <w:tr2bl w:val="nil"/>
                  </w:tcBorders>
                  <w:noWrap w:val="0"/>
                  <w:vAlign w:val="center"/>
                </w:tcPr>
                <w:p w14:paraId="06E9C172">
                  <w:pPr>
                    <w:bidi w:val="0"/>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lang w:val="en-US" w:eastAsia="zh-CN"/>
                    </w:rPr>
                    <w:t>固体</w:t>
                  </w:r>
                  <w:r>
                    <w:rPr>
                      <w:rFonts w:hint="default" w:ascii="Times New Roman" w:hAnsi="Times New Roman" w:eastAsia="宋体" w:cs="Times New Roman"/>
                      <w:color w:val="auto"/>
                      <w:lang w:val="en-US" w:eastAsia="zh-CN"/>
                    </w:rPr>
                    <w:t>润滑剂</w:t>
                  </w:r>
                  <w:r>
                    <w:rPr>
                      <w:rFonts w:hint="eastAsia" w:ascii="Times New Roman" w:hAnsi="Times New Roman" w:eastAsia="宋体" w:cs="Times New Roman"/>
                      <w:color w:val="auto"/>
                      <w:lang w:val="en-US" w:eastAsia="zh-CN"/>
                    </w:rPr>
                    <w:t>石墨</w:t>
                  </w:r>
                </w:p>
              </w:tc>
              <w:tc>
                <w:tcPr>
                  <w:tcW w:w="1078" w:type="pct"/>
                  <w:tcBorders>
                    <w:tl2br w:val="nil"/>
                    <w:tr2bl w:val="nil"/>
                  </w:tcBorders>
                  <w:noWrap w:val="0"/>
                  <w:vAlign w:val="center"/>
                </w:tcPr>
                <w:p w14:paraId="3F1AF16F">
                  <w:pPr>
                    <w:bidi w:val="0"/>
                    <w:jc w:val="center"/>
                    <w:rPr>
                      <w:rFonts w:hint="default" w:ascii="Times New Roman" w:hAnsi="Times New Roman" w:cs="Times New Roman"/>
                      <w:color w:val="auto"/>
                      <w:kern w:val="2"/>
                      <w:sz w:val="21"/>
                      <w:szCs w:val="24"/>
                      <w:lang w:val="en-US" w:eastAsia="zh-CN" w:bidi="ar-SA"/>
                    </w:rPr>
                  </w:pPr>
                  <w:r>
                    <w:rPr>
                      <w:rFonts w:hint="eastAsia" w:ascii="Times New Roman" w:hAnsi="Times New Roman" w:cs="Times New Roman"/>
                      <w:color w:val="auto"/>
                      <w:kern w:val="2"/>
                      <w:sz w:val="21"/>
                      <w:szCs w:val="24"/>
                      <w:lang w:val="en-US" w:eastAsia="zh-CN" w:bidi="ar-SA"/>
                    </w:rPr>
                    <w:t>1t</w:t>
                  </w:r>
                </w:p>
              </w:tc>
              <w:tc>
                <w:tcPr>
                  <w:tcW w:w="993" w:type="pct"/>
                  <w:tcBorders>
                    <w:tl2br w:val="nil"/>
                    <w:tr2bl w:val="nil"/>
                  </w:tcBorders>
                  <w:noWrap w:val="0"/>
                  <w:vAlign w:val="center"/>
                </w:tcPr>
                <w:p w14:paraId="10BB1D7D">
                  <w:pPr>
                    <w:bidi w:val="0"/>
                    <w:jc w:val="center"/>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rPr>
                    <w:t>袋装，库房放置</w:t>
                  </w:r>
                </w:p>
              </w:tc>
              <w:tc>
                <w:tcPr>
                  <w:tcW w:w="1186" w:type="pct"/>
                  <w:tcBorders>
                    <w:tl2br w:val="nil"/>
                    <w:tr2bl w:val="nil"/>
                  </w:tcBorders>
                  <w:noWrap w:val="0"/>
                  <w:vAlign w:val="center"/>
                </w:tcPr>
                <w:p w14:paraId="6A78EFAE">
                  <w:pPr>
                    <w:bidi w:val="0"/>
                    <w:jc w:val="center"/>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rPr>
                    <w:t>建设期用量</w:t>
                  </w:r>
                </w:p>
              </w:tc>
            </w:tr>
            <w:tr w14:paraId="17B0A1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03" w:type="pct"/>
                  <w:tcBorders>
                    <w:tl2br w:val="nil"/>
                    <w:tr2bl w:val="nil"/>
                  </w:tcBorders>
                  <w:noWrap w:val="0"/>
                  <w:vAlign w:val="center"/>
                </w:tcPr>
                <w:p w14:paraId="15F80081">
                  <w:pPr>
                    <w:jc w:val="center"/>
                    <w:rPr>
                      <w:rFonts w:hint="eastAsia" w:ascii="Times New Roman" w:hAnsi="Times New Roman" w:cs="Times New Roman"/>
                      <w:color w:val="auto"/>
                      <w:kern w:val="2"/>
                      <w:sz w:val="21"/>
                      <w:szCs w:val="24"/>
                      <w:lang w:val="en-US" w:eastAsia="zh-CN" w:bidi="ar-SA"/>
                    </w:rPr>
                  </w:pPr>
                  <w:r>
                    <w:rPr>
                      <w:rFonts w:hint="eastAsia" w:ascii="Times New Roman" w:hAnsi="Times New Roman" w:cs="Times New Roman"/>
                      <w:color w:val="auto"/>
                      <w:lang w:val="en-US" w:eastAsia="zh-CN"/>
                    </w:rPr>
                    <w:t>9</w:t>
                  </w:r>
                </w:p>
              </w:tc>
              <w:tc>
                <w:tcPr>
                  <w:tcW w:w="1339" w:type="pct"/>
                  <w:tcBorders>
                    <w:tl2br w:val="nil"/>
                    <w:tr2bl w:val="nil"/>
                  </w:tcBorders>
                  <w:noWrap w:val="0"/>
                  <w:vAlign w:val="center"/>
                </w:tcPr>
                <w:p w14:paraId="5F2262B4">
                  <w:pPr>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工业盐</w:t>
                  </w:r>
                </w:p>
              </w:tc>
              <w:tc>
                <w:tcPr>
                  <w:tcW w:w="1078" w:type="pct"/>
                  <w:tcBorders>
                    <w:tl2br w:val="nil"/>
                    <w:tr2bl w:val="nil"/>
                  </w:tcBorders>
                  <w:noWrap w:val="0"/>
                  <w:vAlign w:val="center"/>
                </w:tcPr>
                <w:p w14:paraId="04244660">
                  <w:pPr>
                    <w:bidi w:val="0"/>
                    <w:jc w:val="center"/>
                    <w:rPr>
                      <w:rFonts w:hint="default" w:ascii="Times New Roman" w:hAnsi="Times New Roman" w:cs="Times New Roman"/>
                      <w:color w:val="auto"/>
                      <w:kern w:val="2"/>
                      <w:sz w:val="21"/>
                      <w:szCs w:val="24"/>
                      <w:lang w:val="en-US" w:eastAsia="zh-CN" w:bidi="ar-SA"/>
                    </w:rPr>
                  </w:pPr>
                  <w:r>
                    <w:rPr>
                      <w:rFonts w:hint="eastAsia" w:ascii="Times New Roman" w:hAnsi="Times New Roman" w:cs="Times New Roman"/>
                      <w:color w:val="auto"/>
                      <w:kern w:val="2"/>
                      <w:sz w:val="21"/>
                      <w:szCs w:val="24"/>
                      <w:lang w:val="en-US" w:eastAsia="zh-CN" w:bidi="ar-SA"/>
                    </w:rPr>
                    <w:t>0.2t</w:t>
                  </w:r>
                </w:p>
              </w:tc>
              <w:tc>
                <w:tcPr>
                  <w:tcW w:w="993" w:type="pct"/>
                  <w:tcBorders>
                    <w:tl2br w:val="nil"/>
                    <w:tr2bl w:val="nil"/>
                  </w:tcBorders>
                  <w:noWrap w:val="0"/>
                  <w:vAlign w:val="center"/>
                </w:tcPr>
                <w:p w14:paraId="5E934E23">
                  <w:pPr>
                    <w:bidi w:val="0"/>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w:t>
                  </w:r>
                </w:p>
              </w:tc>
              <w:tc>
                <w:tcPr>
                  <w:tcW w:w="1186" w:type="pct"/>
                  <w:tcBorders>
                    <w:tl2br w:val="nil"/>
                    <w:tr2bl w:val="nil"/>
                  </w:tcBorders>
                  <w:noWrap w:val="0"/>
                  <w:vAlign w:val="center"/>
                </w:tcPr>
                <w:p w14:paraId="2B954F73">
                  <w:pPr>
                    <w:bidi w:val="0"/>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采暖季反冲洗用</w:t>
                  </w:r>
                </w:p>
              </w:tc>
            </w:tr>
            <w:tr w14:paraId="2CA45C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03" w:type="pct"/>
                  <w:tcBorders>
                    <w:tl2br w:val="nil"/>
                    <w:tr2bl w:val="nil"/>
                  </w:tcBorders>
                  <w:noWrap w:val="0"/>
                  <w:vAlign w:val="center"/>
                </w:tcPr>
                <w:p w14:paraId="3169E84D">
                  <w:pPr>
                    <w:jc w:val="center"/>
                    <w:rPr>
                      <w:rFonts w:hint="eastAsia" w:ascii="Times New Roman" w:hAnsi="Times New Roman" w:cs="Times New Roman"/>
                      <w:color w:val="auto"/>
                      <w:kern w:val="2"/>
                      <w:sz w:val="21"/>
                      <w:szCs w:val="24"/>
                      <w:lang w:val="en-US" w:eastAsia="zh-CN" w:bidi="ar-SA"/>
                    </w:rPr>
                  </w:pPr>
                  <w:r>
                    <w:rPr>
                      <w:rFonts w:hint="eastAsia" w:ascii="Times New Roman" w:hAnsi="Times New Roman" w:cs="Times New Roman"/>
                      <w:color w:val="auto"/>
                      <w:lang w:val="en-US" w:eastAsia="zh-CN"/>
                    </w:rPr>
                    <w:t>10</w:t>
                  </w:r>
                </w:p>
              </w:tc>
              <w:tc>
                <w:tcPr>
                  <w:tcW w:w="1339" w:type="pct"/>
                  <w:tcBorders>
                    <w:tl2br w:val="nil"/>
                    <w:tr2bl w:val="nil"/>
                  </w:tcBorders>
                  <w:noWrap w:val="0"/>
                  <w:vAlign w:val="center"/>
                </w:tcPr>
                <w:p w14:paraId="121ED7DF">
                  <w:pPr>
                    <w:bidi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离子交换树脂</w:t>
                  </w:r>
                </w:p>
              </w:tc>
              <w:tc>
                <w:tcPr>
                  <w:tcW w:w="1078" w:type="pct"/>
                  <w:tcBorders>
                    <w:tl2br w:val="nil"/>
                    <w:tr2bl w:val="nil"/>
                  </w:tcBorders>
                  <w:noWrap w:val="0"/>
                  <w:vAlign w:val="center"/>
                </w:tcPr>
                <w:p w14:paraId="317E12E2">
                  <w:pPr>
                    <w:bidi w:val="0"/>
                    <w:jc w:val="center"/>
                    <w:rPr>
                      <w:rFonts w:hint="default" w:ascii="Times New Roman" w:hAnsi="Times New Roman" w:cs="Times New Roman"/>
                      <w:color w:val="auto"/>
                      <w:kern w:val="2"/>
                      <w:sz w:val="21"/>
                      <w:szCs w:val="24"/>
                      <w:lang w:val="en-US" w:eastAsia="zh-CN" w:bidi="ar-SA"/>
                    </w:rPr>
                  </w:pPr>
                  <w:r>
                    <w:rPr>
                      <w:rFonts w:hint="eastAsia" w:ascii="Times New Roman" w:hAnsi="Times New Roman" w:cs="Times New Roman"/>
                      <w:color w:val="auto"/>
                      <w:kern w:val="2"/>
                      <w:sz w:val="21"/>
                      <w:szCs w:val="24"/>
                      <w:lang w:val="en-US" w:eastAsia="zh-CN" w:bidi="ar-SA"/>
                    </w:rPr>
                    <w:t>1t/5a</w:t>
                  </w:r>
                </w:p>
              </w:tc>
              <w:tc>
                <w:tcPr>
                  <w:tcW w:w="993" w:type="pct"/>
                  <w:tcBorders>
                    <w:tl2br w:val="nil"/>
                    <w:tr2bl w:val="nil"/>
                  </w:tcBorders>
                  <w:noWrap w:val="0"/>
                  <w:vAlign w:val="center"/>
                </w:tcPr>
                <w:p w14:paraId="6E4297EA">
                  <w:pPr>
                    <w:bidi w:val="0"/>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w:t>
                  </w:r>
                </w:p>
              </w:tc>
              <w:tc>
                <w:tcPr>
                  <w:tcW w:w="1186" w:type="pct"/>
                  <w:tcBorders>
                    <w:tl2br w:val="nil"/>
                    <w:tr2bl w:val="nil"/>
                  </w:tcBorders>
                  <w:noWrap w:val="0"/>
                  <w:vAlign w:val="center"/>
                </w:tcPr>
                <w:p w14:paraId="530ED56F">
                  <w:pPr>
                    <w:bidi w:val="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5年更换一次</w:t>
                  </w:r>
                </w:p>
              </w:tc>
            </w:tr>
            <w:tr w14:paraId="48C617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03" w:type="pct"/>
                  <w:tcBorders>
                    <w:tl2br w:val="nil"/>
                    <w:tr2bl w:val="nil"/>
                  </w:tcBorders>
                  <w:noWrap w:val="0"/>
                  <w:vAlign w:val="center"/>
                </w:tcPr>
                <w:p w14:paraId="2FB5D878">
                  <w:pPr>
                    <w:jc w:val="center"/>
                    <w:rPr>
                      <w:rFonts w:hint="eastAsia" w:ascii="Times New Roman" w:hAnsi="Times New Roman" w:cs="Times New Roman"/>
                      <w:color w:val="auto"/>
                      <w:kern w:val="2"/>
                      <w:sz w:val="21"/>
                      <w:szCs w:val="24"/>
                      <w:lang w:val="en-US" w:eastAsia="zh-CN" w:bidi="ar-SA"/>
                    </w:rPr>
                  </w:pPr>
                  <w:r>
                    <w:rPr>
                      <w:rFonts w:hint="eastAsia" w:ascii="Times New Roman" w:hAnsi="Times New Roman" w:cs="Times New Roman"/>
                      <w:color w:val="auto"/>
                      <w:lang w:val="en-US" w:eastAsia="zh-CN"/>
                    </w:rPr>
                    <w:t>11</w:t>
                  </w:r>
                </w:p>
              </w:tc>
              <w:tc>
                <w:tcPr>
                  <w:tcW w:w="1339" w:type="pct"/>
                  <w:tcBorders>
                    <w:tl2br w:val="nil"/>
                    <w:tr2bl w:val="nil"/>
                  </w:tcBorders>
                  <w:noWrap w:val="0"/>
                  <w:vAlign w:val="center"/>
                </w:tcPr>
                <w:p w14:paraId="261283C8">
                  <w:pPr>
                    <w:bidi w:val="0"/>
                    <w:jc w:val="center"/>
                    <w:rPr>
                      <w:rFonts w:hint="default" w:ascii="Times New Roman" w:hAnsi="Times New Roman" w:cs="Times New Roman"/>
                      <w:color w:val="auto"/>
                    </w:rPr>
                  </w:pPr>
                  <w:r>
                    <w:rPr>
                      <w:rFonts w:hint="default" w:ascii="Times New Roman" w:hAnsi="Times New Roman" w:cs="Times New Roman"/>
                      <w:color w:val="auto"/>
                    </w:rPr>
                    <w:t>地热水</w:t>
                  </w:r>
                </w:p>
              </w:tc>
              <w:tc>
                <w:tcPr>
                  <w:tcW w:w="1078" w:type="pct"/>
                  <w:tcBorders>
                    <w:tl2br w:val="nil"/>
                    <w:tr2bl w:val="nil"/>
                  </w:tcBorders>
                  <w:noWrap w:val="0"/>
                  <w:vAlign w:val="center"/>
                </w:tcPr>
                <w:p w14:paraId="53789202">
                  <w:pPr>
                    <w:bidi w:val="0"/>
                    <w:jc w:val="center"/>
                    <w:rPr>
                      <w:rFonts w:hint="default" w:ascii="Times New Roman" w:hAnsi="Times New Roman" w:cs="Times New Roman"/>
                      <w:color w:val="auto"/>
                    </w:rPr>
                  </w:pPr>
                  <w:r>
                    <w:rPr>
                      <w:rFonts w:hint="eastAsia" w:cs="Times New Roman"/>
                      <w:color w:val="auto"/>
                      <w:lang w:val="en-US" w:eastAsia="zh-CN"/>
                    </w:rPr>
                    <w:t>14.52万</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/a</w:t>
                  </w:r>
                </w:p>
              </w:tc>
              <w:tc>
                <w:tcPr>
                  <w:tcW w:w="993" w:type="pct"/>
                  <w:tcBorders>
                    <w:tl2br w:val="nil"/>
                    <w:tr2bl w:val="nil"/>
                  </w:tcBorders>
                  <w:noWrap w:val="0"/>
                  <w:vAlign w:val="center"/>
                </w:tcPr>
                <w:p w14:paraId="0D9380F0">
                  <w:pPr>
                    <w:bidi w:val="0"/>
                    <w:jc w:val="center"/>
                    <w:rPr>
                      <w:rFonts w:hint="eastAsia" w:ascii="Times New Roman" w:hAnsi="Times New Roman" w:eastAsia="宋体" w:cs="Times New Roman"/>
                      <w:color w:val="auto"/>
                      <w:lang w:eastAsia="zh-CN"/>
                    </w:rPr>
                  </w:pPr>
                  <w:r>
                    <w:rPr>
                      <w:rFonts w:hint="eastAsia" w:ascii="Times New Roman" w:hAnsi="Times New Roman" w:cs="Times New Roman"/>
                      <w:color w:val="auto"/>
                      <w:lang w:val="en-US" w:eastAsia="zh-CN"/>
                    </w:rPr>
                    <w:t>/</w:t>
                  </w:r>
                </w:p>
              </w:tc>
              <w:tc>
                <w:tcPr>
                  <w:tcW w:w="1186" w:type="pct"/>
                  <w:tcBorders>
                    <w:tl2br w:val="nil"/>
                    <w:tr2bl w:val="nil"/>
                  </w:tcBorders>
                  <w:noWrap w:val="0"/>
                  <w:vAlign w:val="center"/>
                </w:tcPr>
                <w:p w14:paraId="217C3848">
                  <w:pPr>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rPr>
                    <w:t>运营期最大回灌量</w:t>
                  </w:r>
                </w:p>
              </w:tc>
            </w:tr>
            <w:tr w14:paraId="43E41C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03" w:type="pct"/>
                  <w:tcBorders>
                    <w:tl2br w:val="nil"/>
                    <w:tr2bl w:val="nil"/>
                  </w:tcBorders>
                  <w:noWrap w:val="0"/>
                  <w:vAlign w:val="center"/>
                </w:tcPr>
                <w:p w14:paraId="4CBC75CC">
                  <w:pPr>
                    <w:jc w:val="center"/>
                    <w:rPr>
                      <w:rFonts w:hint="default" w:ascii="Times New Roman" w:hAnsi="Times New Roman" w:cs="Times New Roman"/>
                      <w:color w:val="auto"/>
                      <w:kern w:val="2"/>
                      <w:sz w:val="21"/>
                      <w:szCs w:val="24"/>
                      <w:lang w:val="en-US" w:eastAsia="zh-CN" w:bidi="ar-SA"/>
                    </w:rPr>
                  </w:pPr>
                  <w:r>
                    <w:rPr>
                      <w:rFonts w:hint="eastAsia" w:ascii="Times New Roman" w:hAnsi="Times New Roman" w:cs="Times New Roman"/>
                      <w:color w:val="auto"/>
                      <w:kern w:val="2"/>
                      <w:sz w:val="21"/>
                      <w:szCs w:val="24"/>
                      <w:lang w:val="en-US" w:eastAsia="zh-CN" w:bidi="ar-SA"/>
                    </w:rPr>
                    <w:t>12</w:t>
                  </w:r>
                </w:p>
              </w:tc>
              <w:tc>
                <w:tcPr>
                  <w:tcW w:w="1339" w:type="pct"/>
                  <w:tcBorders>
                    <w:tl2br w:val="nil"/>
                    <w:tr2bl w:val="nil"/>
                  </w:tcBorders>
                  <w:noWrap w:val="0"/>
                  <w:vAlign w:val="center"/>
                </w:tcPr>
                <w:p w14:paraId="56CC5C80">
                  <w:pPr>
                    <w:bidi w:val="0"/>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水</w:t>
                  </w:r>
                </w:p>
              </w:tc>
              <w:tc>
                <w:tcPr>
                  <w:tcW w:w="1078" w:type="pct"/>
                  <w:tcBorders>
                    <w:tl2br w:val="nil"/>
                    <w:tr2bl w:val="nil"/>
                  </w:tcBorders>
                  <w:noWrap w:val="0"/>
                  <w:vAlign w:val="center"/>
                </w:tcPr>
                <w:p w14:paraId="68F6E147">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192</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/a</w:t>
                  </w:r>
                </w:p>
              </w:tc>
              <w:tc>
                <w:tcPr>
                  <w:tcW w:w="993" w:type="pct"/>
                  <w:tcBorders>
                    <w:tl2br w:val="nil"/>
                    <w:tr2bl w:val="nil"/>
                  </w:tcBorders>
                  <w:noWrap w:val="0"/>
                  <w:vAlign w:val="center"/>
                </w:tcPr>
                <w:p w14:paraId="57195D9D">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w:t>
                  </w:r>
                </w:p>
              </w:tc>
              <w:tc>
                <w:tcPr>
                  <w:tcW w:w="1186" w:type="pct"/>
                  <w:tcBorders>
                    <w:tl2br w:val="nil"/>
                    <w:tr2bl w:val="nil"/>
                  </w:tcBorders>
                  <w:noWrap w:val="0"/>
                  <w:vAlign w:val="center"/>
                </w:tcPr>
                <w:p w14:paraId="145E1910">
                  <w:pPr>
                    <w:bidi w:val="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市政用水</w:t>
                  </w:r>
                </w:p>
              </w:tc>
            </w:tr>
            <w:tr w14:paraId="6A90C8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03" w:type="pct"/>
                  <w:tcBorders>
                    <w:tl2br w:val="nil"/>
                    <w:tr2bl w:val="nil"/>
                  </w:tcBorders>
                  <w:noWrap w:val="0"/>
                  <w:vAlign w:val="center"/>
                </w:tcPr>
                <w:p w14:paraId="45477B7F">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13</w:t>
                  </w:r>
                </w:p>
              </w:tc>
              <w:tc>
                <w:tcPr>
                  <w:tcW w:w="1339" w:type="pct"/>
                  <w:tcBorders>
                    <w:tl2br w:val="nil"/>
                    <w:tr2bl w:val="nil"/>
                  </w:tcBorders>
                  <w:noWrap w:val="0"/>
                  <w:vAlign w:val="center"/>
                </w:tcPr>
                <w:p w14:paraId="3957F58C">
                  <w:pPr>
                    <w:bidi w:val="0"/>
                    <w:jc w:val="center"/>
                    <w:rPr>
                      <w:rFonts w:hint="default" w:ascii="Times New Roman" w:hAnsi="Times New Roman" w:cs="Times New Roman"/>
                      <w:color w:val="auto"/>
                    </w:rPr>
                  </w:pPr>
                  <w:r>
                    <w:rPr>
                      <w:rFonts w:hint="default" w:ascii="Times New Roman" w:hAnsi="Times New Roman" w:cs="Times New Roman"/>
                      <w:color w:val="auto"/>
                    </w:rPr>
                    <w:t>电</w:t>
                  </w:r>
                </w:p>
              </w:tc>
              <w:tc>
                <w:tcPr>
                  <w:tcW w:w="1078" w:type="pct"/>
                  <w:tcBorders>
                    <w:tl2br w:val="nil"/>
                    <w:tr2bl w:val="nil"/>
                  </w:tcBorders>
                  <w:noWrap w:val="0"/>
                  <w:vAlign w:val="center"/>
                </w:tcPr>
                <w:p w14:paraId="1F24B10F">
                  <w:pPr>
                    <w:bidi w:val="0"/>
                    <w:jc w:val="center"/>
                    <w:rPr>
                      <w:rFonts w:hint="default" w:ascii="Times New Roman" w:hAnsi="Times New Roman" w:cs="Times New Roman"/>
                      <w:color w:val="auto"/>
                    </w:rPr>
                  </w:pPr>
                  <w:r>
                    <w:rPr>
                      <w:rFonts w:hint="eastAsia" w:ascii="Times New Roman" w:hAnsi="Times New Roman" w:cs="Times New Roman"/>
                      <w:color w:val="auto"/>
                      <w:lang w:val="en-US" w:eastAsia="zh-CN"/>
                    </w:rPr>
                    <w:t>119.52</w:t>
                  </w:r>
                  <w:r>
                    <w:rPr>
                      <w:rFonts w:hint="default" w:ascii="Times New Roman" w:hAnsi="Times New Roman" w:cs="Times New Roman"/>
                      <w:color w:val="auto"/>
                    </w:rPr>
                    <w:t>万</w:t>
                  </w:r>
                  <w:r>
                    <w:rPr>
                      <w:rFonts w:hint="eastAsia" w:ascii="Times New Roman" w:hAnsi="Times New Roman" w:cs="Times New Roman"/>
                      <w:color w:val="auto"/>
                      <w:lang w:val="en-US" w:eastAsia="zh-CN"/>
                    </w:rPr>
                    <w:t>k</w:t>
                  </w:r>
                  <w:r>
                    <w:rPr>
                      <w:rFonts w:hint="default" w:ascii="Times New Roman" w:hAnsi="Times New Roman" w:cs="Times New Roman"/>
                      <w:color w:val="auto"/>
                    </w:rPr>
                    <w:t>W</w:t>
                  </w:r>
                  <w:r>
                    <w:rPr>
                      <w:rFonts w:hint="eastAsia" w:ascii="Times New Roman" w:hAnsi="Times New Roman" w:cs="Times New Roman"/>
                      <w:color w:val="auto"/>
                      <w:lang w:val="en-US" w:eastAsia="zh-CN"/>
                    </w:rPr>
                    <w:t>·</w:t>
                  </w:r>
                  <w:r>
                    <w:rPr>
                      <w:rFonts w:hint="default" w:ascii="Times New Roman" w:hAnsi="Times New Roman" w:cs="Times New Roman"/>
                      <w:color w:val="auto"/>
                    </w:rPr>
                    <w:t>h/a</w:t>
                  </w:r>
                </w:p>
              </w:tc>
              <w:tc>
                <w:tcPr>
                  <w:tcW w:w="993" w:type="pct"/>
                  <w:tcBorders>
                    <w:tl2br w:val="nil"/>
                    <w:tr2bl w:val="nil"/>
                  </w:tcBorders>
                  <w:noWrap w:val="0"/>
                  <w:vAlign w:val="center"/>
                </w:tcPr>
                <w:p w14:paraId="2B056D98">
                  <w:pPr>
                    <w:bidi w:val="0"/>
                    <w:jc w:val="center"/>
                    <w:rPr>
                      <w:rFonts w:hint="eastAsia" w:ascii="Times New Roman" w:hAnsi="Times New Roman" w:eastAsia="宋体" w:cs="Times New Roman"/>
                      <w:color w:val="auto"/>
                      <w:lang w:eastAsia="zh-CN"/>
                    </w:rPr>
                  </w:pPr>
                  <w:r>
                    <w:rPr>
                      <w:rFonts w:hint="eastAsia" w:ascii="Times New Roman" w:hAnsi="Times New Roman" w:cs="Times New Roman"/>
                      <w:color w:val="auto"/>
                      <w:lang w:val="en-US" w:eastAsia="zh-CN"/>
                    </w:rPr>
                    <w:t>/</w:t>
                  </w:r>
                </w:p>
              </w:tc>
              <w:tc>
                <w:tcPr>
                  <w:tcW w:w="1186" w:type="pct"/>
                  <w:tcBorders>
                    <w:tl2br w:val="nil"/>
                    <w:tr2bl w:val="nil"/>
                  </w:tcBorders>
                  <w:noWrap w:val="0"/>
                  <w:vAlign w:val="center"/>
                </w:tcPr>
                <w:p w14:paraId="678508F9">
                  <w:pPr>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rPr>
                    <w:t>采暖季最大用量</w:t>
                  </w:r>
                </w:p>
              </w:tc>
            </w:tr>
            <w:tr w14:paraId="3107AB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000" w:type="pct"/>
                  <w:gridSpan w:val="5"/>
                  <w:tcBorders>
                    <w:tl2br w:val="nil"/>
                    <w:tr2bl w:val="nil"/>
                  </w:tcBorders>
                  <w:noWrap w:val="0"/>
                  <w:vAlign w:val="center"/>
                </w:tcPr>
                <w:p w14:paraId="5B6B6302">
                  <w:pPr>
                    <w:bidi w:val="0"/>
                    <w:jc w:val="both"/>
                    <w:rPr>
                      <w:rFonts w:hint="default" w:ascii="Times New Roman" w:hAnsi="Times New Roman" w:cs="Times New Roman"/>
                      <w:color w:val="auto"/>
                    </w:rPr>
                  </w:pPr>
                  <w:r>
                    <w:rPr>
                      <w:rFonts w:hint="eastAsia"/>
                      <w:b w:val="0"/>
                      <w:bCs w:val="0"/>
                      <w:color w:val="auto"/>
                      <w:sz w:val="21"/>
                      <w:szCs w:val="21"/>
                      <w:lang w:val="en-US" w:eastAsia="zh-CN"/>
                    </w:rPr>
                    <w:t>备注：钻井液配方：一开：膨润土+HV-CMC+FA367，二开：膨润土+FA367</w:t>
                  </w:r>
                  <w:r>
                    <w:rPr>
                      <w:rFonts w:hint="eastAsia"/>
                      <w:b w:val="0"/>
                      <w:bCs w:val="0"/>
                      <w:color w:val="auto"/>
                      <w:sz w:val="21"/>
                      <w:szCs w:val="21"/>
                      <w:vertAlign w:val="baseline"/>
                      <w:lang w:val="en-US" w:eastAsia="zh-CN"/>
                    </w:rPr>
                    <w:t>+KPAM</w:t>
                  </w:r>
                  <w:r>
                    <w:rPr>
                      <w:rFonts w:hint="eastAsia"/>
                      <w:b w:val="0"/>
                      <w:bCs w:val="0"/>
                      <w:color w:val="auto"/>
                      <w:sz w:val="21"/>
                      <w:szCs w:val="21"/>
                      <w:lang w:val="en-US" w:eastAsia="zh-CN"/>
                    </w:rPr>
                    <w:t>+NH</w:t>
                  </w:r>
                  <w:r>
                    <w:rPr>
                      <w:rFonts w:hint="eastAsia"/>
                      <w:b w:val="0"/>
                      <w:bCs w:val="0"/>
                      <w:color w:val="auto"/>
                      <w:sz w:val="21"/>
                      <w:szCs w:val="21"/>
                      <w:vertAlign w:val="subscript"/>
                      <w:lang w:val="en-US" w:eastAsia="zh-CN"/>
                    </w:rPr>
                    <w:t>4</w:t>
                  </w:r>
                  <w:r>
                    <w:rPr>
                      <w:rFonts w:hint="eastAsia"/>
                      <w:b w:val="0"/>
                      <w:bCs w:val="0"/>
                      <w:color w:val="auto"/>
                      <w:sz w:val="21"/>
                      <w:szCs w:val="21"/>
                      <w:lang w:val="en-US" w:eastAsia="zh-CN"/>
                    </w:rPr>
                    <w:t>-HPAN（水解聚丙烯腈铵盐）+SMP+SMC+润滑剂，均为水基钻井液</w:t>
                  </w:r>
                  <w:r>
                    <w:rPr>
                      <w:rFonts w:hint="eastAsia"/>
                      <w:b w:val="0"/>
                      <w:bCs w:val="0"/>
                      <w:color w:val="auto"/>
                      <w:sz w:val="22"/>
                      <w:szCs w:val="22"/>
                      <w:lang w:val="en-US" w:eastAsia="zh-CN"/>
                    </w:rPr>
                    <w:t>。</w:t>
                  </w:r>
                </w:p>
              </w:tc>
            </w:tr>
          </w:tbl>
          <w:p w14:paraId="132DA98E">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color w:val="auto"/>
                <w:lang w:val="en-US" w:eastAsia="zh-CN"/>
              </w:rPr>
            </w:pPr>
            <w:r>
              <w:rPr>
                <w:rFonts w:hint="eastAsia"/>
                <w:color w:val="auto"/>
                <w:lang w:val="en-US" w:eastAsia="zh-CN"/>
              </w:rPr>
              <w:t>膨润土粉：我国开发使用膨润土的历史悠久，原来只是作为一种洗涤剂。主要矿物成分是蒙脱石，含量在85-90%，为松散的土状，用手指搓磨时有滑感，小块体加水后体积胀大数倍至20-30倍，在水中呈悬浮状，水少时呈糊状。配置泥浆时使用，可保护井壁。</w:t>
            </w:r>
          </w:p>
          <w:p w14:paraId="1065731B">
            <w:pPr>
              <w:pStyle w:val="22"/>
              <w:bidi w:val="0"/>
              <w:rPr>
                <w:rFonts w:hint="default"/>
                <w:color w:val="auto"/>
                <w:lang w:val="en-US" w:eastAsia="zh-CN"/>
              </w:rPr>
            </w:pPr>
            <w:r>
              <w:rPr>
                <w:rFonts w:hint="eastAsia"/>
                <w:color w:val="auto"/>
                <w:lang w:val="en-US" w:eastAsia="zh-CN"/>
              </w:rPr>
              <w:t>羧甲基纤维素（CMC），是由天然纤维素经过化学改性得到的一种水溶性纤维素醚。由于羧甲基纤维素酸式结构的水溶性不好，为了能够更好地对其进行应用，其产品普遍制成钠盐。白色至淡黄色粉末、粒状或纤维状物质，吸湿性强，易溶于水，在中性或碱性时，溶液呈高粘度液。广泛用于石油工业掘井泥浆处理剂等，在水处理中用作絮凝剂，主要用于废水污泥处理，可以提高滤饼的固体含量。</w:t>
            </w:r>
          </w:p>
          <w:p w14:paraId="7709766B">
            <w:pPr>
              <w:pStyle w:val="22"/>
              <w:bidi w:val="0"/>
              <w:rPr>
                <w:rFonts w:hint="eastAsia"/>
                <w:color w:val="auto"/>
                <w:lang w:val="en-US" w:eastAsia="zh-CN"/>
              </w:rPr>
            </w:pPr>
            <w:r>
              <w:rPr>
                <w:rFonts w:hint="eastAsia"/>
                <w:color w:val="auto"/>
                <w:lang w:val="en-US" w:eastAsia="zh-CN"/>
              </w:rPr>
              <w:t>包被剂（FA-367）是由多种阴离子、非离子、有机离子单体共聚而成的水溶性高分子聚合物，在分子中引入阳离子基团的线性大分子聚合物，其外观为灰黄色粉末，用于钻井液主要作用起抑制岩屑分散和增加钻井液黏度的作用，其包被抑制能力相当强，因而具有较强的抗岩粉污染的容载能力，受岩粉污染净化处理容易，可以减少体系中的亚微米颗粒含量，有利于增加机械钻速和保护产层。</w:t>
            </w:r>
          </w:p>
          <w:p w14:paraId="3B6E03D6">
            <w:pPr>
              <w:pStyle w:val="22"/>
              <w:bidi w:val="0"/>
              <w:rPr>
                <w:rFonts w:hint="eastAsia"/>
                <w:color w:val="auto"/>
                <w:lang w:val="en-US" w:eastAsia="zh-CN"/>
              </w:rPr>
            </w:pPr>
            <w:r>
              <w:rPr>
                <w:rFonts w:hint="eastAsia"/>
                <w:color w:val="auto"/>
                <w:lang w:val="en-US" w:eastAsia="zh-CN"/>
              </w:rPr>
              <w:t>水解聚丙烯腈铵盐：本产品为淡黄色粉末，是一种钻井液用降滤失剂；含有—COOH、—COONH</w:t>
            </w:r>
            <w:r>
              <w:rPr>
                <w:rFonts w:hint="eastAsia"/>
                <w:color w:val="auto"/>
                <w:vertAlign w:val="subscript"/>
                <w:lang w:val="en-US" w:eastAsia="zh-CN"/>
              </w:rPr>
              <w:t>4</w:t>
            </w:r>
            <w:r>
              <w:rPr>
                <w:rFonts w:hint="eastAsia"/>
                <w:color w:val="auto"/>
                <w:lang w:val="en-US" w:eastAsia="zh-CN"/>
              </w:rPr>
              <w:t>、—CONH</w:t>
            </w:r>
            <w:r>
              <w:rPr>
                <w:rFonts w:hint="eastAsia"/>
                <w:color w:val="auto"/>
                <w:vertAlign w:val="subscript"/>
                <w:lang w:val="en-US" w:eastAsia="zh-CN"/>
              </w:rPr>
              <w:t>2</w:t>
            </w:r>
            <w:r>
              <w:rPr>
                <w:rFonts w:hint="eastAsia"/>
                <w:color w:val="auto"/>
                <w:lang w:val="en-US" w:eastAsia="zh-CN"/>
              </w:rPr>
              <w:t>、—CN等基团，分子量在10000~50000之间，有降低高压差失水的特殊功能和良好的热稳定性，能改善钻井液流变性，抑制黏土水化分散，具有一定的抗盐能力。由于NH</w:t>
            </w:r>
            <w:r>
              <w:rPr>
                <w:rFonts w:hint="eastAsia"/>
                <w:color w:val="auto"/>
                <w:vertAlign w:val="subscript"/>
                <w:lang w:val="en-US" w:eastAsia="zh-CN"/>
              </w:rPr>
              <w:t>4</w:t>
            </w:r>
            <w:r>
              <w:rPr>
                <w:rFonts w:hint="eastAsia"/>
                <w:color w:val="auto"/>
                <w:lang w:val="en-US" w:eastAsia="zh-CN"/>
              </w:rPr>
              <w:t>在页岩中的镶嵌作用，具有一定的防塌效果。</w:t>
            </w:r>
          </w:p>
          <w:p w14:paraId="4D433716">
            <w:pPr>
              <w:pStyle w:val="22"/>
              <w:bidi w:val="0"/>
              <w:rPr>
                <w:rFonts w:hint="eastAsia"/>
                <w:color w:val="auto"/>
                <w:lang w:val="en-US" w:eastAsia="zh-CN"/>
              </w:rPr>
            </w:pPr>
            <w:r>
              <w:rPr>
                <w:rFonts w:hint="eastAsia"/>
                <w:color w:val="auto"/>
                <w:lang w:val="en-US" w:eastAsia="zh-CN"/>
              </w:rPr>
              <w:t>磺甲基酚醛树脂（SMP）：是水溶性树脂，能耐高温、降失水，同时有防塌、控制黏度的作用，抗盐性能也好。用作油田钻井泥浆的降失水剂。</w:t>
            </w:r>
          </w:p>
          <w:p w14:paraId="03429DC0">
            <w:pPr>
              <w:pStyle w:val="22"/>
              <w:bidi w:val="0"/>
              <w:rPr>
                <w:rFonts w:hint="eastAsia"/>
                <w:color w:val="auto"/>
                <w:lang w:val="en-US" w:eastAsia="zh-CN"/>
              </w:rPr>
            </w:pPr>
            <w:r>
              <w:rPr>
                <w:rFonts w:hint="eastAsia"/>
                <w:color w:val="auto"/>
                <w:lang w:val="en-US" w:eastAsia="zh-CN"/>
              </w:rPr>
              <w:t>磺化褐煤（SMC）：是褐煤腐植酸的衍生物，是褐煤在磺化剂、适当温度等条件下合成制得的，其外观性状为棕黑色粉末，是一种能耐200℃～220℃高温的淡水钻井液的降粘剂和滤失量控制剂，是一种廉价的泥浆处理剂。主要用于石油、地质勘探钻井。在钻井泥浆中具有明显的降滤失和抑制降粘作用，本产品可直接加入各种水基钻井液体系中，多与腐植酸钾、褐煤树脂、磺化酚醛树脂等处理剂配合使用。</w:t>
            </w:r>
          </w:p>
          <w:p w14:paraId="5FF47E11">
            <w:pPr>
              <w:pStyle w:val="22"/>
              <w:bidi w:val="0"/>
              <w:rPr>
                <w:rFonts w:hint="eastAsia"/>
                <w:b/>
                <w:bCs/>
                <w:color w:val="auto"/>
                <w:lang w:val="en-US" w:eastAsia="zh-CN"/>
              </w:rPr>
            </w:pPr>
            <w:r>
              <w:rPr>
                <w:rFonts w:hint="eastAsia" w:ascii="Times New Roman" w:hAnsi="Times New Roman" w:cs="Times New Roman"/>
                <w:b/>
                <w:bCs/>
                <w:color w:val="auto"/>
                <w:sz w:val="24"/>
                <w:szCs w:val="24"/>
                <w:lang w:val="en-US" w:eastAsia="zh-CN"/>
              </w:rPr>
              <w:t>6</w:t>
            </w:r>
            <w:r>
              <w:rPr>
                <w:rFonts w:hint="default" w:ascii="Times New Roman" w:hAnsi="Times New Roman" w:cs="Times New Roman"/>
                <w:b/>
                <w:bCs/>
                <w:color w:val="auto"/>
                <w:sz w:val="24"/>
                <w:szCs w:val="24"/>
              </w:rPr>
              <w:t>、</w:t>
            </w:r>
            <w:r>
              <w:rPr>
                <w:rFonts w:hint="eastAsia"/>
                <w:b/>
                <w:bCs/>
                <w:color w:val="auto"/>
                <w:lang w:val="en-US" w:eastAsia="zh-CN"/>
              </w:rPr>
              <w:t>主要生产设备</w:t>
            </w:r>
          </w:p>
          <w:p w14:paraId="7CC48383">
            <w:pPr>
              <w:pStyle w:val="22"/>
              <w:bidi w:val="0"/>
              <w:rPr>
                <w:rFonts w:hint="eastAsia"/>
                <w:color w:val="auto"/>
                <w:lang w:val="en-US" w:eastAsia="zh-CN"/>
              </w:rPr>
            </w:pPr>
            <w:r>
              <w:rPr>
                <w:rFonts w:hint="eastAsia"/>
                <w:color w:val="auto"/>
                <w:lang w:val="en-US" w:eastAsia="zh-CN"/>
              </w:rPr>
              <w:t>本项目钻井设备见表2-6，项目运营期主要设备见表2-7。</w:t>
            </w:r>
          </w:p>
          <w:p w14:paraId="652D37AC">
            <w:pPr>
              <w:jc w:val="center"/>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rPr>
              <w:t>表</w:t>
            </w:r>
            <w:r>
              <w:rPr>
                <w:rFonts w:hint="default" w:ascii="Times New Roman" w:hAnsi="Times New Roman" w:cs="Times New Roman"/>
                <w:b/>
                <w:bCs/>
                <w:color w:val="auto"/>
                <w:sz w:val="24"/>
                <w:szCs w:val="24"/>
                <w:lang w:val="en-US" w:eastAsia="zh-CN"/>
              </w:rPr>
              <w:t>2-</w:t>
            </w:r>
            <w:r>
              <w:rPr>
                <w:rFonts w:hint="eastAsia" w:cs="Times New Roman"/>
                <w:b/>
                <w:bCs/>
                <w:color w:val="auto"/>
                <w:sz w:val="24"/>
                <w:szCs w:val="24"/>
                <w:lang w:val="en-US" w:eastAsia="zh-CN"/>
              </w:rPr>
              <w:t>6</w:t>
            </w:r>
            <w:r>
              <w:rPr>
                <w:rFonts w:hint="default" w:ascii="Times New Roman" w:hAnsi="Times New Roman" w:cs="Times New Roman"/>
                <w:b/>
                <w:bCs/>
                <w:color w:val="auto"/>
                <w:sz w:val="24"/>
                <w:szCs w:val="24"/>
                <w:lang w:val="en-US" w:eastAsia="zh-CN"/>
              </w:rPr>
              <w:t xml:space="preserve">  钻井</w:t>
            </w:r>
            <w:r>
              <w:rPr>
                <w:rFonts w:hint="default" w:ascii="Times New Roman" w:hAnsi="Times New Roman" w:cs="Times New Roman"/>
                <w:b/>
                <w:bCs/>
                <w:color w:val="auto"/>
                <w:sz w:val="24"/>
                <w:szCs w:val="24"/>
              </w:rPr>
              <w:t>主要生产设备</w:t>
            </w:r>
            <w:r>
              <w:rPr>
                <w:rFonts w:hint="default" w:ascii="Times New Roman" w:hAnsi="Times New Roman" w:cs="Times New Roman"/>
                <w:b/>
                <w:bCs/>
                <w:color w:val="auto"/>
                <w:sz w:val="24"/>
                <w:szCs w:val="24"/>
                <w:lang w:val="en-US" w:eastAsia="zh-CN"/>
              </w:rPr>
              <w:t>一览表</w:t>
            </w:r>
          </w:p>
          <w:tbl>
            <w:tblPr>
              <w:tblStyle w:val="15"/>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53"/>
              <w:gridCol w:w="1096"/>
              <w:gridCol w:w="1097"/>
              <w:gridCol w:w="2196"/>
              <w:gridCol w:w="1424"/>
              <w:gridCol w:w="1480"/>
            </w:tblGrid>
            <w:tr w14:paraId="52D11D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77" w:type="pct"/>
                  <w:tcBorders>
                    <w:tl2br w:val="nil"/>
                    <w:tr2bl w:val="nil"/>
                  </w:tcBorders>
                  <w:noWrap w:val="0"/>
                  <w:vAlign w:val="center"/>
                </w:tcPr>
                <w:p w14:paraId="6BA0D8FF">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序号</w:t>
                  </w:r>
                </w:p>
              </w:tc>
              <w:tc>
                <w:tcPr>
                  <w:tcW w:w="1329" w:type="pct"/>
                  <w:gridSpan w:val="2"/>
                  <w:tcBorders>
                    <w:tl2br w:val="nil"/>
                    <w:tr2bl w:val="nil"/>
                  </w:tcBorders>
                  <w:noWrap w:val="0"/>
                  <w:vAlign w:val="center"/>
                </w:tcPr>
                <w:p w14:paraId="5830E41E">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设备名称</w:t>
                  </w:r>
                </w:p>
              </w:tc>
              <w:tc>
                <w:tcPr>
                  <w:tcW w:w="1331" w:type="pct"/>
                  <w:tcBorders>
                    <w:tl2br w:val="nil"/>
                    <w:tr2bl w:val="nil"/>
                  </w:tcBorders>
                  <w:noWrap w:val="0"/>
                  <w:vAlign w:val="center"/>
                </w:tcPr>
                <w:p w14:paraId="192C6F9C">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型号</w:t>
                  </w:r>
                </w:p>
              </w:tc>
              <w:tc>
                <w:tcPr>
                  <w:tcW w:w="863" w:type="pct"/>
                  <w:tcBorders>
                    <w:tl2br w:val="nil"/>
                    <w:tr2bl w:val="nil"/>
                  </w:tcBorders>
                  <w:noWrap w:val="0"/>
                  <w:vAlign w:val="center"/>
                </w:tcPr>
                <w:p w14:paraId="7A02109A">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数量</w:t>
                  </w:r>
                </w:p>
              </w:tc>
              <w:tc>
                <w:tcPr>
                  <w:tcW w:w="897" w:type="pct"/>
                  <w:tcBorders>
                    <w:tl2br w:val="nil"/>
                    <w:tr2bl w:val="nil"/>
                  </w:tcBorders>
                  <w:noWrap w:val="0"/>
                  <w:vAlign w:val="center"/>
                </w:tcPr>
                <w:p w14:paraId="5A1378FD">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单位</w:t>
                  </w:r>
                </w:p>
              </w:tc>
            </w:tr>
            <w:tr w14:paraId="0DD206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77" w:type="pct"/>
                  <w:tcBorders>
                    <w:tl2br w:val="nil"/>
                    <w:tr2bl w:val="nil"/>
                  </w:tcBorders>
                  <w:noWrap w:val="0"/>
                  <w:vAlign w:val="center"/>
                </w:tcPr>
                <w:p w14:paraId="111EBE35">
                  <w:pPr>
                    <w:jc w:val="center"/>
                    <w:rPr>
                      <w:rFonts w:hint="default" w:ascii="Times New Roman" w:hAnsi="Times New Roman" w:cs="Times New Roman"/>
                      <w:color w:val="auto"/>
                      <w:lang w:val="en-US" w:eastAsia="zh-CN"/>
                    </w:rPr>
                  </w:pPr>
                  <w:r>
                    <w:rPr>
                      <w:rFonts w:hint="default" w:ascii="Times New Roman" w:hAnsi="Times New Roman" w:cs="Times New Roman"/>
                      <w:color w:val="auto"/>
                    </w:rPr>
                    <w:t>1</w:t>
                  </w:r>
                </w:p>
              </w:tc>
              <w:tc>
                <w:tcPr>
                  <w:tcW w:w="1329" w:type="pct"/>
                  <w:gridSpan w:val="2"/>
                  <w:tcBorders>
                    <w:tl2br w:val="nil"/>
                    <w:tr2bl w:val="nil"/>
                  </w:tcBorders>
                  <w:noWrap w:val="0"/>
                  <w:vAlign w:val="center"/>
                </w:tcPr>
                <w:p w14:paraId="461558DE">
                  <w:pPr>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sz w:val="21"/>
                      <w:szCs w:val="21"/>
                    </w:rPr>
                    <w:t>绞车</w:t>
                  </w:r>
                </w:p>
              </w:tc>
              <w:tc>
                <w:tcPr>
                  <w:tcW w:w="1331" w:type="pct"/>
                  <w:tcBorders>
                    <w:tl2br w:val="nil"/>
                    <w:tr2bl w:val="nil"/>
                  </w:tcBorders>
                  <w:noWrap w:val="0"/>
                  <w:vAlign w:val="center"/>
                </w:tcPr>
                <w:p w14:paraId="16A92A69">
                  <w:pPr>
                    <w:bidi w:val="0"/>
                    <w:jc w:val="center"/>
                    <w:rPr>
                      <w:rFonts w:hint="default" w:ascii="Times New Roman" w:hAnsi="Times New Roman" w:cs="Times New Roman"/>
                      <w:color w:val="auto"/>
                      <w:szCs w:val="21"/>
                    </w:rPr>
                  </w:pPr>
                  <w:r>
                    <w:rPr>
                      <w:rFonts w:hint="default" w:ascii="Times New Roman" w:hAnsi="Times New Roman" w:cs="Times New Roman"/>
                      <w:color w:val="auto"/>
                      <w:sz w:val="21"/>
                      <w:szCs w:val="21"/>
                    </w:rPr>
                    <w:t>大庆130-Ⅱ</w:t>
                  </w:r>
                </w:p>
              </w:tc>
              <w:tc>
                <w:tcPr>
                  <w:tcW w:w="863" w:type="pct"/>
                  <w:tcBorders>
                    <w:tl2br w:val="nil"/>
                    <w:tr2bl w:val="nil"/>
                  </w:tcBorders>
                  <w:noWrap w:val="0"/>
                  <w:vAlign w:val="center"/>
                </w:tcPr>
                <w:p w14:paraId="6F32EA52">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897" w:type="pct"/>
                  <w:tcBorders>
                    <w:tl2br w:val="nil"/>
                    <w:tr2bl w:val="nil"/>
                  </w:tcBorders>
                  <w:noWrap w:val="0"/>
                  <w:vAlign w:val="center"/>
                </w:tcPr>
                <w:p w14:paraId="069E20B9">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台</w:t>
                  </w:r>
                </w:p>
              </w:tc>
            </w:tr>
            <w:tr w14:paraId="0ABEAA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77" w:type="pct"/>
                  <w:tcBorders>
                    <w:tl2br w:val="nil"/>
                    <w:tr2bl w:val="nil"/>
                  </w:tcBorders>
                  <w:noWrap w:val="0"/>
                  <w:vAlign w:val="center"/>
                </w:tcPr>
                <w:p w14:paraId="1F7340D8">
                  <w:pPr>
                    <w:jc w:val="center"/>
                    <w:rPr>
                      <w:rFonts w:hint="default" w:ascii="Times New Roman" w:hAnsi="Times New Roman" w:cs="Times New Roman"/>
                      <w:color w:val="auto"/>
                      <w:lang w:val="en-US" w:eastAsia="zh-CN"/>
                    </w:rPr>
                  </w:pPr>
                  <w:r>
                    <w:rPr>
                      <w:rFonts w:hint="default" w:ascii="Times New Roman" w:hAnsi="Times New Roman" w:cs="Times New Roman"/>
                      <w:color w:val="auto"/>
                    </w:rPr>
                    <w:t>2</w:t>
                  </w:r>
                </w:p>
              </w:tc>
              <w:tc>
                <w:tcPr>
                  <w:tcW w:w="1329" w:type="pct"/>
                  <w:gridSpan w:val="2"/>
                  <w:tcBorders>
                    <w:tl2br w:val="nil"/>
                    <w:tr2bl w:val="nil"/>
                  </w:tcBorders>
                  <w:noWrap w:val="0"/>
                  <w:vAlign w:val="center"/>
                </w:tcPr>
                <w:p w14:paraId="2E149412">
                  <w:pPr>
                    <w:bidi w:val="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井架</w:t>
                  </w:r>
                </w:p>
              </w:tc>
              <w:tc>
                <w:tcPr>
                  <w:tcW w:w="1331" w:type="pct"/>
                  <w:tcBorders>
                    <w:tl2br w:val="nil"/>
                    <w:tr2bl w:val="nil"/>
                  </w:tcBorders>
                  <w:noWrap w:val="0"/>
                  <w:vAlign w:val="center"/>
                </w:tcPr>
                <w:p w14:paraId="178565AB">
                  <w:pPr>
                    <w:keepNext w:val="0"/>
                    <w:keepLines w:val="0"/>
                    <w:pageBreakBefore w:val="0"/>
                    <w:widowControl/>
                    <w:kinsoku/>
                    <w:wordWrap/>
                    <w:overflowPunct/>
                    <w:topLinePunct w:val="0"/>
                    <w:autoSpaceDE/>
                    <w:autoSpaceDN/>
                    <w:bidi w:val="0"/>
                    <w:adjustRightInd w:val="0"/>
                    <w:snapToGrid/>
                    <w:spacing w:line="240" w:lineRule="exact"/>
                    <w:jc w:val="center"/>
                    <w:textAlignment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rPr>
                    <w:t>JJ170/41-K</w:t>
                  </w:r>
                </w:p>
              </w:tc>
              <w:tc>
                <w:tcPr>
                  <w:tcW w:w="863" w:type="pct"/>
                  <w:tcBorders>
                    <w:tl2br w:val="nil"/>
                    <w:tr2bl w:val="nil"/>
                  </w:tcBorders>
                  <w:noWrap w:val="0"/>
                  <w:vAlign w:val="center"/>
                </w:tcPr>
                <w:p w14:paraId="50CDD014">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897" w:type="pct"/>
                  <w:tcBorders>
                    <w:tl2br w:val="nil"/>
                    <w:tr2bl w:val="nil"/>
                  </w:tcBorders>
                  <w:noWrap w:val="0"/>
                  <w:vAlign w:val="center"/>
                </w:tcPr>
                <w:p w14:paraId="693CB2B5">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台</w:t>
                  </w:r>
                </w:p>
              </w:tc>
            </w:tr>
            <w:tr w14:paraId="41DECC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77" w:type="pct"/>
                  <w:tcBorders>
                    <w:tl2br w:val="nil"/>
                    <w:tr2bl w:val="nil"/>
                  </w:tcBorders>
                  <w:noWrap w:val="0"/>
                  <w:vAlign w:val="center"/>
                </w:tcPr>
                <w:p w14:paraId="0F1FCA8B">
                  <w:pPr>
                    <w:jc w:val="center"/>
                    <w:rPr>
                      <w:rFonts w:hint="default" w:ascii="Times New Roman" w:hAnsi="Times New Roman" w:cs="Times New Roman"/>
                      <w:color w:val="auto"/>
                      <w:lang w:val="en-US" w:eastAsia="zh-CN"/>
                    </w:rPr>
                  </w:pPr>
                  <w:r>
                    <w:rPr>
                      <w:rFonts w:hint="default" w:ascii="Times New Roman" w:hAnsi="Times New Roman" w:cs="Times New Roman"/>
                      <w:color w:val="auto"/>
                    </w:rPr>
                    <w:t>3</w:t>
                  </w:r>
                </w:p>
              </w:tc>
              <w:tc>
                <w:tcPr>
                  <w:tcW w:w="1329" w:type="pct"/>
                  <w:gridSpan w:val="2"/>
                  <w:tcBorders>
                    <w:tl2br w:val="nil"/>
                    <w:tr2bl w:val="nil"/>
                  </w:tcBorders>
                  <w:noWrap w:val="0"/>
                  <w:vAlign w:val="center"/>
                </w:tcPr>
                <w:p w14:paraId="7B12106E">
                  <w:pPr>
                    <w:bidi w:val="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天车</w:t>
                  </w:r>
                </w:p>
              </w:tc>
              <w:tc>
                <w:tcPr>
                  <w:tcW w:w="1331" w:type="pct"/>
                  <w:tcBorders>
                    <w:tl2br w:val="nil"/>
                    <w:tr2bl w:val="nil"/>
                  </w:tcBorders>
                  <w:noWrap w:val="0"/>
                  <w:vAlign w:val="center"/>
                </w:tcPr>
                <w:p w14:paraId="60DAFA1B">
                  <w:pPr>
                    <w:keepNext w:val="0"/>
                    <w:keepLines w:val="0"/>
                    <w:pageBreakBefore w:val="0"/>
                    <w:widowControl/>
                    <w:kinsoku/>
                    <w:wordWrap/>
                    <w:overflowPunct/>
                    <w:topLinePunct w:val="0"/>
                    <w:autoSpaceDE/>
                    <w:autoSpaceDN/>
                    <w:bidi w:val="0"/>
                    <w:adjustRightInd w:val="0"/>
                    <w:snapToGrid/>
                    <w:spacing w:line="240" w:lineRule="exact"/>
                    <w:jc w:val="center"/>
                    <w:textAlignment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rPr>
                    <w:t>TC4-225</w:t>
                  </w:r>
                </w:p>
              </w:tc>
              <w:tc>
                <w:tcPr>
                  <w:tcW w:w="863" w:type="pct"/>
                  <w:tcBorders>
                    <w:tl2br w:val="nil"/>
                    <w:tr2bl w:val="nil"/>
                  </w:tcBorders>
                  <w:noWrap w:val="0"/>
                  <w:vAlign w:val="center"/>
                </w:tcPr>
                <w:p w14:paraId="479A33B2">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897" w:type="pct"/>
                  <w:tcBorders>
                    <w:tl2br w:val="nil"/>
                    <w:tr2bl w:val="nil"/>
                  </w:tcBorders>
                  <w:noWrap w:val="0"/>
                  <w:vAlign w:val="center"/>
                </w:tcPr>
                <w:p w14:paraId="260D3438">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台</w:t>
                  </w:r>
                </w:p>
              </w:tc>
            </w:tr>
            <w:tr w14:paraId="167052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77" w:type="pct"/>
                  <w:tcBorders>
                    <w:tl2br w:val="nil"/>
                    <w:tr2bl w:val="nil"/>
                  </w:tcBorders>
                  <w:noWrap w:val="0"/>
                  <w:vAlign w:val="center"/>
                </w:tcPr>
                <w:p w14:paraId="6B04EEEC">
                  <w:pPr>
                    <w:jc w:val="center"/>
                    <w:rPr>
                      <w:rFonts w:hint="default" w:ascii="Times New Roman" w:hAnsi="Times New Roman" w:cs="Times New Roman"/>
                      <w:color w:val="auto"/>
                      <w:lang w:val="en-US" w:eastAsia="zh-CN"/>
                    </w:rPr>
                  </w:pPr>
                  <w:r>
                    <w:rPr>
                      <w:rFonts w:hint="default" w:ascii="Times New Roman" w:hAnsi="Times New Roman" w:cs="Times New Roman"/>
                      <w:color w:val="auto"/>
                    </w:rPr>
                    <w:t>4</w:t>
                  </w:r>
                </w:p>
              </w:tc>
              <w:tc>
                <w:tcPr>
                  <w:tcW w:w="1329" w:type="pct"/>
                  <w:gridSpan w:val="2"/>
                  <w:tcBorders>
                    <w:tl2br w:val="nil"/>
                    <w:tr2bl w:val="nil"/>
                  </w:tcBorders>
                  <w:noWrap w:val="0"/>
                  <w:vAlign w:val="center"/>
                </w:tcPr>
                <w:p w14:paraId="0569A0B6">
                  <w:pPr>
                    <w:bidi w:val="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游车</w:t>
                  </w:r>
                </w:p>
              </w:tc>
              <w:tc>
                <w:tcPr>
                  <w:tcW w:w="1331" w:type="pct"/>
                  <w:tcBorders>
                    <w:tl2br w:val="nil"/>
                    <w:tr2bl w:val="nil"/>
                  </w:tcBorders>
                  <w:noWrap w:val="0"/>
                  <w:vAlign w:val="center"/>
                </w:tcPr>
                <w:p w14:paraId="38007FDA">
                  <w:pPr>
                    <w:keepNext w:val="0"/>
                    <w:keepLines w:val="0"/>
                    <w:pageBreakBefore w:val="0"/>
                    <w:widowControl/>
                    <w:kinsoku/>
                    <w:wordWrap/>
                    <w:overflowPunct/>
                    <w:topLinePunct w:val="0"/>
                    <w:autoSpaceDE/>
                    <w:autoSpaceDN/>
                    <w:bidi w:val="0"/>
                    <w:adjustRightInd w:val="0"/>
                    <w:snapToGrid/>
                    <w:spacing w:line="240" w:lineRule="exact"/>
                    <w:jc w:val="center"/>
                    <w:textAlignment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rPr>
                    <w:t>YC-225</w:t>
                  </w:r>
                </w:p>
              </w:tc>
              <w:tc>
                <w:tcPr>
                  <w:tcW w:w="863" w:type="pct"/>
                  <w:tcBorders>
                    <w:tl2br w:val="nil"/>
                    <w:tr2bl w:val="nil"/>
                  </w:tcBorders>
                  <w:noWrap w:val="0"/>
                  <w:vAlign w:val="center"/>
                </w:tcPr>
                <w:p w14:paraId="068AA4E5">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897" w:type="pct"/>
                  <w:tcBorders>
                    <w:tl2br w:val="nil"/>
                    <w:tr2bl w:val="nil"/>
                  </w:tcBorders>
                  <w:noWrap w:val="0"/>
                  <w:vAlign w:val="center"/>
                </w:tcPr>
                <w:p w14:paraId="6F5CF52D">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台</w:t>
                  </w:r>
                </w:p>
              </w:tc>
            </w:tr>
            <w:tr w14:paraId="4BD77E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77" w:type="pct"/>
                  <w:tcBorders>
                    <w:tl2br w:val="nil"/>
                    <w:tr2bl w:val="nil"/>
                  </w:tcBorders>
                  <w:noWrap w:val="0"/>
                  <w:vAlign w:val="center"/>
                </w:tcPr>
                <w:p w14:paraId="46866DBE">
                  <w:pPr>
                    <w:jc w:val="center"/>
                    <w:rPr>
                      <w:rFonts w:hint="default" w:ascii="Times New Roman" w:hAnsi="Times New Roman" w:cs="Times New Roman"/>
                      <w:color w:val="auto"/>
                      <w:lang w:val="en-US" w:eastAsia="zh-CN"/>
                    </w:rPr>
                  </w:pPr>
                  <w:r>
                    <w:rPr>
                      <w:rFonts w:hint="default" w:ascii="Times New Roman" w:hAnsi="Times New Roman" w:cs="Times New Roman"/>
                      <w:color w:val="auto"/>
                    </w:rPr>
                    <w:t>5</w:t>
                  </w:r>
                </w:p>
              </w:tc>
              <w:tc>
                <w:tcPr>
                  <w:tcW w:w="1329" w:type="pct"/>
                  <w:gridSpan w:val="2"/>
                  <w:tcBorders>
                    <w:tl2br w:val="nil"/>
                    <w:tr2bl w:val="nil"/>
                  </w:tcBorders>
                  <w:noWrap w:val="0"/>
                  <w:vAlign w:val="center"/>
                </w:tcPr>
                <w:p w14:paraId="07232EEF">
                  <w:pPr>
                    <w:bidi w:val="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大钩</w:t>
                  </w:r>
                </w:p>
              </w:tc>
              <w:tc>
                <w:tcPr>
                  <w:tcW w:w="1331" w:type="pct"/>
                  <w:tcBorders>
                    <w:tl2br w:val="nil"/>
                    <w:tr2bl w:val="nil"/>
                  </w:tcBorders>
                  <w:noWrap w:val="0"/>
                  <w:vAlign w:val="center"/>
                </w:tcPr>
                <w:p w14:paraId="641FACB9">
                  <w:pPr>
                    <w:keepNext w:val="0"/>
                    <w:keepLines w:val="0"/>
                    <w:pageBreakBefore w:val="0"/>
                    <w:widowControl/>
                    <w:kinsoku/>
                    <w:wordWrap/>
                    <w:overflowPunct/>
                    <w:topLinePunct w:val="0"/>
                    <w:autoSpaceDE/>
                    <w:autoSpaceDN/>
                    <w:bidi w:val="0"/>
                    <w:adjustRightInd w:val="0"/>
                    <w:snapToGrid/>
                    <w:spacing w:line="240" w:lineRule="exact"/>
                    <w:jc w:val="center"/>
                    <w:textAlignment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rPr>
                    <w:t>DG-225</w:t>
                  </w:r>
                </w:p>
              </w:tc>
              <w:tc>
                <w:tcPr>
                  <w:tcW w:w="863" w:type="pct"/>
                  <w:tcBorders>
                    <w:tl2br w:val="nil"/>
                    <w:tr2bl w:val="nil"/>
                  </w:tcBorders>
                  <w:noWrap w:val="0"/>
                  <w:vAlign w:val="center"/>
                </w:tcPr>
                <w:p w14:paraId="1FDB4743">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897" w:type="pct"/>
                  <w:tcBorders>
                    <w:tl2br w:val="nil"/>
                    <w:tr2bl w:val="nil"/>
                  </w:tcBorders>
                  <w:noWrap w:val="0"/>
                  <w:vAlign w:val="center"/>
                </w:tcPr>
                <w:p w14:paraId="2BD98475">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台</w:t>
                  </w:r>
                </w:p>
              </w:tc>
            </w:tr>
            <w:tr w14:paraId="5EDF92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77" w:type="pct"/>
                  <w:tcBorders>
                    <w:tl2br w:val="nil"/>
                    <w:tr2bl w:val="nil"/>
                  </w:tcBorders>
                  <w:noWrap w:val="0"/>
                  <w:vAlign w:val="center"/>
                </w:tcPr>
                <w:p w14:paraId="446F8555">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w:t>
                  </w:r>
                </w:p>
              </w:tc>
              <w:tc>
                <w:tcPr>
                  <w:tcW w:w="1329" w:type="pct"/>
                  <w:gridSpan w:val="2"/>
                  <w:tcBorders>
                    <w:tl2br w:val="nil"/>
                    <w:tr2bl w:val="nil"/>
                  </w:tcBorders>
                  <w:noWrap w:val="0"/>
                  <w:vAlign w:val="center"/>
                </w:tcPr>
                <w:p w14:paraId="059C0C96">
                  <w:pPr>
                    <w:bidi w:val="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水</w:t>
                  </w:r>
                  <w:r>
                    <w:rPr>
                      <w:rFonts w:hint="default" w:ascii="Times New Roman" w:hAnsi="Times New Roman" w:cs="Times New Roman"/>
                      <w:color w:val="auto"/>
                      <w:highlight w:val="none"/>
                      <w:lang w:val="en-US" w:eastAsia="zh-CN"/>
                    </w:rPr>
                    <w:t>龙</w:t>
                  </w:r>
                  <w:r>
                    <w:rPr>
                      <w:rFonts w:hint="default" w:ascii="Times New Roman" w:hAnsi="Times New Roman" w:cs="Times New Roman"/>
                      <w:color w:val="auto"/>
                      <w:highlight w:val="none"/>
                    </w:rPr>
                    <w:t>头</w:t>
                  </w:r>
                </w:p>
              </w:tc>
              <w:tc>
                <w:tcPr>
                  <w:tcW w:w="1331" w:type="pct"/>
                  <w:tcBorders>
                    <w:tl2br w:val="nil"/>
                    <w:tr2bl w:val="nil"/>
                  </w:tcBorders>
                  <w:noWrap w:val="0"/>
                  <w:vAlign w:val="center"/>
                </w:tcPr>
                <w:p w14:paraId="32031214">
                  <w:pPr>
                    <w:keepNext w:val="0"/>
                    <w:keepLines w:val="0"/>
                    <w:pageBreakBefore w:val="0"/>
                    <w:widowControl/>
                    <w:kinsoku/>
                    <w:wordWrap/>
                    <w:overflowPunct/>
                    <w:topLinePunct w:val="0"/>
                    <w:autoSpaceDE/>
                    <w:autoSpaceDN/>
                    <w:bidi w:val="0"/>
                    <w:adjustRightInd w:val="0"/>
                    <w:snapToGrid/>
                    <w:spacing w:line="240" w:lineRule="exact"/>
                    <w:jc w:val="center"/>
                    <w:textAlignment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rPr>
                    <w:t>XSL-225Ⅱ</w:t>
                  </w:r>
                </w:p>
              </w:tc>
              <w:tc>
                <w:tcPr>
                  <w:tcW w:w="863" w:type="pct"/>
                  <w:tcBorders>
                    <w:tl2br w:val="nil"/>
                    <w:tr2bl w:val="nil"/>
                  </w:tcBorders>
                  <w:noWrap w:val="0"/>
                  <w:vAlign w:val="center"/>
                </w:tcPr>
                <w:p w14:paraId="06B432F6">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897" w:type="pct"/>
                  <w:tcBorders>
                    <w:tl2br w:val="nil"/>
                    <w:tr2bl w:val="nil"/>
                  </w:tcBorders>
                  <w:noWrap w:val="0"/>
                  <w:vAlign w:val="center"/>
                </w:tcPr>
                <w:p w14:paraId="1A5AA8E7">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台</w:t>
                  </w:r>
                </w:p>
              </w:tc>
            </w:tr>
            <w:tr w14:paraId="1A1839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77" w:type="pct"/>
                  <w:tcBorders>
                    <w:tl2br w:val="nil"/>
                    <w:tr2bl w:val="nil"/>
                  </w:tcBorders>
                  <w:noWrap w:val="0"/>
                  <w:vAlign w:val="center"/>
                </w:tcPr>
                <w:p w14:paraId="67685020">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w:t>
                  </w:r>
                </w:p>
              </w:tc>
              <w:tc>
                <w:tcPr>
                  <w:tcW w:w="1329" w:type="pct"/>
                  <w:gridSpan w:val="2"/>
                  <w:tcBorders>
                    <w:tl2br w:val="nil"/>
                    <w:tr2bl w:val="nil"/>
                  </w:tcBorders>
                  <w:noWrap w:val="0"/>
                  <w:vAlign w:val="center"/>
                </w:tcPr>
                <w:p w14:paraId="344BC8A9">
                  <w:pPr>
                    <w:bidi w:val="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转盘</w:t>
                  </w:r>
                </w:p>
              </w:tc>
              <w:tc>
                <w:tcPr>
                  <w:tcW w:w="1331" w:type="pct"/>
                  <w:tcBorders>
                    <w:tl2br w:val="nil"/>
                    <w:tr2bl w:val="nil"/>
                  </w:tcBorders>
                  <w:noWrap w:val="0"/>
                  <w:vAlign w:val="center"/>
                </w:tcPr>
                <w:p w14:paraId="4A2DAA09">
                  <w:pPr>
                    <w:keepNext w:val="0"/>
                    <w:keepLines w:val="0"/>
                    <w:pageBreakBefore w:val="0"/>
                    <w:widowControl/>
                    <w:kinsoku/>
                    <w:wordWrap/>
                    <w:overflowPunct/>
                    <w:topLinePunct w:val="0"/>
                    <w:autoSpaceDE/>
                    <w:autoSpaceDN/>
                    <w:bidi w:val="0"/>
                    <w:adjustRightInd w:val="0"/>
                    <w:snapToGrid/>
                    <w:spacing w:line="240" w:lineRule="exact"/>
                    <w:jc w:val="center"/>
                    <w:textAlignment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rPr>
                    <w:t>ZP-520</w:t>
                  </w:r>
                </w:p>
              </w:tc>
              <w:tc>
                <w:tcPr>
                  <w:tcW w:w="863" w:type="pct"/>
                  <w:tcBorders>
                    <w:tl2br w:val="nil"/>
                    <w:tr2bl w:val="nil"/>
                  </w:tcBorders>
                  <w:noWrap w:val="0"/>
                  <w:vAlign w:val="center"/>
                </w:tcPr>
                <w:p w14:paraId="31CEA0A3">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897" w:type="pct"/>
                  <w:tcBorders>
                    <w:tl2br w:val="nil"/>
                    <w:tr2bl w:val="nil"/>
                  </w:tcBorders>
                  <w:noWrap w:val="0"/>
                  <w:vAlign w:val="center"/>
                </w:tcPr>
                <w:p w14:paraId="2AB483FC">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台</w:t>
                  </w:r>
                </w:p>
              </w:tc>
            </w:tr>
            <w:tr w14:paraId="7D16CD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77" w:type="pct"/>
                  <w:tcBorders>
                    <w:tl2br w:val="nil"/>
                    <w:tr2bl w:val="nil"/>
                  </w:tcBorders>
                  <w:noWrap w:val="0"/>
                  <w:vAlign w:val="center"/>
                </w:tcPr>
                <w:p w14:paraId="63A8DE22">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8</w:t>
                  </w:r>
                </w:p>
              </w:tc>
              <w:tc>
                <w:tcPr>
                  <w:tcW w:w="1329" w:type="pct"/>
                  <w:gridSpan w:val="2"/>
                  <w:tcBorders>
                    <w:tl2br w:val="nil"/>
                    <w:tr2bl w:val="nil"/>
                  </w:tcBorders>
                  <w:noWrap w:val="0"/>
                  <w:vAlign w:val="center"/>
                </w:tcPr>
                <w:p w14:paraId="285C0D04">
                  <w:pPr>
                    <w:bidi w:val="0"/>
                    <w:jc w:val="center"/>
                    <w:rPr>
                      <w:rFonts w:hint="eastAsia" w:ascii="Times New Roman" w:hAnsi="Times New Roman" w:cs="Times New Roman"/>
                      <w:color w:val="auto"/>
                      <w:lang w:val="en-US" w:eastAsia="zh-CN"/>
                    </w:rPr>
                  </w:pPr>
                  <w:r>
                    <w:rPr>
                      <w:rFonts w:hint="default" w:ascii="Times New Roman" w:hAnsi="Times New Roman" w:cs="Times New Roman"/>
                      <w:color w:val="auto"/>
                    </w:rPr>
                    <w:t>钻</w:t>
                  </w:r>
                  <w:r>
                    <w:rPr>
                      <w:rFonts w:hint="eastAsia" w:ascii="Times New Roman" w:hAnsi="Times New Roman" w:cs="Times New Roman"/>
                      <w:color w:val="auto"/>
                      <w:lang w:val="en-US" w:eastAsia="zh-CN"/>
                    </w:rPr>
                    <w:t>机</w:t>
                  </w:r>
                </w:p>
              </w:tc>
              <w:tc>
                <w:tcPr>
                  <w:tcW w:w="1331" w:type="pct"/>
                  <w:tcBorders>
                    <w:tl2br w:val="nil"/>
                    <w:tr2bl w:val="nil"/>
                  </w:tcBorders>
                  <w:noWrap w:val="0"/>
                  <w:vAlign w:val="center"/>
                </w:tcPr>
                <w:p w14:paraId="0776FD69">
                  <w:pPr>
                    <w:bidi w:val="0"/>
                    <w:jc w:val="center"/>
                    <w:rPr>
                      <w:rFonts w:hint="eastAsia" w:ascii="Times New Roman" w:hAnsi="Times New Roman" w:cs="Times New Roman"/>
                      <w:color w:val="auto"/>
                      <w:kern w:val="2"/>
                      <w:sz w:val="21"/>
                      <w:szCs w:val="21"/>
                      <w:lang w:val="en-US" w:eastAsia="zh-CN" w:bidi="ar-SA"/>
                    </w:rPr>
                  </w:pPr>
                  <w:r>
                    <w:rPr>
                      <w:rFonts w:hint="eastAsia" w:cs="Times New Roman"/>
                      <w:color w:val="auto"/>
                      <w:sz w:val="21"/>
                      <w:szCs w:val="21"/>
                      <w:lang w:val="en-US" w:eastAsia="zh-CN"/>
                    </w:rPr>
                    <w:t>/</w:t>
                  </w:r>
                </w:p>
              </w:tc>
              <w:tc>
                <w:tcPr>
                  <w:tcW w:w="863" w:type="pct"/>
                  <w:tcBorders>
                    <w:tl2br w:val="nil"/>
                    <w:tr2bl w:val="nil"/>
                  </w:tcBorders>
                  <w:noWrap w:val="0"/>
                  <w:vAlign w:val="center"/>
                </w:tcPr>
                <w:p w14:paraId="3AC2208B">
                  <w:pPr>
                    <w:jc w:val="center"/>
                    <w:rPr>
                      <w:rFonts w:hint="default" w:ascii="Times New Roman" w:hAnsi="Times New Roman" w:cs="Times New Roman"/>
                      <w:color w:val="auto"/>
                      <w:lang w:val="en-US" w:eastAsia="zh-CN"/>
                    </w:rPr>
                  </w:pPr>
                  <w:r>
                    <w:rPr>
                      <w:rFonts w:hint="eastAsia" w:cs="Times New Roman"/>
                      <w:color w:val="auto"/>
                      <w:lang w:val="en-US" w:eastAsia="zh-CN"/>
                    </w:rPr>
                    <w:t>1</w:t>
                  </w:r>
                </w:p>
              </w:tc>
              <w:tc>
                <w:tcPr>
                  <w:tcW w:w="897" w:type="pct"/>
                  <w:tcBorders>
                    <w:tl2br w:val="nil"/>
                    <w:tr2bl w:val="nil"/>
                  </w:tcBorders>
                  <w:noWrap w:val="0"/>
                  <w:vAlign w:val="center"/>
                </w:tcPr>
                <w:p w14:paraId="68E935F4">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台</w:t>
                  </w:r>
                </w:p>
              </w:tc>
            </w:tr>
            <w:tr w14:paraId="48EE7E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77" w:type="pct"/>
                  <w:tcBorders>
                    <w:tl2br w:val="nil"/>
                    <w:tr2bl w:val="nil"/>
                  </w:tcBorders>
                  <w:shd w:val="clear" w:color="auto" w:fill="auto"/>
                  <w:noWrap w:val="0"/>
                  <w:vAlign w:val="center"/>
                </w:tcPr>
                <w:p w14:paraId="7FA47DBC">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lang w:val="en-US" w:eastAsia="zh-CN"/>
                    </w:rPr>
                    <w:t>9</w:t>
                  </w:r>
                </w:p>
              </w:tc>
              <w:tc>
                <w:tcPr>
                  <w:tcW w:w="1329" w:type="pct"/>
                  <w:gridSpan w:val="2"/>
                  <w:tcBorders>
                    <w:tl2br w:val="nil"/>
                    <w:tr2bl w:val="nil"/>
                  </w:tcBorders>
                  <w:noWrap w:val="0"/>
                  <w:vAlign w:val="center"/>
                </w:tcPr>
                <w:p w14:paraId="056082AF">
                  <w:pPr>
                    <w:bidi w:val="0"/>
                    <w:jc w:val="center"/>
                    <w:rPr>
                      <w:rFonts w:hint="eastAsia" w:ascii="Times New Roman" w:hAnsi="Times New Roman" w:cs="Times New Roman"/>
                      <w:color w:val="auto"/>
                    </w:rPr>
                  </w:pPr>
                  <w:r>
                    <w:rPr>
                      <w:rFonts w:hint="default" w:ascii="Times New Roman" w:hAnsi="Times New Roman" w:cs="Times New Roman"/>
                      <w:color w:val="auto"/>
                    </w:rPr>
                    <w:t>泥浆泵</w:t>
                  </w:r>
                </w:p>
              </w:tc>
              <w:tc>
                <w:tcPr>
                  <w:tcW w:w="1331" w:type="pct"/>
                  <w:tcBorders>
                    <w:tl2br w:val="nil"/>
                    <w:tr2bl w:val="nil"/>
                  </w:tcBorders>
                  <w:noWrap w:val="0"/>
                  <w:vAlign w:val="center"/>
                </w:tcPr>
                <w:p w14:paraId="4F33F573">
                  <w:pPr>
                    <w:bidi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w:t>
                  </w:r>
                </w:p>
              </w:tc>
              <w:tc>
                <w:tcPr>
                  <w:tcW w:w="863" w:type="pct"/>
                  <w:tcBorders>
                    <w:tl2br w:val="nil"/>
                    <w:tr2bl w:val="nil"/>
                  </w:tcBorders>
                  <w:noWrap w:val="0"/>
                  <w:vAlign w:val="center"/>
                </w:tcPr>
                <w:p w14:paraId="38375DFF">
                  <w:pPr>
                    <w:jc w:val="center"/>
                    <w:rPr>
                      <w:rFonts w:hint="default" w:ascii="Times New Roman" w:hAnsi="Times New Roman" w:cs="Times New Roman"/>
                      <w:color w:val="auto"/>
                      <w:lang w:val="en-US" w:eastAsia="zh-CN"/>
                    </w:rPr>
                  </w:pPr>
                  <w:r>
                    <w:rPr>
                      <w:rFonts w:hint="eastAsia" w:cs="Times New Roman"/>
                      <w:color w:val="auto"/>
                      <w:lang w:val="en-US" w:eastAsia="zh-CN"/>
                    </w:rPr>
                    <w:t>1</w:t>
                  </w:r>
                </w:p>
              </w:tc>
              <w:tc>
                <w:tcPr>
                  <w:tcW w:w="897" w:type="pct"/>
                  <w:tcBorders>
                    <w:tl2br w:val="nil"/>
                    <w:tr2bl w:val="nil"/>
                  </w:tcBorders>
                  <w:noWrap w:val="0"/>
                  <w:vAlign w:val="center"/>
                </w:tcPr>
                <w:p w14:paraId="4961BEB4">
                  <w:pPr>
                    <w:jc w:val="center"/>
                    <w:rPr>
                      <w:rFonts w:hint="default" w:ascii="Times New Roman" w:hAnsi="Times New Roman" w:cs="Times New Roman"/>
                      <w:color w:val="auto"/>
                      <w:lang w:val="en-US" w:eastAsia="zh-CN"/>
                    </w:rPr>
                  </w:pPr>
                  <w:r>
                    <w:rPr>
                      <w:rFonts w:hint="eastAsia" w:cs="Times New Roman"/>
                      <w:color w:val="auto"/>
                      <w:lang w:val="en-US" w:eastAsia="zh-CN"/>
                    </w:rPr>
                    <w:t>台</w:t>
                  </w:r>
                </w:p>
              </w:tc>
            </w:tr>
            <w:tr w14:paraId="2D544A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77" w:type="pct"/>
                  <w:tcBorders>
                    <w:tl2br w:val="nil"/>
                    <w:tr2bl w:val="nil"/>
                  </w:tcBorders>
                  <w:shd w:val="clear" w:color="auto" w:fill="auto"/>
                  <w:noWrap w:val="0"/>
                  <w:vAlign w:val="center"/>
                </w:tcPr>
                <w:p w14:paraId="3ED65CBE">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lang w:val="en-US" w:eastAsia="zh-CN"/>
                    </w:rPr>
                    <w:t>10</w:t>
                  </w:r>
                </w:p>
              </w:tc>
              <w:tc>
                <w:tcPr>
                  <w:tcW w:w="664" w:type="pct"/>
                  <w:vMerge w:val="restart"/>
                  <w:tcBorders>
                    <w:tl2br w:val="nil"/>
                    <w:tr2bl w:val="nil"/>
                  </w:tcBorders>
                  <w:noWrap w:val="0"/>
                  <w:vAlign w:val="center"/>
                </w:tcPr>
                <w:p w14:paraId="58F3F6BA">
                  <w:pPr>
                    <w:bidi w:val="0"/>
                    <w:jc w:val="center"/>
                    <w:rPr>
                      <w:rFonts w:hint="eastAsia" w:ascii="Times New Roman" w:hAnsi="Times New Roman" w:eastAsia="宋体" w:cs="Times New Roman"/>
                      <w:color w:val="auto"/>
                    </w:rPr>
                  </w:pPr>
                  <w:r>
                    <w:rPr>
                      <w:rFonts w:hint="default" w:ascii="Times New Roman" w:hAnsi="Times New Roman" w:cs="Times New Roman"/>
                      <w:color w:val="auto"/>
                    </w:rPr>
                    <w:t>压风机</w:t>
                  </w:r>
                </w:p>
              </w:tc>
              <w:tc>
                <w:tcPr>
                  <w:tcW w:w="665" w:type="pct"/>
                  <w:tcBorders>
                    <w:tl2br w:val="nil"/>
                    <w:tr2bl w:val="nil"/>
                  </w:tcBorders>
                  <w:noWrap w:val="0"/>
                  <w:vAlign w:val="center"/>
                </w:tcPr>
                <w:p w14:paraId="66C8BE86">
                  <w:pPr>
                    <w:bidi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自动</w:t>
                  </w:r>
                </w:p>
              </w:tc>
              <w:tc>
                <w:tcPr>
                  <w:tcW w:w="1331" w:type="pct"/>
                  <w:tcBorders>
                    <w:tl2br w:val="nil"/>
                    <w:tr2bl w:val="nil"/>
                  </w:tcBorders>
                  <w:noWrap w:val="0"/>
                  <w:vAlign w:val="center"/>
                </w:tcPr>
                <w:p w14:paraId="5F031D4A">
                  <w:pPr>
                    <w:bidi w:val="0"/>
                    <w:jc w:val="center"/>
                    <w:rPr>
                      <w:rFonts w:hint="eastAsia" w:ascii="Times New Roman" w:hAnsi="Times New Roman" w:eastAsia="宋体" w:cs="Times New Roman"/>
                      <w:color w:val="auto"/>
                      <w:szCs w:val="21"/>
                      <w:lang w:val="en-US" w:eastAsia="zh-CN"/>
                    </w:rPr>
                  </w:pPr>
                  <w:r>
                    <w:rPr>
                      <w:rFonts w:hint="default" w:ascii="Times New Roman" w:hAnsi="Times New Roman" w:cs="Times New Roman"/>
                      <w:color w:val="auto"/>
                      <w:sz w:val="21"/>
                      <w:szCs w:val="21"/>
                      <w:lang w:val="en-US" w:eastAsia="zh-CN"/>
                    </w:rPr>
                    <w:t>70m³/min</w:t>
                  </w:r>
                </w:p>
              </w:tc>
              <w:tc>
                <w:tcPr>
                  <w:tcW w:w="863" w:type="pct"/>
                  <w:tcBorders>
                    <w:tl2br w:val="nil"/>
                    <w:tr2bl w:val="nil"/>
                  </w:tcBorders>
                  <w:noWrap w:val="0"/>
                  <w:vAlign w:val="center"/>
                </w:tcPr>
                <w:p w14:paraId="6066EF87">
                  <w:pPr>
                    <w:jc w:val="center"/>
                    <w:rPr>
                      <w:rFonts w:hint="default" w:ascii="Times New Roman" w:hAnsi="Times New Roman" w:cs="Times New Roman"/>
                      <w:color w:val="auto"/>
                      <w:lang w:val="en-US" w:eastAsia="zh-CN"/>
                    </w:rPr>
                  </w:pPr>
                  <w:r>
                    <w:rPr>
                      <w:rFonts w:hint="eastAsia" w:cs="Times New Roman"/>
                      <w:color w:val="auto"/>
                      <w:lang w:val="en-US" w:eastAsia="zh-CN"/>
                    </w:rPr>
                    <w:t>1</w:t>
                  </w:r>
                </w:p>
              </w:tc>
              <w:tc>
                <w:tcPr>
                  <w:tcW w:w="897" w:type="pct"/>
                  <w:tcBorders>
                    <w:tl2br w:val="nil"/>
                    <w:tr2bl w:val="nil"/>
                  </w:tcBorders>
                  <w:noWrap w:val="0"/>
                  <w:vAlign w:val="center"/>
                </w:tcPr>
                <w:p w14:paraId="4FD0879D">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台</w:t>
                  </w:r>
                </w:p>
              </w:tc>
            </w:tr>
            <w:tr w14:paraId="43F34E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77" w:type="pct"/>
                  <w:tcBorders>
                    <w:tl2br w:val="nil"/>
                    <w:tr2bl w:val="nil"/>
                  </w:tcBorders>
                  <w:shd w:val="clear" w:color="auto" w:fill="auto"/>
                  <w:noWrap w:val="0"/>
                  <w:vAlign w:val="center"/>
                </w:tcPr>
                <w:p w14:paraId="563B7182">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lang w:val="en-US" w:eastAsia="zh-CN"/>
                    </w:rPr>
                    <w:t>11</w:t>
                  </w:r>
                </w:p>
              </w:tc>
              <w:tc>
                <w:tcPr>
                  <w:tcW w:w="664" w:type="pct"/>
                  <w:vMerge w:val="continue"/>
                  <w:tcBorders>
                    <w:tl2br w:val="nil"/>
                    <w:tr2bl w:val="nil"/>
                  </w:tcBorders>
                  <w:noWrap w:val="0"/>
                  <w:vAlign w:val="center"/>
                </w:tcPr>
                <w:p w14:paraId="09F92294">
                  <w:pPr>
                    <w:bidi w:val="0"/>
                    <w:jc w:val="center"/>
                    <w:rPr>
                      <w:rFonts w:hint="default" w:ascii="Times New Roman" w:hAnsi="Times New Roman" w:eastAsia="宋体" w:cs="Times New Roman"/>
                      <w:color w:val="auto"/>
                      <w:lang w:val="en-US" w:eastAsia="zh-CN"/>
                    </w:rPr>
                  </w:pPr>
                </w:p>
              </w:tc>
              <w:tc>
                <w:tcPr>
                  <w:tcW w:w="665" w:type="pct"/>
                  <w:tcBorders>
                    <w:tl2br w:val="nil"/>
                    <w:tr2bl w:val="nil"/>
                  </w:tcBorders>
                  <w:shd w:val="clear" w:color="auto" w:fill="auto"/>
                  <w:noWrap w:val="0"/>
                  <w:vAlign w:val="center"/>
                </w:tcPr>
                <w:p w14:paraId="599EFFC1">
                  <w:pPr>
                    <w:bidi w:val="0"/>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rPr>
                    <w:t>电动</w:t>
                  </w:r>
                </w:p>
              </w:tc>
              <w:tc>
                <w:tcPr>
                  <w:tcW w:w="1331" w:type="pct"/>
                  <w:tcBorders>
                    <w:tl2br w:val="nil"/>
                    <w:tr2bl w:val="nil"/>
                  </w:tcBorders>
                  <w:shd w:val="clear" w:color="auto" w:fill="auto"/>
                  <w:noWrap w:val="0"/>
                  <w:vAlign w:val="center"/>
                </w:tcPr>
                <w:p w14:paraId="43DACC34">
                  <w:pPr>
                    <w:bidi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380V/400KW</w:t>
                  </w:r>
                </w:p>
              </w:tc>
              <w:tc>
                <w:tcPr>
                  <w:tcW w:w="863" w:type="pct"/>
                  <w:tcBorders>
                    <w:tl2br w:val="nil"/>
                    <w:tr2bl w:val="nil"/>
                  </w:tcBorders>
                  <w:noWrap w:val="0"/>
                  <w:vAlign w:val="center"/>
                </w:tcPr>
                <w:p w14:paraId="5DB28811">
                  <w:pPr>
                    <w:jc w:val="center"/>
                    <w:rPr>
                      <w:rFonts w:hint="default" w:ascii="Times New Roman" w:hAnsi="Times New Roman" w:cs="Times New Roman"/>
                      <w:color w:val="auto"/>
                      <w:lang w:val="en-US" w:eastAsia="zh-CN"/>
                    </w:rPr>
                  </w:pPr>
                  <w:r>
                    <w:rPr>
                      <w:rFonts w:hint="eastAsia" w:cs="Times New Roman"/>
                      <w:color w:val="auto"/>
                      <w:lang w:val="en-US" w:eastAsia="zh-CN"/>
                    </w:rPr>
                    <w:t>1</w:t>
                  </w:r>
                </w:p>
              </w:tc>
              <w:tc>
                <w:tcPr>
                  <w:tcW w:w="897" w:type="pct"/>
                  <w:tcBorders>
                    <w:tl2br w:val="nil"/>
                    <w:tr2bl w:val="nil"/>
                  </w:tcBorders>
                  <w:noWrap w:val="0"/>
                  <w:vAlign w:val="center"/>
                </w:tcPr>
                <w:p w14:paraId="5A43CBC4">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台</w:t>
                  </w:r>
                </w:p>
              </w:tc>
            </w:tr>
            <w:tr w14:paraId="7EFAB4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77" w:type="pct"/>
                  <w:tcBorders>
                    <w:tl2br w:val="nil"/>
                    <w:tr2bl w:val="nil"/>
                  </w:tcBorders>
                  <w:shd w:val="clear" w:color="auto" w:fill="auto"/>
                  <w:noWrap w:val="0"/>
                  <w:vAlign w:val="center"/>
                </w:tcPr>
                <w:p w14:paraId="049FC07E">
                  <w:pPr>
                    <w:jc w:val="center"/>
                    <w:rPr>
                      <w:rFonts w:hint="default" w:ascii="Times New Roman" w:hAnsi="Times New Roman"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12</w:t>
                  </w:r>
                </w:p>
              </w:tc>
              <w:tc>
                <w:tcPr>
                  <w:tcW w:w="1329" w:type="pct"/>
                  <w:gridSpan w:val="2"/>
                  <w:tcBorders>
                    <w:tl2br w:val="nil"/>
                    <w:tr2bl w:val="nil"/>
                  </w:tcBorders>
                  <w:shd w:val="clear" w:color="auto" w:fill="auto"/>
                  <w:noWrap w:val="0"/>
                  <w:vAlign w:val="center"/>
                </w:tcPr>
                <w:p w14:paraId="3A0A5413">
                  <w:pPr>
                    <w:bidi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rPr>
                    <w:t>振动筛</w:t>
                  </w:r>
                </w:p>
              </w:tc>
              <w:tc>
                <w:tcPr>
                  <w:tcW w:w="1331" w:type="pct"/>
                  <w:tcBorders>
                    <w:tl2br w:val="nil"/>
                    <w:tr2bl w:val="nil"/>
                  </w:tcBorders>
                  <w:shd w:val="clear" w:color="auto" w:fill="auto"/>
                  <w:noWrap w:val="0"/>
                  <w:vAlign w:val="center"/>
                </w:tcPr>
                <w:p w14:paraId="3358C20A">
                  <w:pPr>
                    <w:keepNext w:val="0"/>
                    <w:keepLines w:val="0"/>
                    <w:pageBreakBefore w:val="0"/>
                    <w:widowControl/>
                    <w:kinsoku/>
                    <w:wordWrap/>
                    <w:overflowPunct/>
                    <w:topLinePunct w:val="0"/>
                    <w:autoSpaceDE/>
                    <w:autoSpaceDN/>
                    <w:bidi w:val="0"/>
                    <w:adjustRightInd w:val="0"/>
                    <w:snapToGrid/>
                    <w:spacing w:line="240" w:lineRule="exact"/>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 w:val="21"/>
                      <w:szCs w:val="21"/>
                    </w:rPr>
                    <w:t>2ZYS</w:t>
                  </w:r>
                </w:p>
              </w:tc>
              <w:tc>
                <w:tcPr>
                  <w:tcW w:w="863" w:type="pct"/>
                  <w:tcBorders>
                    <w:tl2br w:val="nil"/>
                    <w:tr2bl w:val="nil"/>
                  </w:tcBorders>
                  <w:noWrap w:val="0"/>
                  <w:vAlign w:val="center"/>
                </w:tcPr>
                <w:p w14:paraId="50AC9E74">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897" w:type="pct"/>
                  <w:tcBorders>
                    <w:tl2br w:val="nil"/>
                    <w:tr2bl w:val="nil"/>
                  </w:tcBorders>
                  <w:noWrap w:val="0"/>
                  <w:vAlign w:val="center"/>
                </w:tcPr>
                <w:p w14:paraId="7A38CCA8">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台</w:t>
                  </w:r>
                </w:p>
              </w:tc>
            </w:tr>
            <w:tr w14:paraId="49F8C2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77" w:type="pct"/>
                  <w:tcBorders>
                    <w:tl2br w:val="nil"/>
                    <w:tr2bl w:val="nil"/>
                  </w:tcBorders>
                  <w:noWrap w:val="0"/>
                  <w:vAlign w:val="center"/>
                </w:tcPr>
                <w:p w14:paraId="7EE33F0D">
                  <w:pPr>
                    <w:jc w:val="center"/>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lang w:val="en-US" w:eastAsia="zh-CN"/>
                    </w:rPr>
                    <w:t>13</w:t>
                  </w:r>
                </w:p>
              </w:tc>
              <w:tc>
                <w:tcPr>
                  <w:tcW w:w="1329" w:type="pct"/>
                  <w:gridSpan w:val="2"/>
                  <w:tcBorders>
                    <w:tl2br w:val="nil"/>
                    <w:tr2bl w:val="nil"/>
                  </w:tcBorders>
                  <w:shd w:val="clear" w:color="auto" w:fill="auto"/>
                  <w:noWrap w:val="0"/>
                  <w:vAlign w:val="center"/>
                </w:tcPr>
                <w:p w14:paraId="7F9D55C0">
                  <w:pPr>
                    <w:bidi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rPr>
                    <w:t>除砂器</w:t>
                  </w:r>
                </w:p>
              </w:tc>
              <w:tc>
                <w:tcPr>
                  <w:tcW w:w="1331" w:type="pct"/>
                  <w:tcBorders>
                    <w:tl2br w:val="nil"/>
                    <w:tr2bl w:val="nil"/>
                  </w:tcBorders>
                  <w:shd w:val="clear" w:color="auto" w:fill="auto"/>
                  <w:noWrap w:val="0"/>
                  <w:vAlign w:val="center"/>
                </w:tcPr>
                <w:p w14:paraId="0C31E173">
                  <w:pPr>
                    <w:keepNext w:val="0"/>
                    <w:keepLines w:val="0"/>
                    <w:pageBreakBefore w:val="0"/>
                    <w:widowControl/>
                    <w:kinsoku/>
                    <w:wordWrap/>
                    <w:overflowPunct/>
                    <w:topLinePunct w:val="0"/>
                    <w:autoSpaceDE/>
                    <w:autoSpaceDN/>
                    <w:bidi w:val="0"/>
                    <w:adjustRightInd w:val="0"/>
                    <w:snapToGrid/>
                    <w:spacing w:line="240" w:lineRule="exact"/>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ZCS250×2</w:t>
                  </w:r>
                </w:p>
              </w:tc>
              <w:tc>
                <w:tcPr>
                  <w:tcW w:w="863" w:type="pct"/>
                  <w:tcBorders>
                    <w:tl2br w:val="nil"/>
                    <w:tr2bl w:val="nil"/>
                  </w:tcBorders>
                  <w:shd w:val="clear" w:color="auto" w:fill="auto"/>
                  <w:noWrap w:val="0"/>
                  <w:vAlign w:val="center"/>
                </w:tcPr>
                <w:p w14:paraId="78D0B9DD">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lang w:val="en-US" w:eastAsia="zh-CN"/>
                    </w:rPr>
                    <w:t>1</w:t>
                  </w:r>
                </w:p>
              </w:tc>
              <w:tc>
                <w:tcPr>
                  <w:tcW w:w="897" w:type="pct"/>
                  <w:tcBorders>
                    <w:tl2br w:val="nil"/>
                    <w:tr2bl w:val="nil"/>
                  </w:tcBorders>
                  <w:shd w:val="clear" w:color="auto" w:fill="auto"/>
                  <w:noWrap w:val="0"/>
                  <w:vAlign w:val="center"/>
                </w:tcPr>
                <w:p w14:paraId="62B37B79">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lang w:val="en-US" w:eastAsia="zh-CN"/>
                    </w:rPr>
                    <w:t>台</w:t>
                  </w:r>
                </w:p>
              </w:tc>
            </w:tr>
            <w:tr w14:paraId="5A8533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77" w:type="pct"/>
                  <w:tcBorders>
                    <w:tl2br w:val="nil"/>
                    <w:tr2bl w:val="nil"/>
                  </w:tcBorders>
                  <w:shd w:val="clear" w:color="auto" w:fill="auto"/>
                  <w:noWrap w:val="0"/>
                  <w:vAlign w:val="center"/>
                </w:tcPr>
                <w:p w14:paraId="63CE6C86">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lang w:val="en-US" w:eastAsia="zh-CN"/>
                    </w:rPr>
                    <w:t>14</w:t>
                  </w:r>
                </w:p>
              </w:tc>
              <w:tc>
                <w:tcPr>
                  <w:tcW w:w="1329" w:type="pct"/>
                  <w:gridSpan w:val="2"/>
                  <w:tcBorders>
                    <w:tl2br w:val="nil"/>
                    <w:tr2bl w:val="nil"/>
                  </w:tcBorders>
                  <w:noWrap w:val="0"/>
                  <w:vAlign w:val="center"/>
                </w:tcPr>
                <w:p w14:paraId="74FEA333">
                  <w:pPr>
                    <w:bidi w:val="0"/>
                    <w:jc w:val="center"/>
                    <w:rPr>
                      <w:rFonts w:hint="default" w:ascii="Times New Roman" w:hAnsi="Times New Roman" w:cs="Times New Roman"/>
                      <w:color w:val="auto"/>
                      <w:kern w:val="2"/>
                      <w:sz w:val="21"/>
                      <w:szCs w:val="24"/>
                      <w:lang w:val="en-US" w:eastAsia="zh-CN" w:bidi="ar-SA"/>
                    </w:rPr>
                  </w:pPr>
                  <w:r>
                    <w:rPr>
                      <w:rFonts w:hint="eastAsia" w:cs="Times New Roman"/>
                      <w:color w:val="auto"/>
                      <w:kern w:val="2"/>
                      <w:sz w:val="21"/>
                      <w:szCs w:val="24"/>
                      <w:lang w:val="en-US" w:eastAsia="zh-CN" w:bidi="ar-SA"/>
                    </w:rPr>
                    <w:t>除泥器</w:t>
                  </w:r>
                </w:p>
              </w:tc>
              <w:tc>
                <w:tcPr>
                  <w:tcW w:w="1331" w:type="pct"/>
                  <w:tcBorders>
                    <w:tl2br w:val="nil"/>
                    <w:tr2bl w:val="nil"/>
                  </w:tcBorders>
                  <w:noWrap w:val="0"/>
                  <w:vAlign w:val="center"/>
                </w:tcPr>
                <w:p w14:paraId="60AF3F14">
                  <w:pPr>
                    <w:keepNext w:val="0"/>
                    <w:keepLines w:val="0"/>
                    <w:pageBreakBefore w:val="0"/>
                    <w:widowControl/>
                    <w:kinsoku/>
                    <w:wordWrap/>
                    <w:overflowPunct/>
                    <w:topLinePunct w:val="0"/>
                    <w:autoSpaceDE/>
                    <w:autoSpaceDN/>
                    <w:bidi w:val="0"/>
                    <w:adjustRightInd w:val="0"/>
                    <w:snapToGrid/>
                    <w:spacing w:line="240" w:lineRule="exact"/>
                    <w:jc w:val="center"/>
                    <w:textAlignment w:val="center"/>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863" w:type="pct"/>
                  <w:tcBorders>
                    <w:tl2br w:val="nil"/>
                    <w:tr2bl w:val="nil"/>
                  </w:tcBorders>
                  <w:noWrap w:val="0"/>
                  <w:vAlign w:val="center"/>
                </w:tcPr>
                <w:p w14:paraId="18901071">
                  <w:pPr>
                    <w:jc w:val="center"/>
                    <w:rPr>
                      <w:rFonts w:hint="default" w:ascii="Times New Roman" w:hAnsi="Times New Roman" w:cs="Times New Roman"/>
                      <w:color w:val="auto"/>
                      <w:lang w:val="en-US" w:eastAsia="zh-CN"/>
                    </w:rPr>
                  </w:pPr>
                  <w:r>
                    <w:rPr>
                      <w:rFonts w:hint="eastAsia" w:cs="Times New Roman"/>
                      <w:color w:val="auto"/>
                      <w:lang w:val="en-US" w:eastAsia="zh-CN"/>
                    </w:rPr>
                    <w:t>1</w:t>
                  </w:r>
                </w:p>
              </w:tc>
              <w:tc>
                <w:tcPr>
                  <w:tcW w:w="897" w:type="pct"/>
                  <w:tcBorders>
                    <w:tl2br w:val="nil"/>
                    <w:tr2bl w:val="nil"/>
                  </w:tcBorders>
                  <w:noWrap w:val="0"/>
                  <w:vAlign w:val="center"/>
                </w:tcPr>
                <w:p w14:paraId="24173881">
                  <w:pPr>
                    <w:jc w:val="center"/>
                    <w:rPr>
                      <w:rFonts w:hint="default" w:ascii="Times New Roman" w:hAnsi="Times New Roman" w:cs="Times New Roman"/>
                      <w:color w:val="auto"/>
                      <w:lang w:val="en-US" w:eastAsia="zh-CN"/>
                    </w:rPr>
                  </w:pPr>
                  <w:r>
                    <w:rPr>
                      <w:rFonts w:hint="eastAsia" w:cs="Times New Roman"/>
                      <w:color w:val="auto"/>
                      <w:lang w:val="en-US" w:eastAsia="zh-CN"/>
                    </w:rPr>
                    <w:t>台</w:t>
                  </w:r>
                </w:p>
              </w:tc>
            </w:tr>
            <w:tr w14:paraId="7E3D49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77" w:type="pct"/>
                  <w:tcBorders>
                    <w:tl2br w:val="nil"/>
                    <w:tr2bl w:val="nil"/>
                  </w:tcBorders>
                  <w:shd w:val="clear" w:color="auto" w:fill="auto"/>
                  <w:noWrap w:val="0"/>
                  <w:vAlign w:val="center"/>
                </w:tcPr>
                <w:p w14:paraId="6A4C976C">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lang w:val="en-US" w:eastAsia="zh-CN"/>
                    </w:rPr>
                    <w:t>15</w:t>
                  </w:r>
                </w:p>
              </w:tc>
              <w:tc>
                <w:tcPr>
                  <w:tcW w:w="1329" w:type="pct"/>
                  <w:gridSpan w:val="2"/>
                  <w:tcBorders>
                    <w:tl2br w:val="nil"/>
                    <w:tr2bl w:val="nil"/>
                  </w:tcBorders>
                  <w:noWrap w:val="0"/>
                  <w:vAlign w:val="center"/>
                </w:tcPr>
                <w:p w14:paraId="3817C355">
                  <w:pPr>
                    <w:bidi w:val="0"/>
                    <w:jc w:val="center"/>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rPr>
                    <w:t>离心机</w:t>
                  </w:r>
                </w:p>
              </w:tc>
              <w:tc>
                <w:tcPr>
                  <w:tcW w:w="1331" w:type="pct"/>
                  <w:tcBorders>
                    <w:tl2br w:val="nil"/>
                    <w:tr2bl w:val="nil"/>
                  </w:tcBorders>
                  <w:noWrap w:val="0"/>
                  <w:vAlign w:val="center"/>
                </w:tcPr>
                <w:p w14:paraId="402A274C">
                  <w:pPr>
                    <w:bidi w:val="0"/>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rPr>
                    <w:t>LW450-842N</w:t>
                  </w:r>
                </w:p>
              </w:tc>
              <w:tc>
                <w:tcPr>
                  <w:tcW w:w="863" w:type="pct"/>
                  <w:tcBorders>
                    <w:tl2br w:val="nil"/>
                    <w:tr2bl w:val="nil"/>
                  </w:tcBorders>
                  <w:noWrap w:val="0"/>
                  <w:vAlign w:val="center"/>
                </w:tcPr>
                <w:p w14:paraId="68E56C0C">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897" w:type="pct"/>
                  <w:tcBorders>
                    <w:tl2br w:val="nil"/>
                    <w:tr2bl w:val="nil"/>
                  </w:tcBorders>
                  <w:noWrap w:val="0"/>
                  <w:vAlign w:val="center"/>
                </w:tcPr>
                <w:p w14:paraId="158DBE23">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台</w:t>
                  </w:r>
                </w:p>
              </w:tc>
            </w:tr>
            <w:tr w14:paraId="79EBDD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77" w:type="pct"/>
                  <w:tcBorders>
                    <w:tl2br w:val="nil"/>
                    <w:tr2bl w:val="nil"/>
                  </w:tcBorders>
                  <w:noWrap w:val="0"/>
                  <w:vAlign w:val="center"/>
                </w:tcPr>
                <w:p w14:paraId="38E49D20">
                  <w:pPr>
                    <w:jc w:val="center"/>
                    <w:rPr>
                      <w:rFonts w:hint="default" w:ascii="Times New Roman" w:hAnsi="Times New Roman" w:cs="Times New Roman"/>
                      <w:color w:val="auto"/>
                      <w:lang w:val="en-US" w:eastAsia="zh-CN"/>
                    </w:rPr>
                  </w:pPr>
                  <w:r>
                    <w:rPr>
                      <w:rFonts w:hint="eastAsia" w:cs="Times New Roman"/>
                      <w:color w:val="auto"/>
                      <w:lang w:val="en-US" w:eastAsia="zh-CN"/>
                    </w:rPr>
                    <w:t>16</w:t>
                  </w:r>
                </w:p>
              </w:tc>
              <w:tc>
                <w:tcPr>
                  <w:tcW w:w="1329" w:type="pct"/>
                  <w:gridSpan w:val="2"/>
                  <w:tcBorders>
                    <w:tl2br w:val="nil"/>
                    <w:tr2bl w:val="nil"/>
                  </w:tcBorders>
                  <w:noWrap w:val="0"/>
                  <w:vAlign w:val="center"/>
                </w:tcPr>
                <w:p w14:paraId="6C20D1C5">
                  <w:pPr>
                    <w:bidi w:val="0"/>
                    <w:jc w:val="center"/>
                    <w:rPr>
                      <w:rFonts w:hint="default" w:ascii="Times New Roman" w:hAnsi="Times New Roman" w:eastAsia="宋体" w:cs="Times New Roman"/>
                      <w:color w:val="auto"/>
                      <w:kern w:val="2"/>
                      <w:sz w:val="21"/>
                      <w:szCs w:val="24"/>
                      <w:lang w:val="en-US" w:eastAsia="zh-CN" w:bidi="ar-SA"/>
                    </w:rPr>
                  </w:pPr>
                  <w:r>
                    <w:rPr>
                      <w:rFonts w:hint="eastAsia" w:cs="Times New Roman"/>
                      <w:color w:val="auto"/>
                      <w:lang w:val="en-US" w:eastAsia="zh-CN"/>
                    </w:rPr>
                    <w:t>空压机</w:t>
                  </w:r>
                </w:p>
              </w:tc>
              <w:tc>
                <w:tcPr>
                  <w:tcW w:w="1331" w:type="pct"/>
                  <w:tcBorders>
                    <w:tl2br w:val="nil"/>
                    <w:tr2bl w:val="nil"/>
                  </w:tcBorders>
                  <w:noWrap w:val="0"/>
                  <w:vAlign w:val="center"/>
                </w:tcPr>
                <w:p w14:paraId="07E03CAC">
                  <w:pPr>
                    <w:bidi w:val="0"/>
                    <w:jc w:val="center"/>
                    <w:rPr>
                      <w:rFonts w:hint="default" w:ascii="Times New Roman" w:hAnsi="Times New Roman" w:cs="Times New Roman"/>
                      <w:color w:val="auto"/>
                      <w:kern w:val="2"/>
                      <w:sz w:val="21"/>
                      <w:szCs w:val="21"/>
                      <w:lang w:val="en-US" w:eastAsia="zh-CN" w:bidi="ar-SA"/>
                    </w:rPr>
                  </w:pPr>
                  <w:r>
                    <w:rPr>
                      <w:rFonts w:hint="eastAsia" w:cs="Times New Roman"/>
                      <w:color w:val="auto"/>
                      <w:kern w:val="0"/>
                      <w:sz w:val="21"/>
                      <w:szCs w:val="21"/>
                      <w:lang w:val="en-US" w:eastAsia="zh-CN" w:bidi="ar"/>
                    </w:rPr>
                    <w:t>/</w:t>
                  </w:r>
                </w:p>
              </w:tc>
              <w:tc>
                <w:tcPr>
                  <w:tcW w:w="863" w:type="pct"/>
                  <w:tcBorders>
                    <w:tl2br w:val="nil"/>
                    <w:tr2bl w:val="nil"/>
                  </w:tcBorders>
                  <w:noWrap w:val="0"/>
                  <w:vAlign w:val="center"/>
                </w:tcPr>
                <w:p w14:paraId="16986D29">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897" w:type="pct"/>
                  <w:tcBorders>
                    <w:tl2br w:val="nil"/>
                    <w:tr2bl w:val="nil"/>
                  </w:tcBorders>
                  <w:noWrap w:val="0"/>
                  <w:vAlign w:val="center"/>
                </w:tcPr>
                <w:p w14:paraId="0B835394">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台</w:t>
                  </w:r>
                </w:p>
              </w:tc>
            </w:tr>
          </w:tbl>
          <w:p w14:paraId="7AD1E4A3">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w:t>
            </w:r>
            <w:r>
              <w:rPr>
                <w:rFonts w:hint="default" w:ascii="Times New Roman" w:hAnsi="Times New Roman" w:cs="Times New Roman"/>
                <w:b/>
                <w:bCs/>
                <w:color w:val="auto"/>
                <w:sz w:val="24"/>
                <w:szCs w:val="24"/>
                <w:lang w:val="en-US" w:eastAsia="zh-CN"/>
              </w:rPr>
              <w:t>2-</w:t>
            </w:r>
            <w:r>
              <w:rPr>
                <w:rFonts w:hint="eastAsia" w:cs="Times New Roman"/>
                <w:b/>
                <w:bCs/>
                <w:color w:val="auto"/>
                <w:sz w:val="24"/>
                <w:szCs w:val="24"/>
                <w:lang w:val="en-US" w:eastAsia="zh-CN"/>
              </w:rPr>
              <w:t>7</w:t>
            </w:r>
            <w:r>
              <w:rPr>
                <w:rFonts w:hint="default" w:ascii="Times New Roman" w:hAnsi="Times New Roman" w:cs="Times New Roman"/>
                <w:b/>
                <w:bCs/>
                <w:color w:val="auto"/>
                <w:sz w:val="24"/>
                <w:szCs w:val="24"/>
                <w:lang w:val="en-US" w:eastAsia="zh-CN"/>
              </w:rPr>
              <w:t xml:space="preserve">  项目</w:t>
            </w:r>
            <w:r>
              <w:rPr>
                <w:rFonts w:hint="default" w:ascii="Times New Roman" w:hAnsi="Times New Roman" w:cs="Times New Roman"/>
                <w:b/>
                <w:bCs/>
                <w:color w:val="auto"/>
                <w:sz w:val="24"/>
                <w:szCs w:val="24"/>
              </w:rPr>
              <w:t>主要生产设备</w:t>
            </w:r>
          </w:p>
          <w:tbl>
            <w:tblPr>
              <w:tblStyle w:val="15"/>
              <w:tblW w:w="824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864"/>
              <w:gridCol w:w="1623"/>
              <w:gridCol w:w="1008"/>
              <w:gridCol w:w="969"/>
              <w:gridCol w:w="2198"/>
              <w:gridCol w:w="1584"/>
            </w:tblGrid>
            <w:tr w14:paraId="2D9091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23" w:type="pct"/>
                  <w:tcBorders>
                    <w:tl2br w:val="nil"/>
                    <w:tr2bl w:val="nil"/>
                  </w:tcBorders>
                  <w:noWrap w:val="0"/>
                  <w:vAlign w:val="center"/>
                </w:tcPr>
                <w:p w14:paraId="66E8A601">
                  <w:pPr>
                    <w:jc w:val="center"/>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分类</w:t>
                  </w:r>
                </w:p>
              </w:tc>
              <w:tc>
                <w:tcPr>
                  <w:tcW w:w="984" w:type="pct"/>
                  <w:tcBorders>
                    <w:tl2br w:val="nil"/>
                    <w:tr2bl w:val="nil"/>
                  </w:tcBorders>
                  <w:noWrap w:val="0"/>
                  <w:vAlign w:val="center"/>
                </w:tcPr>
                <w:p w14:paraId="2163B65C">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设备名称</w:t>
                  </w:r>
                </w:p>
              </w:tc>
              <w:tc>
                <w:tcPr>
                  <w:tcW w:w="611" w:type="pct"/>
                  <w:tcBorders>
                    <w:tl2br w:val="nil"/>
                    <w:tr2bl w:val="nil"/>
                  </w:tcBorders>
                  <w:noWrap w:val="0"/>
                  <w:vAlign w:val="center"/>
                </w:tcPr>
                <w:p w14:paraId="486ABB28">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数量</w:t>
                  </w:r>
                </w:p>
              </w:tc>
              <w:tc>
                <w:tcPr>
                  <w:tcW w:w="587" w:type="pct"/>
                  <w:tcBorders>
                    <w:tl2br w:val="nil"/>
                    <w:tr2bl w:val="nil"/>
                  </w:tcBorders>
                  <w:noWrap w:val="0"/>
                  <w:vAlign w:val="center"/>
                </w:tcPr>
                <w:p w14:paraId="40922AC6">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单位</w:t>
                  </w:r>
                </w:p>
              </w:tc>
              <w:tc>
                <w:tcPr>
                  <w:tcW w:w="1332" w:type="pct"/>
                  <w:tcBorders>
                    <w:tl2br w:val="nil"/>
                    <w:tr2bl w:val="nil"/>
                  </w:tcBorders>
                  <w:noWrap w:val="0"/>
                  <w:vAlign w:val="center"/>
                </w:tcPr>
                <w:p w14:paraId="4C29DBAF">
                  <w:pPr>
                    <w:jc w:val="center"/>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型号</w:t>
                  </w:r>
                </w:p>
              </w:tc>
              <w:tc>
                <w:tcPr>
                  <w:tcW w:w="960" w:type="pct"/>
                  <w:tcBorders>
                    <w:tl2br w:val="nil"/>
                    <w:tr2bl w:val="nil"/>
                  </w:tcBorders>
                  <w:noWrap w:val="0"/>
                  <w:vAlign w:val="center"/>
                </w:tcPr>
                <w:p w14:paraId="18791D66">
                  <w:pPr>
                    <w:jc w:val="center"/>
                    <w:rPr>
                      <w:rFonts w:hint="default" w:ascii="Times New Roman" w:hAnsi="Times New Roman" w:cs="Times New Roman"/>
                      <w:b/>
                      <w:bCs/>
                      <w:color w:val="auto"/>
                      <w:lang w:val="en-US" w:eastAsia="zh-CN"/>
                    </w:rPr>
                  </w:pPr>
                  <w:r>
                    <w:rPr>
                      <w:rFonts w:hint="eastAsia" w:cs="Times New Roman"/>
                      <w:b/>
                      <w:bCs/>
                      <w:color w:val="auto"/>
                      <w:lang w:val="en-US" w:eastAsia="zh-CN"/>
                    </w:rPr>
                    <w:t>备注</w:t>
                  </w:r>
                </w:p>
              </w:tc>
            </w:tr>
            <w:tr w14:paraId="360A5A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23" w:type="pct"/>
                  <w:vMerge w:val="restart"/>
                  <w:tcBorders>
                    <w:tl2br w:val="nil"/>
                    <w:tr2bl w:val="nil"/>
                  </w:tcBorders>
                  <w:noWrap w:val="0"/>
                  <w:vAlign w:val="center"/>
                </w:tcPr>
                <w:p w14:paraId="3895CFC7">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换热系统</w:t>
                  </w:r>
                </w:p>
              </w:tc>
              <w:tc>
                <w:tcPr>
                  <w:tcW w:w="984" w:type="pct"/>
                  <w:tcBorders>
                    <w:tl2br w:val="nil"/>
                    <w:tr2bl w:val="nil"/>
                  </w:tcBorders>
                  <w:noWrap w:val="0"/>
                  <w:vAlign w:val="center"/>
                </w:tcPr>
                <w:p w14:paraId="58B12A2A">
                  <w:pPr>
                    <w:jc w:val="center"/>
                    <w:rPr>
                      <w:rFonts w:hint="default" w:ascii="Times New Roman" w:hAnsi="Times New Roman" w:cs="Times New Roman"/>
                      <w:color w:val="auto"/>
                      <w:lang w:val="en-US" w:eastAsia="zh-CN"/>
                    </w:rPr>
                  </w:pPr>
                  <w:r>
                    <w:rPr>
                      <w:rFonts w:hint="eastAsia" w:cs="Times New Roman"/>
                      <w:color w:val="auto"/>
                      <w:lang w:val="en-US" w:eastAsia="zh-CN"/>
                    </w:rPr>
                    <w:t>除砂器</w:t>
                  </w:r>
                </w:p>
              </w:tc>
              <w:tc>
                <w:tcPr>
                  <w:tcW w:w="611" w:type="pct"/>
                  <w:tcBorders>
                    <w:tl2br w:val="nil"/>
                    <w:tr2bl w:val="nil"/>
                  </w:tcBorders>
                  <w:noWrap w:val="0"/>
                  <w:vAlign w:val="center"/>
                </w:tcPr>
                <w:p w14:paraId="2C1CE612">
                  <w:pPr>
                    <w:jc w:val="center"/>
                    <w:rPr>
                      <w:rFonts w:hint="default" w:ascii="Times New Roman" w:hAnsi="Times New Roman" w:cs="Times New Roman"/>
                      <w:color w:val="auto"/>
                      <w:lang w:val="en-US" w:eastAsia="zh-CN"/>
                    </w:rPr>
                  </w:pPr>
                  <w:r>
                    <w:rPr>
                      <w:rFonts w:hint="eastAsia" w:cs="Times New Roman"/>
                      <w:color w:val="auto"/>
                      <w:lang w:val="en-US" w:eastAsia="zh-CN"/>
                    </w:rPr>
                    <w:t>1</w:t>
                  </w:r>
                </w:p>
              </w:tc>
              <w:tc>
                <w:tcPr>
                  <w:tcW w:w="587" w:type="pct"/>
                  <w:tcBorders>
                    <w:tl2br w:val="nil"/>
                    <w:tr2bl w:val="nil"/>
                  </w:tcBorders>
                  <w:noWrap w:val="0"/>
                  <w:vAlign w:val="center"/>
                </w:tcPr>
                <w:p w14:paraId="1C7CE901">
                  <w:pPr>
                    <w:jc w:val="center"/>
                    <w:rPr>
                      <w:rFonts w:hint="default" w:ascii="Times New Roman" w:hAnsi="Times New Roman" w:cs="Times New Roman"/>
                      <w:color w:val="auto"/>
                      <w:lang w:val="en-US" w:eastAsia="zh-CN"/>
                    </w:rPr>
                  </w:pPr>
                  <w:r>
                    <w:rPr>
                      <w:rFonts w:hint="eastAsia" w:cs="Times New Roman"/>
                      <w:color w:val="auto"/>
                      <w:lang w:val="en-US" w:eastAsia="zh-CN"/>
                    </w:rPr>
                    <w:t>台</w:t>
                  </w:r>
                </w:p>
              </w:tc>
              <w:tc>
                <w:tcPr>
                  <w:tcW w:w="1332" w:type="pct"/>
                  <w:tcBorders>
                    <w:tl2br w:val="nil"/>
                    <w:tr2bl w:val="nil"/>
                  </w:tcBorders>
                  <w:noWrap w:val="0"/>
                  <w:vAlign w:val="center"/>
                </w:tcPr>
                <w:p w14:paraId="5A3D875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CSDN800/150</w:t>
                  </w:r>
                </w:p>
              </w:tc>
              <w:tc>
                <w:tcPr>
                  <w:tcW w:w="960" w:type="pct"/>
                  <w:tcBorders>
                    <w:tl2br w:val="nil"/>
                    <w:tr2bl w:val="nil"/>
                  </w:tcBorders>
                  <w:noWrap w:val="0"/>
                  <w:vAlign w:val="center"/>
                </w:tcPr>
                <w:p w14:paraId="306E69E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lang w:val="en-US" w:eastAsia="zh-CN"/>
                    </w:rPr>
                  </w:pPr>
                  <w:r>
                    <w:rPr>
                      <w:rFonts w:hint="eastAsia" w:cs="Times New Roman"/>
                      <w:color w:val="auto"/>
                      <w:lang w:val="en-US" w:eastAsia="zh-CN"/>
                    </w:rPr>
                    <w:t>/</w:t>
                  </w:r>
                </w:p>
              </w:tc>
            </w:tr>
            <w:tr w14:paraId="269602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23" w:type="pct"/>
                  <w:vMerge w:val="continue"/>
                  <w:tcBorders>
                    <w:tl2br w:val="nil"/>
                    <w:tr2bl w:val="nil"/>
                  </w:tcBorders>
                  <w:noWrap w:val="0"/>
                  <w:vAlign w:val="center"/>
                </w:tcPr>
                <w:p w14:paraId="3684CE21">
                  <w:pPr>
                    <w:jc w:val="center"/>
                    <w:rPr>
                      <w:rFonts w:hint="eastAsia" w:ascii="Times New Roman" w:hAnsi="Times New Roman" w:cs="Times New Roman"/>
                      <w:color w:val="auto"/>
                      <w:lang w:val="en-US" w:eastAsia="zh-CN"/>
                    </w:rPr>
                  </w:pPr>
                </w:p>
              </w:tc>
              <w:tc>
                <w:tcPr>
                  <w:tcW w:w="984" w:type="pct"/>
                  <w:tcBorders>
                    <w:tl2br w:val="nil"/>
                    <w:tr2bl w:val="nil"/>
                  </w:tcBorders>
                  <w:shd w:val="clear" w:color="auto" w:fill="auto"/>
                  <w:noWrap w:val="0"/>
                  <w:vAlign w:val="center"/>
                </w:tcPr>
                <w:p w14:paraId="312490D6">
                  <w:pPr>
                    <w:jc w:val="center"/>
                    <w:rPr>
                      <w:rFonts w:hint="eastAsia" w:ascii="Times New Roman" w:hAnsi="Times New Roman" w:eastAsia="宋体" w:cs="Times New Roman"/>
                      <w:color w:val="auto"/>
                      <w:kern w:val="2"/>
                      <w:sz w:val="21"/>
                      <w:szCs w:val="24"/>
                      <w:lang w:val="en-US" w:eastAsia="zh-CN" w:bidi="ar-SA"/>
                    </w:rPr>
                  </w:pPr>
                  <w:r>
                    <w:rPr>
                      <w:rFonts w:hint="eastAsia" w:cs="Times New Roman"/>
                      <w:color w:val="auto"/>
                      <w:lang w:val="en-US" w:eastAsia="zh-CN"/>
                    </w:rPr>
                    <w:t>电加热（</w:t>
                  </w:r>
                  <w:r>
                    <w:rPr>
                      <w:rFonts w:hint="eastAsia" w:ascii="Times New Roman" w:hAnsi="Times New Roman" w:cs="Times New Roman"/>
                      <w:color w:val="auto"/>
                      <w:lang w:val="en-US" w:eastAsia="zh-CN"/>
                    </w:rPr>
                    <w:t>螺杆热泵</w:t>
                  </w:r>
                  <w:r>
                    <w:rPr>
                      <w:rFonts w:hint="eastAsia" w:cs="Times New Roman"/>
                      <w:color w:val="auto"/>
                      <w:lang w:val="en-US" w:eastAsia="zh-CN"/>
                    </w:rPr>
                    <w:t>）</w:t>
                  </w:r>
                </w:p>
              </w:tc>
              <w:tc>
                <w:tcPr>
                  <w:tcW w:w="611" w:type="pct"/>
                  <w:tcBorders>
                    <w:tl2br w:val="nil"/>
                    <w:tr2bl w:val="nil"/>
                  </w:tcBorders>
                  <w:shd w:val="clear" w:color="auto" w:fill="auto"/>
                  <w:noWrap w:val="0"/>
                  <w:vAlign w:val="center"/>
                </w:tcPr>
                <w:p w14:paraId="6ECD4553">
                  <w:pPr>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lang w:val="en-US" w:eastAsia="zh-CN"/>
                    </w:rPr>
                    <w:t>2</w:t>
                  </w:r>
                </w:p>
              </w:tc>
              <w:tc>
                <w:tcPr>
                  <w:tcW w:w="587" w:type="pct"/>
                  <w:tcBorders>
                    <w:tl2br w:val="nil"/>
                    <w:tr2bl w:val="nil"/>
                  </w:tcBorders>
                  <w:shd w:val="clear" w:color="auto" w:fill="auto"/>
                  <w:noWrap w:val="0"/>
                  <w:vAlign w:val="center"/>
                </w:tcPr>
                <w:p w14:paraId="19F205B1">
                  <w:pPr>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color w:val="auto"/>
                      <w:lang w:val="en-US" w:eastAsia="zh-CN"/>
                    </w:rPr>
                    <w:t>台</w:t>
                  </w:r>
                </w:p>
              </w:tc>
              <w:tc>
                <w:tcPr>
                  <w:tcW w:w="1332" w:type="pct"/>
                  <w:tcBorders>
                    <w:tl2br w:val="nil"/>
                    <w:tr2bl w:val="nil"/>
                  </w:tcBorders>
                  <w:shd w:val="clear" w:color="auto" w:fill="auto"/>
                  <w:noWrap w:val="0"/>
                  <w:vAlign w:val="center"/>
                </w:tcPr>
                <w:p w14:paraId="61E7099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lang w:val="en-US" w:eastAsia="zh-CN"/>
                    </w:rPr>
                    <w:t>制热功率385kw</w:t>
                  </w:r>
                </w:p>
              </w:tc>
              <w:tc>
                <w:tcPr>
                  <w:tcW w:w="960" w:type="pct"/>
                  <w:tcBorders>
                    <w:tl2br w:val="nil"/>
                    <w:tr2bl w:val="nil"/>
                  </w:tcBorders>
                  <w:shd w:val="clear" w:color="auto" w:fill="auto"/>
                  <w:noWrap w:val="0"/>
                  <w:vAlign w:val="center"/>
                </w:tcPr>
                <w:p w14:paraId="2F6E84D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由于地热井温度每年有所衰减，电加热记水源热泵</w:t>
                  </w:r>
                </w:p>
              </w:tc>
            </w:tr>
            <w:tr w14:paraId="00D0E7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23" w:type="pct"/>
                  <w:vMerge w:val="continue"/>
                  <w:tcBorders>
                    <w:tl2br w:val="nil"/>
                    <w:tr2bl w:val="nil"/>
                  </w:tcBorders>
                  <w:noWrap w:val="0"/>
                  <w:vAlign w:val="center"/>
                </w:tcPr>
                <w:p w14:paraId="6F7C8ECF">
                  <w:pPr>
                    <w:jc w:val="center"/>
                    <w:rPr>
                      <w:rFonts w:hint="default" w:ascii="Times New Roman" w:hAnsi="Times New Roman" w:cs="Times New Roman"/>
                      <w:color w:val="auto"/>
                      <w:lang w:val="en-US" w:eastAsia="zh-CN"/>
                    </w:rPr>
                  </w:pPr>
                </w:p>
              </w:tc>
              <w:tc>
                <w:tcPr>
                  <w:tcW w:w="984" w:type="pct"/>
                  <w:vMerge w:val="restart"/>
                  <w:tcBorders>
                    <w:tl2br w:val="nil"/>
                    <w:tr2bl w:val="nil"/>
                  </w:tcBorders>
                  <w:noWrap w:val="0"/>
                  <w:vAlign w:val="center"/>
                </w:tcPr>
                <w:p w14:paraId="59311894">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板式换热器</w:t>
                  </w:r>
                </w:p>
              </w:tc>
              <w:tc>
                <w:tcPr>
                  <w:tcW w:w="611" w:type="pct"/>
                  <w:tcBorders>
                    <w:tl2br w:val="nil"/>
                    <w:tr2bl w:val="nil"/>
                  </w:tcBorders>
                  <w:noWrap w:val="0"/>
                  <w:vAlign w:val="center"/>
                </w:tcPr>
                <w:p w14:paraId="7CA56FBB">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4</w:t>
                  </w:r>
                </w:p>
              </w:tc>
              <w:tc>
                <w:tcPr>
                  <w:tcW w:w="587" w:type="pct"/>
                  <w:tcBorders>
                    <w:tl2br w:val="nil"/>
                    <w:tr2bl w:val="nil"/>
                  </w:tcBorders>
                  <w:noWrap w:val="0"/>
                  <w:vAlign w:val="center"/>
                </w:tcPr>
                <w:p w14:paraId="3D794F15">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台</w:t>
                  </w:r>
                </w:p>
              </w:tc>
              <w:tc>
                <w:tcPr>
                  <w:tcW w:w="1332" w:type="pct"/>
                  <w:tcBorders>
                    <w:tl2br w:val="nil"/>
                    <w:tr2bl w:val="nil"/>
                  </w:tcBorders>
                  <w:noWrap w:val="0"/>
                  <w:vAlign w:val="center"/>
                </w:tcPr>
                <w:p w14:paraId="4B9AD2A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高区</w:t>
                  </w:r>
                  <w:r>
                    <w:rPr>
                      <w:rFonts w:hint="eastAsia" w:ascii="Times New Roman" w:hAnsi="Times New Roman" w:eastAsia="宋体" w:cs="Times New Roman"/>
                      <w:color w:val="auto"/>
                      <w:lang w:val="en-US" w:eastAsia="zh-CN"/>
                    </w:rPr>
                    <w:t>2549</w:t>
                  </w:r>
                </w:p>
              </w:tc>
              <w:tc>
                <w:tcPr>
                  <w:tcW w:w="960" w:type="pct"/>
                  <w:tcBorders>
                    <w:tl2br w:val="nil"/>
                    <w:tr2bl w:val="nil"/>
                  </w:tcBorders>
                  <w:noWrap w:val="0"/>
                  <w:vAlign w:val="center"/>
                </w:tcPr>
                <w:p w14:paraId="37F7438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lang w:val="en-US" w:eastAsia="zh-CN"/>
                    </w:rPr>
                  </w:pPr>
                  <w:r>
                    <w:rPr>
                      <w:rFonts w:hint="eastAsia" w:cs="Times New Roman"/>
                      <w:color w:val="auto"/>
                      <w:lang w:val="en-US" w:eastAsia="zh-CN"/>
                    </w:rPr>
                    <w:t>/</w:t>
                  </w:r>
                </w:p>
              </w:tc>
            </w:tr>
            <w:tr w14:paraId="560D7F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23" w:type="pct"/>
                  <w:vMerge w:val="continue"/>
                  <w:tcBorders>
                    <w:tl2br w:val="nil"/>
                    <w:tr2bl w:val="nil"/>
                  </w:tcBorders>
                  <w:noWrap w:val="0"/>
                  <w:vAlign w:val="center"/>
                </w:tcPr>
                <w:p w14:paraId="3350DE7B">
                  <w:pPr>
                    <w:jc w:val="center"/>
                    <w:rPr>
                      <w:rFonts w:hint="eastAsia" w:ascii="Times New Roman" w:hAnsi="Times New Roman" w:cs="Times New Roman"/>
                      <w:color w:val="auto"/>
                      <w:lang w:val="en-US" w:eastAsia="zh-CN"/>
                    </w:rPr>
                  </w:pPr>
                </w:p>
              </w:tc>
              <w:tc>
                <w:tcPr>
                  <w:tcW w:w="984" w:type="pct"/>
                  <w:vMerge w:val="continue"/>
                  <w:tcBorders>
                    <w:tl2br w:val="nil"/>
                    <w:tr2bl w:val="nil"/>
                  </w:tcBorders>
                  <w:noWrap w:val="0"/>
                  <w:vAlign w:val="center"/>
                </w:tcPr>
                <w:p w14:paraId="40F64DF0">
                  <w:pPr>
                    <w:jc w:val="center"/>
                    <w:rPr>
                      <w:rFonts w:hint="default" w:ascii="Times New Roman" w:hAnsi="Times New Roman" w:cs="Times New Roman"/>
                      <w:color w:val="auto"/>
                      <w:lang w:val="en-US" w:eastAsia="zh-CN"/>
                    </w:rPr>
                  </w:pPr>
                </w:p>
              </w:tc>
              <w:tc>
                <w:tcPr>
                  <w:tcW w:w="611" w:type="pct"/>
                  <w:tcBorders>
                    <w:tl2br w:val="nil"/>
                    <w:tr2bl w:val="nil"/>
                  </w:tcBorders>
                  <w:noWrap w:val="0"/>
                  <w:vAlign w:val="center"/>
                </w:tcPr>
                <w:p w14:paraId="4BFE485B">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4</w:t>
                  </w:r>
                </w:p>
              </w:tc>
              <w:tc>
                <w:tcPr>
                  <w:tcW w:w="587" w:type="pct"/>
                  <w:tcBorders>
                    <w:tl2br w:val="nil"/>
                    <w:tr2bl w:val="nil"/>
                  </w:tcBorders>
                  <w:noWrap w:val="0"/>
                  <w:vAlign w:val="center"/>
                </w:tcPr>
                <w:p w14:paraId="10FDC6A9">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台</w:t>
                  </w:r>
                </w:p>
              </w:tc>
              <w:tc>
                <w:tcPr>
                  <w:tcW w:w="1332" w:type="pct"/>
                  <w:tcBorders>
                    <w:tl2br w:val="nil"/>
                    <w:tr2bl w:val="nil"/>
                  </w:tcBorders>
                  <w:noWrap w:val="0"/>
                  <w:vAlign w:val="center"/>
                </w:tcPr>
                <w:p w14:paraId="08F1F2B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低区</w:t>
                  </w:r>
                  <w:r>
                    <w:rPr>
                      <w:rFonts w:hint="eastAsia" w:ascii="Times New Roman" w:hAnsi="Times New Roman" w:eastAsia="宋体" w:cs="Times New Roman"/>
                      <w:color w:val="auto"/>
                      <w:lang w:val="en-US" w:eastAsia="zh-CN"/>
                    </w:rPr>
                    <w:t>4089</w:t>
                  </w:r>
                </w:p>
              </w:tc>
              <w:tc>
                <w:tcPr>
                  <w:tcW w:w="960" w:type="pct"/>
                  <w:tcBorders>
                    <w:tl2br w:val="nil"/>
                    <w:tr2bl w:val="nil"/>
                  </w:tcBorders>
                  <w:noWrap w:val="0"/>
                  <w:vAlign w:val="center"/>
                </w:tcPr>
                <w:p w14:paraId="17726A7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lang w:val="en-US" w:eastAsia="zh-CN"/>
                    </w:rPr>
                  </w:pPr>
                  <w:r>
                    <w:rPr>
                      <w:rFonts w:hint="eastAsia" w:cs="Times New Roman"/>
                      <w:color w:val="auto"/>
                      <w:lang w:val="en-US" w:eastAsia="zh-CN"/>
                    </w:rPr>
                    <w:t>/</w:t>
                  </w:r>
                </w:p>
              </w:tc>
            </w:tr>
            <w:tr w14:paraId="43D11D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23" w:type="pct"/>
                  <w:vMerge w:val="continue"/>
                  <w:tcBorders>
                    <w:tl2br w:val="nil"/>
                    <w:tr2bl w:val="nil"/>
                  </w:tcBorders>
                  <w:noWrap w:val="0"/>
                  <w:vAlign w:val="center"/>
                </w:tcPr>
                <w:p w14:paraId="4A6464D4">
                  <w:pPr>
                    <w:jc w:val="center"/>
                    <w:rPr>
                      <w:rFonts w:hint="default" w:ascii="Times New Roman" w:hAnsi="Times New Roman" w:cs="Times New Roman"/>
                      <w:color w:val="auto"/>
                      <w:lang w:val="en-US" w:eastAsia="zh-CN"/>
                    </w:rPr>
                  </w:pPr>
                </w:p>
              </w:tc>
              <w:tc>
                <w:tcPr>
                  <w:tcW w:w="984" w:type="pct"/>
                  <w:tcBorders>
                    <w:tl2br w:val="nil"/>
                    <w:tr2bl w:val="nil"/>
                  </w:tcBorders>
                  <w:noWrap w:val="0"/>
                  <w:vAlign w:val="center"/>
                </w:tcPr>
                <w:p w14:paraId="61E3704B">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供热循环泵</w:t>
                  </w:r>
                </w:p>
              </w:tc>
              <w:tc>
                <w:tcPr>
                  <w:tcW w:w="611" w:type="pct"/>
                  <w:tcBorders>
                    <w:tl2br w:val="nil"/>
                    <w:tr2bl w:val="nil"/>
                  </w:tcBorders>
                  <w:noWrap w:val="0"/>
                  <w:vAlign w:val="center"/>
                </w:tcPr>
                <w:p w14:paraId="34B3C877">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9</w:t>
                  </w:r>
                </w:p>
              </w:tc>
              <w:tc>
                <w:tcPr>
                  <w:tcW w:w="587" w:type="pct"/>
                  <w:tcBorders>
                    <w:tl2br w:val="nil"/>
                    <w:tr2bl w:val="nil"/>
                  </w:tcBorders>
                  <w:noWrap w:val="0"/>
                  <w:vAlign w:val="center"/>
                </w:tcPr>
                <w:p w14:paraId="33329D90">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台</w:t>
                  </w:r>
                </w:p>
              </w:tc>
              <w:tc>
                <w:tcPr>
                  <w:tcW w:w="1332" w:type="pct"/>
                  <w:tcBorders>
                    <w:tl2br w:val="nil"/>
                    <w:tr2bl w:val="nil"/>
                  </w:tcBorders>
                  <w:noWrap w:val="0"/>
                  <w:vAlign w:val="center"/>
                </w:tcPr>
                <w:p w14:paraId="297C11A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w:t>
                  </w:r>
                </w:p>
              </w:tc>
              <w:tc>
                <w:tcPr>
                  <w:tcW w:w="960" w:type="pct"/>
                  <w:tcBorders>
                    <w:tl2br w:val="nil"/>
                    <w:tr2bl w:val="nil"/>
                  </w:tcBorders>
                  <w:noWrap w:val="0"/>
                  <w:vAlign w:val="center"/>
                </w:tcPr>
                <w:p w14:paraId="30F5186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lang w:val="en-US" w:eastAsia="zh-CN"/>
                    </w:rPr>
                  </w:pPr>
                  <w:r>
                    <w:rPr>
                      <w:rFonts w:hint="eastAsia" w:cs="Times New Roman"/>
                      <w:color w:val="auto"/>
                      <w:lang w:val="en-US" w:eastAsia="zh-CN"/>
                    </w:rPr>
                    <w:t>/</w:t>
                  </w:r>
                </w:p>
              </w:tc>
            </w:tr>
            <w:tr w14:paraId="0DA35E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23" w:type="pct"/>
                  <w:tcBorders>
                    <w:tl2br w:val="nil"/>
                    <w:tr2bl w:val="nil"/>
                  </w:tcBorders>
                  <w:noWrap w:val="0"/>
                  <w:vAlign w:val="center"/>
                </w:tcPr>
                <w:p w14:paraId="6D969929">
                  <w:pPr>
                    <w:jc w:val="center"/>
                    <w:rPr>
                      <w:rFonts w:hint="default" w:ascii="Times New Roman" w:hAnsi="Times New Roman" w:cs="Times New Roman"/>
                      <w:color w:val="auto"/>
                      <w:lang w:val="en-US" w:eastAsia="zh-CN"/>
                    </w:rPr>
                  </w:pPr>
                  <w:r>
                    <w:rPr>
                      <w:rFonts w:hint="eastAsia"/>
                      <w:color w:val="auto"/>
                      <w:lang w:val="en-US" w:eastAsia="zh-CN"/>
                    </w:rPr>
                    <w:t>地热井设备</w:t>
                  </w:r>
                </w:p>
              </w:tc>
              <w:tc>
                <w:tcPr>
                  <w:tcW w:w="984" w:type="pct"/>
                  <w:tcBorders>
                    <w:tl2br w:val="nil"/>
                    <w:tr2bl w:val="nil"/>
                  </w:tcBorders>
                  <w:noWrap w:val="0"/>
                  <w:vAlign w:val="center"/>
                </w:tcPr>
                <w:p w14:paraId="0BE93189">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耐热潜水泵</w:t>
                  </w:r>
                </w:p>
              </w:tc>
              <w:tc>
                <w:tcPr>
                  <w:tcW w:w="611" w:type="pct"/>
                  <w:tcBorders>
                    <w:tl2br w:val="nil"/>
                    <w:tr2bl w:val="nil"/>
                  </w:tcBorders>
                  <w:noWrap w:val="0"/>
                  <w:vAlign w:val="center"/>
                </w:tcPr>
                <w:p w14:paraId="291069FA">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w:t>
                  </w:r>
                </w:p>
              </w:tc>
              <w:tc>
                <w:tcPr>
                  <w:tcW w:w="587" w:type="pct"/>
                  <w:tcBorders>
                    <w:tl2br w:val="nil"/>
                    <w:tr2bl w:val="nil"/>
                  </w:tcBorders>
                  <w:noWrap w:val="0"/>
                  <w:vAlign w:val="center"/>
                </w:tcPr>
                <w:p w14:paraId="247310B7">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台</w:t>
                  </w:r>
                </w:p>
              </w:tc>
              <w:tc>
                <w:tcPr>
                  <w:tcW w:w="1332" w:type="pct"/>
                  <w:tcBorders>
                    <w:tl2br w:val="nil"/>
                    <w:tr2bl w:val="nil"/>
                  </w:tcBorders>
                  <w:noWrap w:val="0"/>
                  <w:vAlign w:val="center"/>
                </w:tcPr>
                <w:p w14:paraId="60E99A5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250Q150-260/55kw</w:t>
                  </w:r>
                </w:p>
              </w:tc>
              <w:tc>
                <w:tcPr>
                  <w:tcW w:w="960" w:type="pct"/>
                  <w:tcBorders>
                    <w:tl2br w:val="nil"/>
                    <w:tr2bl w:val="nil"/>
                  </w:tcBorders>
                  <w:noWrap w:val="0"/>
                  <w:vAlign w:val="center"/>
                </w:tcPr>
                <w:p w14:paraId="2AC1915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lang w:val="en-US" w:eastAsia="zh-CN"/>
                    </w:rPr>
                  </w:pPr>
                  <w:r>
                    <w:rPr>
                      <w:rFonts w:hint="eastAsia" w:cs="Times New Roman"/>
                      <w:color w:val="auto"/>
                      <w:lang w:val="en-US" w:eastAsia="zh-CN"/>
                    </w:rPr>
                    <w:t>/</w:t>
                  </w:r>
                </w:p>
              </w:tc>
            </w:tr>
            <w:tr w14:paraId="3FB79A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23" w:type="pct"/>
                  <w:tcBorders>
                    <w:tl2br w:val="nil"/>
                    <w:tr2bl w:val="nil"/>
                  </w:tcBorders>
                  <w:noWrap w:val="0"/>
                  <w:vAlign w:val="center"/>
                </w:tcPr>
                <w:p w14:paraId="04857C0E">
                  <w:pPr>
                    <w:jc w:val="center"/>
                    <w:rPr>
                      <w:rFonts w:hint="default"/>
                      <w:color w:val="auto"/>
                      <w:lang w:val="en-US" w:eastAsia="zh-CN"/>
                    </w:rPr>
                  </w:pPr>
                  <w:r>
                    <w:rPr>
                      <w:rFonts w:hint="eastAsia"/>
                      <w:color w:val="auto"/>
                      <w:lang w:val="en-US" w:eastAsia="zh-CN"/>
                    </w:rPr>
                    <w:t>软水设备</w:t>
                  </w:r>
                </w:p>
              </w:tc>
              <w:tc>
                <w:tcPr>
                  <w:tcW w:w="984" w:type="pct"/>
                  <w:tcBorders>
                    <w:tl2br w:val="nil"/>
                    <w:tr2bl w:val="nil"/>
                  </w:tcBorders>
                  <w:noWrap w:val="0"/>
                  <w:vAlign w:val="center"/>
                </w:tcPr>
                <w:p w14:paraId="08B79539">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全自动软化设备</w:t>
                  </w:r>
                </w:p>
              </w:tc>
              <w:tc>
                <w:tcPr>
                  <w:tcW w:w="611" w:type="pct"/>
                  <w:tcBorders>
                    <w:tl2br w:val="nil"/>
                    <w:tr2bl w:val="nil"/>
                  </w:tcBorders>
                  <w:noWrap w:val="0"/>
                  <w:vAlign w:val="center"/>
                </w:tcPr>
                <w:p w14:paraId="50E790C7">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w:t>
                  </w:r>
                </w:p>
              </w:tc>
              <w:tc>
                <w:tcPr>
                  <w:tcW w:w="587" w:type="pct"/>
                  <w:tcBorders>
                    <w:tl2br w:val="nil"/>
                    <w:tr2bl w:val="nil"/>
                  </w:tcBorders>
                  <w:noWrap w:val="0"/>
                  <w:vAlign w:val="center"/>
                </w:tcPr>
                <w:p w14:paraId="684D4D79">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台</w:t>
                  </w:r>
                </w:p>
              </w:tc>
              <w:tc>
                <w:tcPr>
                  <w:tcW w:w="1332" w:type="pct"/>
                  <w:tcBorders>
                    <w:tl2br w:val="nil"/>
                    <w:tr2bl w:val="nil"/>
                  </w:tcBorders>
                  <w:noWrap w:val="0"/>
                  <w:vAlign w:val="center"/>
                </w:tcPr>
                <w:p w14:paraId="212626A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w:t>
                  </w:r>
                </w:p>
              </w:tc>
              <w:tc>
                <w:tcPr>
                  <w:tcW w:w="960" w:type="pct"/>
                  <w:tcBorders>
                    <w:tl2br w:val="nil"/>
                    <w:tr2bl w:val="nil"/>
                  </w:tcBorders>
                  <w:noWrap w:val="0"/>
                  <w:vAlign w:val="center"/>
                </w:tcPr>
                <w:p w14:paraId="3E3BEE0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lang w:val="en-US" w:eastAsia="zh-CN"/>
                    </w:rPr>
                  </w:pPr>
                  <w:r>
                    <w:rPr>
                      <w:rFonts w:hint="eastAsia" w:cs="Times New Roman"/>
                      <w:color w:val="auto"/>
                      <w:lang w:val="en-US" w:eastAsia="zh-CN"/>
                    </w:rPr>
                    <w:t>/</w:t>
                  </w:r>
                </w:p>
              </w:tc>
            </w:tr>
            <w:tr w14:paraId="377884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23" w:type="pct"/>
                  <w:vMerge w:val="restart"/>
                  <w:tcBorders>
                    <w:tl2br w:val="nil"/>
                    <w:tr2bl w:val="nil"/>
                  </w:tcBorders>
                  <w:noWrap w:val="0"/>
                  <w:vAlign w:val="center"/>
                </w:tcPr>
                <w:p w14:paraId="5F0B3D4A">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回灌系统</w:t>
                  </w:r>
                </w:p>
              </w:tc>
              <w:tc>
                <w:tcPr>
                  <w:tcW w:w="984" w:type="pct"/>
                  <w:tcBorders>
                    <w:tl2br w:val="nil"/>
                    <w:tr2bl w:val="nil"/>
                  </w:tcBorders>
                  <w:noWrap w:val="0"/>
                  <w:vAlign w:val="top"/>
                </w:tcPr>
                <w:p w14:paraId="1C32F60C">
                  <w:pPr>
                    <w:pStyle w:val="25"/>
                    <w:spacing w:before="59"/>
                    <w:ind w:left="140" w:leftChars="0" w:right="121"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排气罐</w:t>
                  </w:r>
                </w:p>
              </w:tc>
              <w:tc>
                <w:tcPr>
                  <w:tcW w:w="611" w:type="pct"/>
                  <w:tcBorders>
                    <w:tl2br w:val="nil"/>
                    <w:tr2bl w:val="nil"/>
                  </w:tcBorders>
                  <w:noWrap w:val="0"/>
                  <w:vAlign w:val="center"/>
                </w:tcPr>
                <w:p w14:paraId="50DC4B74">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3</w:t>
                  </w:r>
                </w:p>
              </w:tc>
              <w:tc>
                <w:tcPr>
                  <w:tcW w:w="587" w:type="pct"/>
                  <w:tcBorders>
                    <w:tl2br w:val="nil"/>
                    <w:tr2bl w:val="nil"/>
                  </w:tcBorders>
                  <w:noWrap w:val="0"/>
                  <w:vAlign w:val="center"/>
                </w:tcPr>
                <w:p w14:paraId="5391639F">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台</w:t>
                  </w:r>
                </w:p>
              </w:tc>
              <w:tc>
                <w:tcPr>
                  <w:tcW w:w="1332" w:type="pct"/>
                  <w:tcBorders>
                    <w:tl2br w:val="nil"/>
                    <w:tr2bl w:val="nil"/>
                  </w:tcBorders>
                  <w:noWrap w:val="0"/>
                  <w:vAlign w:val="center"/>
                </w:tcPr>
                <w:p w14:paraId="69E2062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600mm*2200mm</w:t>
                  </w:r>
                </w:p>
              </w:tc>
              <w:tc>
                <w:tcPr>
                  <w:tcW w:w="960" w:type="pct"/>
                  <w:tcBorders>
                    <w:tl2br w:val="nil"/>
                    <w:tr2bl w:val="nil"/>
                  </w:tcBorders>
                  <w:noWrap w:val="0"/>
                  <w:vAlign w:val="center"/>
                </w:tcPr>
                <w:p w14:paraId="2A666AC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lang w:val="en-US" w:eastAsia="zh-CN"/>
                    </w:rPr>
                  </w:pPr>
                  <w:r>
                    <w:rPr>
                      <w:rFonts w:hint="eastAsia" w:cs="Times New Roman"/>
                      <w:color w:val="auto"/>
                      <w:lang w:val="en-US" w:eastAsia="zh-CN"/>
                    </w:rPr>
                    <w:t>/</w:t>
                  </w:r>
                </w:p>
              </w:tc>
            </w:tr>
            <w:tr w14:paraId="472004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23" w:type="pct"/>
                  <w:vMerge w:val="continue"/>
                  <w:tcBorders>
                    <w:tl2br w:val="nil"/>
                    <w:tr2bl w:val="nil"/>
                  </w:tcBorders>
                  <w:noWrap w:val="0"/>
                  <w:vAlign w:val="center"/>
                </w:tcPr>
                <w:p w14:paraId="288647BD">
                  <w:pPr>
                    <w:jc w:val="center"/>
                    <w:rPr>
                      <w:rFonts w:hint="default" w:ascii="Times New Roman" w:hAnsi="Times New Roman" w:cs="Times New Roman"/>
                      <w:color w:val="auto"/>
                      <w:lang w:val="en-US" w:eastAsia="zh-CN"/>
                    </w:rPr>
                  </w:pPr>
                </w:p>
              </w:tc>
              <w:tc>
                <w:tcPr>
                  <w:tcW w:w="984" w:type="pct"/>
                  <w:tcBorders>
                    <w:tl2br w:val="nil"/>
                    <w:tr2bl w:val="nil"/>
                  </w:tcBorders>
                  <w:noWrap w:val="0"/>
                  <w:vAlign w:val="top"/>
                </w:tcPr>
                <w:p w14:paraId="59E5560E">
                  <w:pPr>
                    <w:pStyle w:val="25"/>
                    <w:spacing w:before="58"/>
                    <w:ind w:left="140" w:leftChars="0" w:right="121"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过滤器</w:t>
                  </w:r>
                </w:p>
              </w:tc>
              <w:tc>
                <w:tcPr>
                  <w:tcW w:w="611" w:type="pct"/>
                  <w:tcBorders>
                    <w:tl2br w:val="nil"/>
                    <w:tr2bl w:val="nil"/>
                  </w:tcBorders>
                  <w:noWrap w:val="0"/>
                  <w:vAlign w:val="center"/>
                </w:tcPr>
                <w:p w14:paraId="48027B68">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3</w:t>
                  </w:r>
                </w:p>
              </w:tc>
              <w:tc>
                <w:tcPr>
                  <w:tcW w:w="587" w:type="pct"/>
                  <w:tcBorders>
                    <w:tl2br w:val="nil"/>
                    <w:tr2bl w:val="nil"/>
                  </w:tcBorders>
                  <w:noWrap w:val="0"/>
                  <w:vAlign w:val="center"/>
                </w:tcPr>
                <w:p w14:paraId="66A677CD">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台</w:t>
                  </w:r>
                </w:p>
              </w:tc>
              <w:tc>
                <w:tcPr>
                  <w:tcW w:w="1332" w:type="pct"/>
                  <w:tcBorders>
                    <w:tl2br w:val="nil"/>
                    <w:tr2bl w:val="nil"/>
                  </w:tcBorders>
                  <w:noWrap w:val="0"/>
                  <w:vAlign w:val="center"/>
                </w:tcPr>
                <w:p w14:paraId="15CA350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600mm*2200mm</w:t>
                  </w:r>
                </w:p>
              </w:tc>
              <w:tc>
                <w:tcPr>
                  <w:tcW w:w="960" w:type="pct"/>
                  <w:tcBorders>
                    <w:tl2br w:val="nil"/>
                    <w:tr2bl w:val="nil"/>
                  </w:tcBorders>
                  <w:noWrap w:val="0"/>
                  <w:vAlign w:val="center"/>
                </w:tcPr>
                <w:p w14:paraId="7733239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lang w:val="en-US" w:eastAsia="zh-CN"/>
                    </w:rPr>
                  </w:pPr>
                  <w:r>
                    <w:rPr>
                      <w:rFonts w:hint="eastAsia" w:cs="Times New Roman"/>
                      <w:color w:val="auto"/>
                      <w:lang w:val="en-US" w:eastAsia="zh-CN"/>
                    </w:rPr>
                    <w:t>/</w:t>
                  </w:r>
                </w:p>
              </w:tc>
            </w:tr>
            <w:tr w14:paraId="560613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23" w:type="pct"/>
                  <w:vMerge w:val="continue"/>
                  <w:tcBorders>
                    <w:tl2br w:val="nil"/>
                    <w:tr2bl w:val="nil"/>
                  </w:tcBorders>
                  <w:noWrap w:val="0"/>
                  <w:vAlign w:val="center"/>
                </w:tcPr>
                <w:p w14:paraId="586A084F">
                  <w:pPr>
                    <w:jc w:val="center"/>
                    <w:rPr>
                      <w:rFonts w:hint="default" w:ascii="Times New Roman" w:hAnsi="Times New Roman" w:cs="Times New Roman"/>
                      <w:color w:val="auto"/>
                      <w:lang w:val="en-US" w:eastAsia="zh-CN"/>
                    </w:rPr>
                  </w:pPr>
                </w:p>
              </w:tc>
              <w:tc>
                <w:tcPr>
                  <w:tcW w:w="984" w:type="pct"/>
                  <w:tcBorders>
                    <w:tl2br w:val="nil"/>
                    <w:tr2bl w:val="nil"/>
                  </w:tcBorders>
                  <w:noWrap w:val="0"/>
                  <w:vAlign w:val="top"/>
                </w:tcPr>
                <w:p w14:paraId="6F2B1B8A">
                  <w:pPr>
                    <w:pStyle w:val="25"/>
                    <w:spacing w:before="59"/>
                    <w:ind w:left="140" w:leftChars="0" w:right="121" w:right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一级加压泵</w:t>
                  </w:r>
                </w:p>
              </w:tc>
              <w:tc>
                <w:tcPr>
                  <w:tcW w:w="611" w:type="pct"/>
                  <w:tcBorders>
                    <w:tl2br w:val="nil"/>
                    <w:tr2bl w:val="nil"/>
                  </w:tcBorders>
                  <w:noWrap w:val="0"/>
                  <w:vAlign w:val="center"/>
                </w:tcPr>
                <w:p w14:paraId="4F06C022">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2</w:t>
                  </w:r>
                </w:p>
              </w:tc>
              <w:tc>
                <w:tcPr>
                  <w:tcW w:w="587" w:type="pct"/>
                  <w:tcBorders>
                    <w:tl2br w:val="nil"/>
                    <w:tr2bl w:val="nil"/>
                  </w:tcBorders>
                  <w:noWrap w:val="0"/>
                  <w:vAlign w:val="center"/>
                </w:tcPr>
                <w:p w14:paraId="1775B5CD">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台</w:t>
                  </w:r>
                </w:p>
              </w:tc>
              <w:tc>
                <w:tcPr>
                  <w:tcW w:w="1332" w:type="pct"/>
                  <w:tcBorders>
                    <w:tl2br w:val="nil"/>
                    <w:tr2bl w:val="nil"/>
                  </w:tcBorders>
                  <w:noWrap w:val="0"/>
                  <w:vAlign w:val="center"/>
                </w:tcPr>
                <w:p w14:paraId="432DDFA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50m³/h、50m</w:t>
                  </w:r>
                </w:p>
              </w:tc>
              <w:tc>
                <w:tcPr>
                  <w:tcW w:w="960" w:type="pct"/>
                  <w:tcBorders>
                    <w:tl2br w:val="nil"/>
                    <w:tr2bl w:val="nil"/>
                  </w:tcBorders>
                  <w:noWrap w:val="0"/>
                  <w:vAlign w:val="center"/>
                </w:tcPr>
                <w:p w14:paraId="5AAE45E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w:t>
                  </w:r>
                </w:p>
              </w:tc>
            </w:tr>
            <w:tr w14:paraId="43D1F1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23" w:type="pct"/>
                  <w:vMerge w:val="continue"/>
                  <w:tcBorders>
                    <w:tl2br w:val="nil"/>
                    <w:tr2bl w:val="nil"/>
                  </w:tcBorders>
                  <w:noWrap w:val="0"/>
                  <w:vAlign w:val="center"/>
                </w:tcPr>
                <w:p w14:paraId="135C5031">
                  <w:pPr>
                    <w:jc w:val="center"/>
                    <w:rPr>
                      <w:rFonts w:hint="default" w:ascii="Times New Roman" w:hAnsi="Times New Roman" w:cs="Times New Roman"/>
                      <w:color w:val="auto"/>
                      <w:lang w:val="en-US" w:eastAsia="zh-CN"/>
                    </w:rPr>
                  </w:pPr>
                </w:p>
              </w:tc>
              <w:tc>
                <w:tcPr>
                  <w:tcW w:w="984" w:type="pct"/>
                  <w:tcBorders>
                    <w:tl2br w:val="nil"/>
                    <w:tr2bl w:val="nil"/>
                  </w:tcBorders>
                  <w:noWrap w:val="0"/>
                  <w:vAlign w:val="top"/>
                </w:tcPr>
                <w:p w14:paraId="52D5C3C0">
                  <w:pPr>
                    <w:pStyle w:val="25"/>
                    <w:spacing w:before="58"/>
                    <w:ind w:left="140" w:leftChars="0" w:right="121" w:rightChars="0"/>
                    <w:jc w:val="center"/>
                    <w:rPr>
                      <w:rFonts w:hint="default" w:ascii="Times New Roman" w:hAnsi="Times New Roman" w:cs="Times New Roman"/>
                      <w:color w:val="auto"/>
                    </w:rPr>
                  </w:pPr>
                  <w:r>
                    <w:rPr>
                      <w:rFonts w:hint="eastAsia" w:ascii="Times New Roman" w:hAnsi="Times New Roman" w:cs="Times New Roman"/>
                      <w:color w:val="auto"/>
                      <w:lang w:val="en-US" w:eastAsia="zh-CN"/>
                    </w:rPr>
                    <w:t>二级加压泵</w:t>
                  </w:r>
                </w:p>
              </w:tc>
              <w:tc>
                <w:tcPr>
                  <w:tcW w:w="611" w:type="pct"/>
                  <w:tcBorders>
                    <w:tl2br w:val="nil"/>
                    <w:tr2bl w:val="nil"/>
                  </w:tcBorders>
                  <w:noWrap w:val="0"/>
                  <w:vAlign w:val="center"/>
                </w:tcPr>
                <w:p w14:paraId="49A026F3">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2</w:t>
                  </w:r>
                </w:p>
              </w:tc>
              <w:tc>
                <w:tcPr>
                  <w:tcW w:w="587" w:type="pct"/>
                  <w:tcBorders>
                    <w:tl2br w:val="nil"/>
                    <w:tr2bl w:val="nil"/>
                  </w:tcBorders>
                  <w:noWrap w:val="0"/>
                  <w:vAlign w:val="center"/>
                </w:tcPr>
                <w:p w14:paraId="3D7F4E02">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台</w:t>
                  </w:r>
                </w:p>
              </w:tc>
              <w:tc>
                <w:tcPr>
                  <w:tcW w:w="1332" w:type="pct"/>
                  <w:tcBorders>
                    <w:tl2br w:val="nil"/>
                    <w:tr2bl w:val="nil"/>
                  </w:tcBorders>
                  <w:noWrap w:val="0"/>
                  <w:vAlign w:val="center"/>
                </w:tcPr>
                <w:p w14:paraId="66BFF65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lang w:val="en-US" w:eastAsia="zh-CN"/>
                    </w:rPr>
                  </w:pPr>
                  <w:r>
                    <w:rPr>
                      <w:rFonts w:hint="default" w:ascii="Times New Roman" w:hAnsi="Times New Roman" w:eastAsia="宋体" w:cs="Times New Roman"/>
                      <w:color w:val="auto"/>
                      <w:lang w:val="en-US" w:eastAsia="zh-CN"/>
                    </w:rPr>
                    <w:t>50m³/h、110m</w:t>
                  </w:r>
                </w:p>
              </w:tc>
              <w:tc>
                <w:tcPr>
                  <w:tcW w:w="960" w:type="pct"/>
                  <w:tcBorders>
                    <w:tl2br w:val="nil"/>
                    <w:tr2bl w:val="nil"/>
                  </w:tcBorders>
                  <w:noWrap w:val="0"/>
                  <w:vAlign w:val="center"/>
                </w:tcPr>
                <w:p w14:paraId="08F3C84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w:t>
                  </w:r>
                </w:p>
              </w:tc>
            </w:tr>
            <w:tr w14:paraId="148345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23" w:type="pct"/>
                  <w:tcBorders>
                    <w:tl2br w:val="nil"/>
                    <w:tr2bl w:val="nil"/>
                  </w:tcBorders>
                  <w:noWrap w:val="0"/>
                  <w:vAlign w:val="center"/>
                </w:tcPr>
                <w:p w14:paraId="7067AB72">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管线</w:t>
                  </w:r>
                </w:p>
              </w:tc>
              <w:tc>
                <w:tcPr>
                  <w:tcW w:w="984" w:type="pct"/>
                  <w:tcBorders>
                    <w:tl2br w:val="nil"/>
                    <w:tr2bl w:val="nil"/>
                  </w:tcBorders>
                  <w:noWrap w:val="0"/>
                  <w:vAlign w:val="center"/>
                </w:tcPr>
                <w:p w14:paraId="7CFCC081">
                  <w:pPr>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供热保温管道DN125</w:t>
                  </w:r>
                </w:p>
              </w:tc>
              <w:tc>
                <w:tcPr>
                  <w:tcW w:w="611" w:type="pct"/>
                  <w:tcBorders>
                    <w:tl2br w:val="nil"/>
                    <w:tr2bl w:val="nil"/>
                  </w:tcBorders>
                  <w:noWrap w:val="0"/>
                  <w:vAlign w:val="center"/>
                </w:tcPr>
                <w:p w14:paraId="6C0EDE72">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245</w:t>
                  </w:r>
                </w:p>
              </w:tc>
              <w:tc>
                <w:tcPr>
                  <w:tcW w:w="587" w:type="pct"/>
                  <w:tcBorders>
                    <w:tl2br w:val="nil"/>
                    <w:tr2bl w:val="nil"/>
                  </w:tcBorders>
                  <w:noWrap w:val="0"/>
                  <w:vAlign w:val="center"/>
                </w:tcPr>
                <w:p w14:paraId="1B378E58">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m</w:t>
                  </w:r>
                </w:p>
              </w:tc>
              <w:tc>
                <w:tcPr>
                  <w:tcW w:w="1332" w:type="pct"/>
                  <w:tcBorders>
                    <w:tl2br w:val="nil"/>
                    <w:tr2bl w:val="nil"/>
                  </w:tcBorders>
                  <w:noWrap w:val="0"/>
                  <w:vAlign w:val="center"/>
                </w:tcPr>
                <w:p w14:paraId="6684849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由</w:t>
                  </w:r>
                  <w:r>
                    <w:rPr>
                      <w:rFonts w:hint="eastAsia" w:cs="Times New Roman"/>
                      <w:color w:val="auto"/>
                      <w:lang w:val="en-US" w:eastAsia="zh-CN"/>
                    </w:rPr>
                    <w:t>供热机房</w:t>
                  </w:r>
                  <w:r>
                    <w:rPr>
                      <w:rFonts w:hint="eastAsia" w:ascii="Times New Roman" w:hAnsi="Times New Roman" w:eastAsia="宋体" w:cs="Times New Roman"/>
                      <w:color w:val="auto"/>
                      <w:lang w:val="en-US" w:eastAsia="zh-CN"/>
                    </w:rPr>
                    <w:t>向西北敷设</w:t>
                  </w:r>
                </w:p>
              </w:tc>
              <w:tc>
                <w:tcPr>
                  <w:tcW w:w="960" w:type="pct"/>
                  <w:tcBorders>
                    <w:tl2br w:val="nil"/>
                    <w:tr2bl w:val="nil"/>
                  </w:tcBorders>
                  <w:noWrap w:val="0"/>
                  <w:vAlign w:val="center"/>
                </w:tcPr>
                <w:p w14:paraId="49E43DA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w:t>
                  </w:r>
                </w:p>
              </w:tc>
            </w:tr>
          </w:tbl>
          <w:p w14:paraId="24C92821">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b/>
                <w:bCs/>
                <w:color w:val="auto"/>
                <w:lang w:val="en-US" w:eastAsia="zh-CN"/>
              </w:rPr>
            </w:pPr>
            <w:r>
              <w:rPr>
                <w:rFonts w:hint="eastAsia"/>
                <w:b/>
                <w:bCs/>
                <w:color w:val="auto"/>
                <w:lang w:val="en-US" w:eastAsia="zh-CN"/>
              </w:rPr>
              <w:t>7、运营期工艺及产污</w:t>
            </w:r>
          </w:p>
          <w:p w14:paraId="7EA7A680">
            <w:pPr>
              <w:pStyle w:val="22"/>
              <w:keepNext w:val="0"/>
              <w:keepLines w:val="0"/>
              <w:pageBreakBefore w:val="0"/>
              <w:widowControl w:val="0"/>
              <w:kinsoku/>
              <w:wordWrap/>
              <w:overflowPunct/>
              <w:topLinePunct w:val="0"/>
              <w:autoSpaceDE/>
              <w:autoSpaceDN/>
              <w:bidi w:val="0"/>
              <w:adjustRightInd/>
              <w:snapToGrid/>
              <w:textAlignment w:val="auto"/>
              <w:rPr>
                <w:rFonts w:hint="default"/>
                <w:color w:val="auto"/>
                <w:lang w:val="en-US" w:eastAsia="zh-CN"/>
              </w:rPr>
            </w:pPr>
            <w:r>
              <w:rPr>
                <w:rFonts w:hint="eastAsia"/>
                <w:color w:val="auto"/>
                <w:lang w:val="en-US" w:eastAsia="zh-CN"/>
              </w:rPr>
              <w:t>工艺流图见下图：</w:t>
            </w:r>
          </w:p>
          <w:p w14:paraId="5786C325">
            <w:pPr>
              <w:pStyle w:val="2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lang w:val="en-US" w:eastAsia="zh-CN"/>
              </w:rPr>
            </w:pPr>
            <w:r>
              <w:rPr>
                <w:rFonts w:hint="default" w:ascii="Times New Roman" w:hAnsi="Times New Roman" w:cs="Times New Roman"/>
                <w:color w:val="auto"/>
                <w:lang w:eastAsia="zh-CN"/>
              </w:rPr>
              <w:object>
                <v:shape id="_x0000_i1025" o:spt="75" type="#_x0000_t75" style="height:260.8pt;width:355.15pt;" o:ole="t" filled="f" o:preferrelative="t" stroked="f" coordsize="21600,21600">
                  <v:path/>
                  <v:fill on="f" focussize="0,0"/>
                  <v:stroke on="f"/>
                  <v:imagedata r:id="rId9" croptop="1264f" cropright="1802f" cropbottom="5361f" o:title=""/>
                  <o:lock v:ext="edit" aspectratio="t"/>
                  <w10:wrap type="none"/>
                  <w10:anchorlock/>
                </v:shape>
                <o:OLEObject Type="Embed" ProgID="Visio.Drawing.11" ShapeID="_x0000_i1025" DrawAspect="Content" ObjectID="_1468075725" r:id="rId8">
                  <o:LockedField>false</o:LockedField>
                </o:OLEObject>
              </w:object>
            </w:r>
          </w:p>
          <w:p w14:paraId="2D31B68A">
            <w:pPr>
              <w:pStyle w:val="2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lang w:val="en-US" w:eastAsia="zh-CN"/>
              </w:rPr>
            </w:pPr>
            <w:r>
              <w:rPr>
                <w:rFonts w:hint="eastAsia"/>
                <w:b/>
                <w:bCs/>
                <w:color w:val="auto"/>
                <w:lang w:val="en-US" w:eastAsia="zh-CN"/>
              </w:rPr>
              <w:t>图2-1  运营期工艺流程及产污环节图</w:t>
            </w:r>
          </w:p>
          <w:p w14:paraId="12456A4B">
            <w:pPr>
              <w:pStyle w:val="22"/>
              <w:keepNext w:val="0"/>
              <w:keepLines w:val="0"/>
              <w:pageBreakBefore w:val="0"/>
              <w:widowControl w:val="0"/>
              <w:kinsoku/>
              <w:wordWrap/>
              <w:overflowPunct/>
              <w:topLinePunct w:val="0"/>
              <w:autoSpaceDE/>
              <w:autoSpaceDN/>
              <w:bidi w:val="0"/>
              <w:adjustRightInd/>
              <w:snapToGrid/>
              <w:textAlignment w:val="auto"/>
              <w:rPr>
                <w:rFonts w:hint="default"/>
                <w:color w:val="auto"/>
                <w:lang w:val="en-US" w:eastAsia="zh-CN"/>
              </w:rPr>
            </w:pPr>
            <w:r>
              <w:rPr>
                <w:rFonts w:hint="eastAsia"/>
                <w:color w:val="auto"/>
                <w:lang w:val="en-US" w:eastAsia="zh-CN"/>
              </w:rPr>
              <w:t>工艺流程简述：</w:t>
            </w:r>
          </w:p>
          <w:p w14:paraId="6AFE8DC9">
            <w:pPr>
              <w:pStyle w:val="22"/>
              <w:keepNext w:val="0"/>
              <w:keepLines w:val="0"/>
              <w:pageBreakBefore w:val="0"/>
              <w:widowControl w:val="0"/>
              <w:kinsoku/>
              <w:wordWrap/>
              <w:overflowPunct/>
              <w:topLinePunct w:val="0"/>
              <w:autoSpaceDE/>
              <w:autoSpaceDN/>
              <w:bidi w:val="0"/>
              <w:adjustRightInd/>
              <w:snapToGrid/>
              <w:textAlignment w:val="auto"/>
              <w:rPr>
                <w:rFonts w:hint="default"/>
                <w:color w:val="auto"/>
                <w:lang w:val="en-US" w:eastAsia="zh-CN"/>
              </w:rPr>
            </w:pPr>
            <w:r>
              <w:rPr>
                <w:rFonts w:hint="eastAsia"/>
                <w:color w:val="auto"/>
                <w:lang w:val="en-US" w:eastAsia="zh-CN"/>
              </w:rPr>
              <w:t>（1）换热供暖：项目运营期采用间接供热方式，项目先由生产井取水（平均水温70℃）通过除砂器过滤后，由板式换热器、介质板换进行换热至15℃，将热量传递给供暖管网的采暖循环水，换热尾水经回灌设施处理后由回灌井回灌至地下。此过程中主要产生设备噪声。</w:t>
            </w:r>
          </w:p>
          <w:p w14:paraId="4B80C710">
            <w:pPr>
              <w:pStyle w:val="22"/>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color w:val="auto"/>
                <w:lang w:val="en-US" w:eastAsia="zh-CN"/>
              </w:rPr>
              <w:t>（2）供热系统方式</w:t>
            </w:r>
          </w:p>
          <w:p w14:paraId="3F333935">
            <w:pPr>
              <w:pStyle w:val="22"/>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color w:val="auto"/>
                <w:lang w:val="en-US" w:eastAsia="zh-CN"/>
              </w:rPr>
              <w:t>地热水供暖采用间接利用方式，即采用中间换热的方式。地热水为一次水，采暖循环水为二次水（一般采用低矿化的优质水或蒸馏水），两路水通过中间换热器换热，采暖循环水从地热水中转换出的热量送至用户采暖。</w:t>
            </w:r>
          </w:p>
          <w:p w14:paraId="0B8A0E9D">
            <w:pPr>
              <w:pStyle w:val="22"/>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color w:val="auto"/>
                <w:lang w:val="en-US" w:eastAsia="zh-CN"/>
              </w:rPr>
              <w:t>（3）尾水回灌：换热尾水经初级滤器、精密过滤，同时经自动储气罐排出不凝气，再经加压泵加压，通过回灌井回灌到与生产井同层位。此过程中主要产生设备噪声、过滤器废滤芯等固体废物。</w:t>
            </w:r>
          </w:p>
          <w:p w14:paraId="2E25118B">
            <w:pPr>
              <w:pStyle w:val="22"/>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color w:val="auto"/>
                <w:lang w:val="en-US" w:eastAsia="zh-CN"/>
              </w:rPr>
              <w:t>（4）井口装置：井口采用全密闭方式设置，起隔绝氧的作用。</w:t>
            </w:r>
          </w:p>
          <w:p w14:paraId="2F99027C">
            <w:pPr>
              <w:pStyle w:val="22"/>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color w:val="auto"/>
                <w:lang w:val="en-US" w:eastAsia="zh-CN"/>
              </w:rPr>
              <w:t>（5）地热、回灌监测装置：三表一孔（温度表、压力表、流量表、观测孔）及相应作用的温度变送器、压力变送器、流量变送器。</w:t>
            </w:r>
          </w:p>
          <w:p w14:paraId="65D05587">
            <w:pPr>
              <w:pStyle w:val="22"/>
              <w:bidi w:val="0"/>
              <w:rPr>
                <w:rFonts w:hint="eastAsia"/>
                <w:b/>
                <w:bCs/>
                <w:color w:val="auto"/>
                <w:lang w:val="en-US" w:eastAsia="zh-CN"/>
              </w:rPr>
            </w:pPr>
            <w:r>
              <w:rPr>
                <w:rFonts w:hint="eastAsia"/>
                <w:b/>
                <w:bCs/>
                <w:color w:val="auto"/>
                <w:lang w:val="en-US" w:eastAsia="zh-CN"/>
              </w:rPr>
              <w:t>8、项目同层回灌的可靠性</w:t>
            </w:r>
          </w:p>
          <w:p w14:paraId="588EC6E7">
            <w:pPr>
              <w:pStyle w:val="22"/>
              <w:bidi w:val="0"/>
              <w:rPr>
                <w:rFonts w:hint="eastAsia"/>
                <w:color w:val="auto"/>
                <w:lang w:val="en-US" w:eastAsia="zh-CN"/>
              </w:rPr>
            </w:pPr>
            <w:r>
              <w:rPr>
                <w:rFonts w:hint="eastAsia"/>
                <w:color w:val="auto"/>
                <w:lang w:val="en-US" w:eastAsia="zh-CN"/>
              </w:rPr>
              <w:t>（1）回灌原则</w:t>
            </w:r>
          </w:p>
          <w:p w14:paraId="1866F697">
            <w:pPr>
              <w:pStyle w:val="22"/>
              <w:bidi w:val="0"/>
              <w:rPr>
                <w:rFonts w:hint="eastAsia"/>
                <w:color w:val="auto"/>
                <w:lang w:val="en-US" w:eastAsia="zh-CN"/>
              </w:rPr>
            </w:pPr>
            <w:r>
              <w:rPr>
                <w:rFonts w:hint="eastAsia"/>
                <w:color w:val="auto"/>
                <w:lang w:val="en-US" w:eastAsia="zh-CN"/>
              </w:rPr>
              <w:t>①在砂岩地热尾水回灌成功项目经验的基础上，进行工业化推广应用，并根据区域地热地质特征进行技术优化。</w:t>
            </w:r>
          </w:p>
          <w:p w14:paraId="467D89D1">
            <w:pPr>
              <w:pStyle w:val="22"/>
              <w:bidi w:val="0"/>
              <w:rPr>
                <w:rFonts w:hint="eastAsia"/>
                <w:color w:val="auto"/>
                <w:lang w:val="en-US" w:eastAsia="zh-CN"/>
              </w:rPr>
            </w:pPr>
            <w:r>
              <w:rPr>
                <w:rFonts w:hint="eastAsia"/>
                <w:color w:val="auto"/>
                <w:lang w:val="en-US" w:eastAsia="zh-CN"/>
              </w:rPr>
              <w:t>②回灌井与开采井的目的层在统一热储层“同层采灌”确定采灌井的合理数量和布局及保持地热田实现可持续发展利用的采灌技术体系。</w:t>
            </w:r>
          </w:p>
          <w:p w14:paraId="1C1230ED">
            <w:pPr>
              <w:pStyle w:val="22"/>
              <w:bidi w:val="0"/>
              <w:rPr>
                <w:rFonts w:hint="eastAsia"/>
                <w:color w:val="auto"/>
                <w:lang w:val="en-US" w:eastAsia="zh-CN"/>
              </w:rPr>
            </w:pPr>
            <w:r>
              <w:rPr>
                <w:rFonts w:hint="eastAsia"/>
                <w:color w:val="auto"/>
                <w:lang w:val="en-US" w:eastAsia="zh-CN"/>
              </w:rPr>
              <w:t>③达到闭式完全回灌，确保地热资源的可持续利用。</w:t>
            </w:r>
          </w:p>
          <w:p w14:paraId="4A9A6F04">
            <w:pPr>
              <w:pStyle w:val="22"/>
              <w:bidi w:val="0"/>
              <w:rPr>
                <w:rFonts w:hint="eastAsia"/>
                <w:color w:val="auto"/>
                <w:lang w:val="en-US" w:eastAsia="zh-CN"/>
              </w:rPr>
            </w:pPr>
            <w:r>
              <w:rPr>
                <w:rFonts w:hint="eastAsia"/>
                <w:color w:val="auto"/>
                <w:lang w:val="en-US" w:eastAsia="zh-CN"/>
              </w:rPr>
              <w:t>（2）本项目回灌可行性</w:t>
            </w:r>
          </w:p>
          <w:p w14:paraId="52A3E666">
            <w:pPr>
              <w:pStyle w:val="22"/>
              <w:bidi w:val="0"/>
              <w:rPr>
                <w:rFonts w:hint="eastAsia"/>
                <w:color w:val="auto"/>
                <w:lang w:val="en-US" w:eastAsia="zh-CN"/>
              </w:rPr>
            </w:pPr>
            <w:r>
              <w:rPr>
                <w:rFonts w:hint="eastAsia"/>
                <w:color w:val="auto"/>
                <w:lang w:val="en-US" w:eastAsia="zh-CN"/>
              </w:rPr>
              <w:t>项目已建地热井1眼，地热井为直井，垂深2772.2m（取水段深度1932.50～2772.20m），地热井目的热储层为蓝田—灞河组（N</w:t>
            </w:r>
            <w:r>
              <w:rPr>
                <w:rFonts w:hint="eastAsia"/>
                <w:color w:val="auto"/>
                <w:vertAlign w:val="subscript"/>
                <w:lang w:val="en-US" w:eastAsia="zh-CN"/>
              </w:rPr>
              <w:t>2</w:t>
            </w:r>
            <w:r>
              <w:rPr>
                <w:rFonts w:hint="eastAsia"/>
                <w:color w:val="auto"/>
                <w:vertAlign w:val="superscript"/>
                <w:lang w:val="en-US" w:eastAsia="zh-CN"/>
              </w:rPr>
              <w:t>l+b</w:t>
            </w:r>
            <w:r>
              <w:rPr>
                <w:rFonts w:hint="eastAsia"/>
                <w:color w:val="auto"/>
                <w:lang w:val="en-US" w:eastAsia="zh-CN"/>
              </w:rPr>
              <w:t>）热储层；拟建设回灌井1眼，回灌井为定向井，设计垂深2750.00m（回灌段深度1900.0～2750.0m），回灌层段为蓝田—灞河组（N</w:t>
            </w:r>
            <w:r>
              <w:rPr>
                <w:rFonts w:hint="eastAsia"/>
                <w:color w:val="auto"/>
                <w:vertAlign w:val="subscript"/>
                <w:lang w:val="en-US" w:eastAsia="zh-CN"/>
              </w:rPr>
              <w:t>2</w:t>
            </w:r>
            <w:r>
              <w:rPr>
                <w:rFonts w:hint="eastAsia"/>
                <w:color w:val="auto"/>
                <w:vertAlign w:val="superscript"/>
                <w:lang w:val="en-US" w:eastAsia="zh-CN"/>
              </w:rPr>
              <w:t>l+b</w:t>
            </w:r>
            <w:r>
              <w:rPr>
                <w:rFonts w:hint="eastAsia"/>
                <w:color w:val="auto"/>
                <w:lang w:val="en-US" w:eastAsia="zh-CN"/>
              </w:rPr>
              <w:t>）碎屑岩类孔隙裂隙型层状热储，换热尾水经初级滤器、精密过滤，同时经自动储气罐排出不凝气，再经加压泵加压，回灌层段与开采层段一致。根据建设单位提供资料，项目地热井的使用功能可根据生产需要进行功能互换，从而确保达到地热尾水100%的回灌要求。</w:t>
            </w:r>
          </w:p>
          <w:p w14:paraId="16EE9430">
            <w:pPr>
              <w:pStyle w:val="22"/>
              <w:bidi w:val="0"/>
              <w:rPr>
                <w:rFonts w:hint="default"/>
                <w:b/>
                <w:bCs/>
                <w:color w:val="auto"/>
                <w:lang w:val="en-US" w:eastAsia="zh-CN"/>
              </w:rPr>
            </w:pPr>
            <w:r>
              <w:rPr>
                <w:rFonts w:hint="eastAsia"/>
                <w:b/>
                <w:bCs/>
                <w:color w:val="auto"/>
                <w:lang w:val="en-US" w:eastAsia="zh-CN"/>
              </w:rPr>
              <w:t>9、</w:t>
            </w:r>
            <w:r>
              <w:rPr>
                <w:rFonts w:hint="default"/>
                <w:b/>
                <w:bCs/>
                <w:color w:val="auto"/>
                <w:lang w:val="en-US" w:eastAsia="zh-CN"/>
              </w:rPr>
              <w:t>劳动定员及工作制度</w:t>
            </w:r>
          </w:p>
          <w:p w14:paraId="46EC3DA7">
            <w:pPr>
              <w:pStyle w:val="22"/>
              <w:bidi w:val="0"/>
              <w:rPr>
                <w:rFonts w:hint="default"/>
                <w:color w:val="auto"/>
                <w:lang w:val="en-US" w:eastAsia="zh-CN"/>
              </w:rPr>
            </w:pPr>
            <w:r>
              <w:rPr>
                <w:rFonts w:hint="default"/>
                <w:color w:val="auto"/>
                <w:lang w:val="en-US" w:eastAsia="zh-CN"/>
              </w:rPr>
              <w:t>项目</w:t>
            </w:r>
            <w:r>
              <w:rPr>
                <w:rFonts w:hint="eastAsia"/>
                <w:color w:val="auto"/>
                <w:lang w:val="en-US" w:eastAsia="zh-CN"/>
              </w:rPr>
              <w:t>供暖季6人，</w:t>
            </w:r>
            <w:r>
              <w:rPr>
                <w:rFonts w:hint="eastAsia"/>
                <w:color w:val="auto"/>
                <w:sz w:val="24"/>
                <w:highlight w:val="none"/>
                <w:lang w:val="en-US" w:eastAsia="zh-CN"/>
              </w:rPr>
              <w:t>120</w:t>
            </w:r>
            <w:r>
              <w:rPr>
                <w:color w:val="auto"/>
                <w:sz w:val="24"/>
                <w:highlight w:val="none"/>
              </w:rPr>
              <w:t>d</w:t>
            </w:r>
            <w:r>
              <w:rPr>
                <w:rFonts w:hint="eastAsia"/>
                <w:color w:val="auto"/>
                <w:sz w:val="24"/>
                <w:highlight w:val="none"/>
                <w:lang w:eastAsia="zh-CN"/>
              </w:rPr>
              <w:t>（</w:t>
            </w:r>
            <w:r>
              <w:rPr>
                <w:rFonts w:hint="eastAsia"/>
                <w:color w:val="auto"/>
                <w:sz w:val="24"/>
                <w:highlight w:val="none"/>
                <w:lang w:val="en-US" w:eastAsia="zh-CN"/>
              </w:rPr>
              <w:t>11月15日至次年3月15日</w:t>
            </w:r>
            <w:r>
              <w:rPr>
                <w:rFonts w:hint="eastAsia"/>
                <w:color w:val="auto"/>
                <w:sz w:val="24"/>
                <w:highlight w:val="none"/>
                <w:lang w:eastAsia="zh-CN"/>
              </w:rPr>
              <w:t>），</w:t>
            </w:r>
            <w:r>
              <w:rPr>
                <w:rFonts w:hint="eastAsia"/>
                <w:color w:val="auto"/>
                <w:lang w:val="en-US" w:eastAsia="zh-CN"/>
              </w:rPr>
              <w:t>3</w:t>
            </w:r>
            <w:r>
              <w:rPr>
                <w:rFonts w:hint="default"/>
                <w:color w:val="auto"/>
                <w:lang w:val="en-US" w:eastAsia="zh-CN"/>
              </w:rPr>
              <w:t>班，每班</w:t>
            </w:r>
            <w:r>
              <w:rPr>
                <w:rFonts w:hint="eastAsia"/>
                <w:color w:val="auto"/>
                <w:lang w:val="en-US" w:eastAsia="zh-CN"/>
              </w:rPr>
              <w:t>8</w:t>
            </w:r>
            <w:r>
              <w:rPr>
                <w:rFonts w:hint="default"/>
                <w:color w:val="auto"/>
                <w:lang w:val="en-US" w:eastAsia="zh-CN"/>
              </w:rPr>
              <w:t>小时。</w:t>
            </w:r>
          </w:p>
          <w:p w14:paraId="4CE65CF0">
            <w:pPr>
              <w:pStyle w:val="22"/>
              <w:bidi w:val="0"/>
              <w:rPr>
                <w:rFonts w:hint="default"/>
                <w:b/>
                <w:bCs/>
                <w:color w:val="auto"/>
                <w:lang w:val="en-US" w:eastAsia="zh-CN"/>
              </w:rPr>
            </w:pPr>
            <w:r>
              <w:rPr>
                <w:rFonts w:hint="eastAsia"/>
                <w:b/>
                <w:bCs/>
                <w:color w:val="auto"/>
                <w:lang w:val="en-US" w:eastAsia="zh-CN"/>
              </w:rPr>
              <w:t>10</w:t>
            </w:r>
            <w:r>
              <w:rPr>
                <w:rFonts w:hint="default"/>
                <w:b/>
                <w:bCs/>
                <w:color w:val="auto"/>
                <w:lang w:val="en-US" w:eastAsia="zh-CN"/>
              </w:rPr>
              <w:t>、公用工程</w:t>
            </w:r>
          </w:p>
          <w:p w14:paraId="10E63850">
            <w:pPr>
              <w:pStyle w:val="22"/>
              <w:bidi w:val="0"/>
              <w:rPr>
                <w:rFonts w:hint="default"/>
                <w:color w:val="auto"/>
                <w:lang w:val="en-US" w:eastAsia="zh-CN"/>
              </w:rPr>
            </w:pPr>
            <w:r>
              <w:rPr>
                <w:rFonts w:hint="eastAsia"/>
                <w:color w:val="auto"/>
                <w:lang w:val="en-US" w:eastAsia="zh-CN"/>
              </w:rPr>
              <w:t>（1）施工期</w:t>
            </w:r>
            <w:r>
              <w:rPr>
                <w:rFonts w:hint="default"/>
                <w:color w:val="auto"/>
                <w:lang w:val="en-US" w:eastAsia="zh-CN"/>
              </w:rPr>
              <w:t>给</w:t>
            </w:r>
            <w:r>
              <w:rPr>
                <w:rFonts w:hint="eastAsia"/>
                <w:color w:val="auto"/>
                <w:lang w:val="en-US" w:eastAsia="zh-CN"/>
              </w:rPr>
              <w:t>排</w:t>
            </w:r>
            <w:r>
              <w:rPr>
                <w:rFonts w:hint="default"/>
                <w:color w:val="auto"/>
                <w:lang w:val="en-US" w:eastAsia="zh-CN"/>
              </w:rPr>
              <w:t>水</w:t>
            </w:r>
          </w:p>
          <w:p w14:paraId="0070C51C">
            <w:pPr>
              <w:pStyle w:val="22"/>
              <w:bidi w:val="0"/>
              <w:rPr>
                <w:rFonts w:hint="default"/>
                <w:color w:val="auto"/>
                <w:lang w:val="en-US" w:eastAsia="zh-CN"/>
              </w:rPr>
            </w:pPr>
            <w:r>
              <w:rPr>
                <w:rFonts w:hint="eastAsia"/>
                <w:color w:val="auto"/>
                <w:lang w:val="en-US" w:eastAsia="zh-CN"/>
              </w:rPr>
              <w:t>项目施工期用水主要为钻井用水和生活用水，项目排水主要为生活污水、抽水试验废水和管道试压废水。</w:t>
            </w:r>
          </w:p>
          <w:p w14:paraId="1DEFBDB0">
            <w:pPr>
              <w:pStyle w:val="22"/>
              <w:bidi w:val="0"/>
              <w:rPr>
                <w:rFonts w:hint="eastAsia"/>
                <w:color w:val="auto"/>
                <w:lang w:val="en-US" w:eastAsia="zh-CN"/>
              </w:rPr>
            </w:pPr>
            <w:r>
              <w:rPr>
                <w:rFonts w:hint="eastAsia"/>
                <w:color w:val="auto"/>
                <w:lang w:val="en-US" w:eastAsia="zh-CN"/>
              </w:rPr>
              <w:t>①生活污水</w:t>
            </w:r>
          </w:p>
          <w:p w14:paraId="7CBDAB2A">
            <w:pPr>
              <w:pStyle w:val="22"/>
              <w:bidi w:val="0"/>
              <w:rPr>
                <w:rFonts w:hint="default"/>
                <w:color w:val="auto"/>
                <w:lang w:val="en-US" w:eastAsia="zh-CN"/>
              </w:rPr>
            </w:pPr>
            <w:r>
              <w:rPr>
                <w:rFonts w:hint="eastAsia"/>
                <w:color w:val="auto"/>
                <w:lang w:val="en-US" w:eastAsia="zh-CN"/>
              </w:rPr>
              <w:t>本项目施工周期为90d，施工人数为32人。每人每天产生废水约30L，则整个施工期用水量为86.4m</w:t>
            </w:r>
            <w:r>
              <w:rPr>
                <w:rFonts w:hint="eastAsia"/>
                <w:color w:val="auto"/>
                <w:vertAlign w:val="superscript"/>
                <w:lang w:val="en-US" w:eastAsia="zh-CN"/>
              </w:rPr>
              <w:t>3</w:t>
            </w:r>
            <w:r>
              <w:rPr>
                <w:rFonts w:hint="eastAsia"/>
                <w:color w:val="auto"/>
                <w:lang w:val="en-US" w:eastAsia="zh-CN"/>
              </w:rPr>
              <w:t>。生活污水产生量按照新鲜用水量的80%计算，则生活污水量为69.1m</w:t>
            </w:r>
            <w:r>
              <w:rPr>
                <w:rFonts w:hint="eastAsia"/>
                <w:color w:val="auto"/>
                <w:vertAlign w:val="superscript"/>
                <w:lang w:val="en-US" w:eastAsia="zh-CN"/>
              </w:rPr>
              <w:t>3</w:t>
            </w:r>
            <w:r>
              <w:rPr>
                <w:rFonts w:hint="eastAsia"/>
                <w:color w:val="auto"/>
                <w:lang w:val="en-US" w:eastAsia="zh-CN"/>
              </w:rPr>
              <w:t>。生活污水依托小区化粪池处理后排入市政污水管网，最终进入西安净水处理有限责任公司第六再生水厂进行处理。</w:t>
            </w:r>
          </w:p>
          <w:p w14:paraId="4152A6B2">
            <w:pPr>
              <w:pStyle w:val="22"/>
              <w:bidi w:val="0"/>
              <w:rPr>
                <w:rFonts w:hint="default"/>
                <w:color w:val="auto"/>
                <w:lang w:val="en-US" w:eastAsia="zh-CN"/>
              </w:rPr>
            </w:pPr>
            <w:r>
              <w:rPr>
                <w:rFonts w:hint="eastAsia"/>
                <w:color w:val="auto"/>
                <w:lang w:val="en-US" w:eastAsia="zh-CN"/>
              </w:rPr>
              <w:t>②钻井废水</w:t>
            </w:r>
          </w:p>
          <w:p w14:paraId="641B9D19">
            <w:pPr>
              <w:pStyle w:val="22"/>
              <w:bidi w:val="0"/>
              <w:rPr>
                <w:rFonts w:hint="default"/>
                <w:color w:val="auto"/>
                <w:lang w:val="en-US" w:eastAsia="zh-CN"/>
              </w:rPr>
            </w:pPr>
            <w:r>
              <w:rPr>
                <w:rFonts w:hint="default"/>
                <w:color w:val="auto"/>
                <w:lang w:val="en-US" w:eastAsia="zh-CN"/>
              </w:rPr>
              <w:t>根据企业提供资料，本项目井场钻井</w:t>
            </w:r>
            <w:r>
              <w:rPr>
                <w:rFonts w:hint="eastAsia"/>
                <w:color w:val="auto"/>
                <w:lang w:val="en-US" w:eastAsia="zh-CN"/>
              </w:rPr>
              <w:t>用水约</w:t>
            </w:r>
            <w:r>
              <w:rPr>
                <w:rFonts w:hint="default"/>
                <w:color w:val="auto"/>
                <w:lang w:val="en-US" w:eastAsia="zh-CN"/>
              </w:rPr>
              <w:t>100m</w:t>
            </w:r>
            <w:r>
              <w:rPr>
                <w:rFonts w:hint="default"/>
                <w:color w:val="auto"/>
                <w:vertAlign w:val="superscript"/>
                <w:lang w:val="en-US" w:eastAsia="zh-CN"/>
              </w:rPr>
              <w:t>3</w:t>
            </w:r>
            <w:r>
              <w:rPr>
                <w:rFonts w:hint="default"/>
                <w:color w:val="auto"/>
                <w:lang w:val="en-US" w:eastAsia="zh-CN"/>
              </w:rPr>
              <w:t>。钻井废水排入井场防渗泥浆罐用于配制泥浆，泥浆压滤转换清水后循环使用</w:t>
            </w:r>
            <w:r>
              <w:rPr>
                <w:rFonts w:hint="eastAsia"/>
                <w:color w:val="auto"/>
                <w:lang w:val="en-US" w:eastAsia="zh-CN"/>
              </w:rPr>
              <w:t>，压滤过程中损耗量为8%（8m</w:t>
            </w:r>
            <w:r>
              <w:rPr>
                <w:rFonts w:hint="eastAsia"/>
                <w:color w:val="auto"/>
                <w:vertAlign w:val="superscript"/>
                <w:lang w:val="en-US" w:eastAsia="zh-CN"/>
              </w:rPr>
              <w:t>3</w:t>
            </w:r>
            <w:r>
              <w:rPr>
                <w:rFonts w:hint="eastAsia"/>
                <w:color w:val="auto"/>
                <w:lang w:val="en-US" w:eastAsia="zh-CN"/>
              </w:rPr>
              <w:t>），定期补水，钻井结束后与废弃泥浆一起固化处置。</w:t>
            </w:r>
          </w:p>
          <w:p w14:paraId="681B8604">
            <w:pPr>
              <w:pStyle w:val="22"/>
              <w:bidi w:val="0"/>
              <w:rPr>
                <w:rFonts w:hint="default"/>
                <w:color w:val="auto"/>
                <w:lang w:val="en-US" w:eastAsia="zh-CN"/>
              </w:rPr>
            </w:pPr>
            <w:r>
              <w:rPr>
                <w:rFonts w:hint="eastAsia"/>
                <w:color w:val="auto"/>
                <w:lang w:val="en-US" w:eastAsia="zh-CN"/>
              </w:rPr>
              <w:t>③</w:t>
            </w:r>
            <w:r>
              <w:rPr>
                <w:rFonts w:hint="eastAsia"/>
                <w:color w:val="auto"/>
              </w:rPr>
              <w:t>抽水试验废水</w:t>
            </w:r>
          </w:p>
          <w:p w14:paraId="3DC8BE22">
            <w:pPr>
              <w:pStyle w:val="22"/>
              <w:bidi w:val="0"/>
              <w:rPr>
                <w:rFonts w:hint="default"/>
                <w:color w:val="auto"/>
                <w:lang w:val="en-US" w:eastAsia="zh-CN"/>
              </w:rPr>
            </w:pPr>
            <w:r>
              <w:rPr>
                <w:rFonts w:hint="eastAsia"/>
                <w:color w:val="auto"/>
              </w:rPr>
              <w:t>地热井完工后进行抽水试验，抽水时长三次分别为48h、24h、8h，出水按</w:t>
            </w:r>
            <w:r>
              <w:rPr>
                <w:rFonts w:hint="eastAsia"/>
                <w:color w:val="auto"/>
                <w:lang w:val="en-US" w:eastAsia="zh-CN"/>
              </w:rPr>
              <w:t>50</w:t>
            </w:r>
            <w:r>
              <w:rPr>
                <w:rFonts w:hint="eastAsia"/>
                <w:color w:val="auto"/>
              </w:rPr>
              <w:t>m</w:t>
            </w:r>
            <w:r>
              <w:rPr>
                <w:rFonts w:hint="eastAsia"/>
                <w:color w:val="auto"/>
                <w:vertAlign w:val="superscript"/>
              </w:rPr>
              <w:t>3</w:t>
            </w:r>
            <w:r>
              <w:rPr>
                <w:rFonts w:hint="eastAsia"/>
                <w:color w:val="auto"/>
              </w:rPr>
              <w:t>/h，则抽水总量约为</w:t>
            </w:r>
            <w:r>
              <w:rPr>
                <w:rFonts w:hint="eastAsia"/>
                <w:color w:val="auto"/>
                <w:lang w:val="en-US" w:eastAsia="zh-CN"/>
              </w:rPr>
              <w:t>4000</w:t>
            </w:r>
            <w:r>
              <w:rPr>
                <w:rFonts w:hint="eastAsia"/>
                <w:color w:val="auto"/>
              </w:rPr>
              <w:t>m</w:t>
            </w:r>
            <w:r>
              <w:rPr>
                <w:rFonts w:hint="eastAsia"/>
                <w:color w:val="auto"/>
                <w:vertAlign w:val="superscript"/>
              </w:rPr>
              <w:t>3</w:t>
            </w:r>
            <w:r>
              <w:rPr>
                <w:rFonts w:hint="eastAsia"/>
                <w:color w:val="auto"/>
              </w:rPr>
              <w:t>。</w:t>
            </w:r>
            <w:r>
              <w:rPr>
                <w:rFonts w:hint="eastAsia"/>
                <w:color w:val="auto"/>
                <w:lang w:val="en-US" w:eastAsia="zh-CN"/>
              </w:rPr>
              <w:t>抽水试验废水在罐池中储存，</w:t>
            </w:r>
            <w:r>
              <w:rPr>
                <w:rFonts w:hint="eastAsia"/>
                <w:color w:val="auto"/>
              </w:rPr>
              <w:t>温</w:t>
            </w:r>
            <w:r>
              <w:rPr>
                <w:rFonts w:hint="eastAsia"/>
                <w:color w:val="auto"/>
                <w:lang w:eastAsia="zh-CN"/>
              </w:rPr>
              <w:t>降</w:t>
            </w:r>
            <w:r>
              <w:rPr>
                <w:rFonts w:hint="eastAsia"/>
                <w:color w:val="auto"/>
                <w:lang w:val="en-US" w:eastAsia="zh-CN"/>
              </w:rPr>
              <w:t>后专业公司转运处置</w:t>
            </w:r>
            <w:r>
              <w:rPr>
                <w:rFonts w:hint="eastAsia"/>
                <w:color w:val="auto"/>
                <w:lang w:eastAsia="zh-CN"/>
              </w:rPr>
              <w:t>。</w:t>
            </w:r>
          </w:p>
          <w:p w14:paraId="00F658D4">
            <w:pPr>
              <w:pStyle w:val="22"/>
              <w:bidi w:val="0"/>
              <w:rPr>
                <w:rFonts w:hint="default"/>
                <w:color w:val="auto"/>
                <w:lang w:val="en-US" w:eastAsia="zh-CN"/>
              </w:rPr>
            </w:pPr>
            <w:r>
              <w:rPr>
                <w:rFonts w:hint="eastAsia"/>
                <w:color w:val="auto"/>
                <w:lang w:val="en-US" w:eastAsia="zh-CN"/>
              </w:rPr>
              <w:t>④</w:t>
            </w:r>
            <w:r>
              <w:rPr>
                <w:rFonts w:hint="eastAsia"/>
                <w:color w:val="auto"/>
              </w:rPr>
              <w:t>管道试压废水</w:t>
            </w:r>
          </w:p>
          <w:p w14:paraId="090CCE8C">
            <w:pPr>
              <w:pStyle w:val="22"/>
              <w:bidi w:val="0"/>
              <w:rPr>
                <w:rFonts w:hint="eastAsia" w:eastAsia="宋体"/>
                <w:color w:val="auto"/>
                <w:lang w:val="en-US" w:eastAsia="zh-CN"/>
              </w:rPr>
            </w:pPr>
            <w:r>
              <w:rPr>
                <w:rFonts w:hint="eastAsia"/>
                <w:color w:val="auto"/>
                <w:lang w:val="en-US" w:eastAsia="zh-CN"/>
              </w:rPr>
              <w:t>回灌</w:t>
            </w:r>
            <w:r>
              <w:rPr>
                <w:rFonts w:hint="eastAsia"/>
                <w:color w:val="auto"/>
              </w:rPr>
              <w:t>管道敷设完毕，将对管道充水试压以检验其密闭性。</w:t>
            </w:r>
            <w:r>
              <w:rPr>
                <w:rFonts w:hint="eastAsia"/>
                <w:color w:val="auto"/>
                <w:lang w:val="en-US" w:eastAsia="zh-CN"/>
              </w:rPr>
              <w:t>回灌管道试压使用地热尾水进行试压，</w:t>
            </w:r>
            <w:r>
              <w:rPr>
                <w:rFonts w:hint="eastAsia"/>
                <w:color w:val="auto"/>
                <w:lang w:eastAsia="zh-CN"/>
              </w:rPr>
              <w:t>废水产生总量约</w:t>
            </w:r>
            <w:r>
              <w:rPr>
                <w:rFonts w:hint="eastAsia"/>
                <w:color w:val="auto"/>
                <w:lang w:val="en-US" w:eastAsia="zh-CN"/>
              </w:rPr>
              <w:t>10</w:t>
            </w:r>
            <w:r>
              <w:rPr>
                <w:rFonts w:hint="eastAsia"/>
                <w:color w:val="auto"/>
                <w:lang w:eastAsia="zh-CN"/>
              </w:rPr>
              <w:t>m</w:t>
            </w:r>
            <w:r>
              <w:rPr>
                <w:rFonts w:hint="eastAsia"/>
                <w:color w:val="auto"/>
                <w:vertAlign w:val="superscript"/>
                <w:lang w:eastAsia="zh-CN"/>
              </w:rPr>
              <w:t>3</w:t>
            </w:r>
            <w:r>
              <w:rPr>
                <w:rFonts w:hint="eastAsia"/>
                <w:color w:val="auto"/>
                <w:lang w:eastAsia="zh-CN"/>
              </w:rPr>
              <w:t>，</w:t>
            </w:r>
            <w:r>
              <w:rPr>
                <w:rFonts w:hint="eastAsia"/>
                <w:color w:val="auto"/>
                <w:lang w:val="en-US" w:eastAsia="zh-CN"/>
              </w:rPr>
              <w:t>试压后回灌至回灌井</w:t>
            </w:r>
            <w:r>
              <w:rPr>
                <w:rFonts w:hint="eastAsia"/>
                <w:color w:val="auto"/>
                <w:lang w:eastAsia="zh-CN"/>
              </w:rPr>
              <w:t>。</w:t>
            </w:r>
          </w:p>
          <w:p w14:paraId="40EFEA86">
            <w:pPr>
              <w:pStyle w:val="22"/>
              <w:bidi w:val="0"/>
              <w:rPr>
                <w:rFonts w:hint="eastAsia"/>
                <w:color w:val="auto"/>
              </w:rPr>
            </w:pPr>
            <w:r>
              <w:rPr>
                <w:rFonts w:hint="eastAsia"/>
                <w:color w:val="auto"/>
                <w:lang w:val="en-US" w:eastAsia="zh-CN"/>
              </w:rPr>
              <w:t>施工期</w:t>
            </w:r>
            <w:r>
              <w:rPr>
                <w:rFonts w:hint="eastAsia"/>
                <w:color w:val="auto"/>
              </w:rPr>
              <w:t>项目</w:t>
            </w:r>
            <w:r>
              <w:rPr>
                <w:rFonts w:hint="eastAsia"/>
                <w:color w:val="auto"/>
                <w:lang w:val="en-US" w:eastAsia="zh-CN"/>
              </w:rPr>
              <w:t>用水、排水情况见表2-8，</w:t>
            </w:r>
            <w:r>
              <w:rPr>
                <w:rFonts w:hint="eastAsia"/>
                <w:color w:val="auto"/>
              </w:rPr>
              <w:t>水平衡图</w:t>
            </w:r>
            <w:r>
              <w:rPr>
                <w:rFonts w:hint="eastAsia"/>
                <w:color w:val="auto"/>
                <w:lang w:val="en-US" w:eastAsia="zh-CN"/>
              </w:rPr>
              <w:t>见图</w:t>
            </w:r>
            <w:r>
              <w:rPr>
                <w:rFonts w:hint="eastAsia"/>
                <w:color w:val="auto"/>
              </w:rPr>
              <w:t>2-</w:t>
            </w:r>
            <w:r>
              <w:rPr>
                <w:rFonts w:hint="eastAsia"/>
                <w:color w:val="auto"/>
                <w:lang w:val="en-US" w:eastAsia="zh-CN"/>
              </w:rPr>
              <w:t>2</w:t>
            </w:r>
            <w:r>
              <w:rPr>
                <w:rFonts w:hint="eastAsia"/>
                <w:color w:val="auto"/>
              </w:rPr>
              <w:t>：</w:t>
            </w:r>
          </w:p>
          <w:p w14:paraId="5BF398CA">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2-</w:t>
            </w:r>
            <w:r>
              <w:rPr>
                <w:rFonts w:hint="eastAsia" w:hAnsi="Times New Roman" w:cs="Times New Roman"/>
                <w:b/>
                <w:bCs/>
                <w:color w:val="auto"/>
                <w:kern w:val="21"/>
                <w:szCs w:val="24"/>
                <w:lang w:val="en-US" w:eastAsia="zh-CN"/>
              </w:rPr>
              <w:t>8</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w:t>
            </w:r>
            <w:r>
              <w:rPr>
                <w:rFonts w:hAnsi="Times New Roman" w:cs="Times New Roman"/>
                <w:b/>
                <w:bCs/>
                <w:color w:val="auto"/>
                <w:kern w:val="21"/>
                <w:szCs w:val="24"/>
              </w:rPr>
              <w:t>项目给排水情况一览表</w:t>
            </w:r>
          </w:p>
          <w:tbl>
            <w:tblPr>
              <w:tblStyle w:val="15"/>
              <w:tblW w:w="824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23"/>
              <w:gridCol w:w="919"/>
              <w:gridCol w:w="892"/>
              <w:gridCol w:w="892"/>
              <w:gridCol w:w="892"/>
              <w:gridCol w:w="892"/>
              <w:gridCol w:w="912"/>
              <w:gridCol w:w="912"/>
              <w:gridCol w:w="912"/>
            </w:tblGrid>
            <w:tr w14:paraId="5EA79B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20" w:type="pct"/>
                  <w:vMerge w:val="restart"/>
                  <w:noWrap w:val="0"/>
                  <w:vAlign w:val="center"/>
                </w:tcPr>
                <w:p w14:paraId="2278A01B">
                  <w:pPr>
                    <w:adjustRightInd w:val="0"/>
                    <w:snapToGrid w:val="0"/>
                    <w:jc w:val="center"/>
                    <w:rPr>
                      <w:rFonts w:hint="eastAsia"/>
                      <w:b/>
                      <w:bCs/>
                      <w:snapToGrid w:val="0"/>
                      <w:color w:val="auto"/>
                      <w:sz w:val="21"/>
                      <w:szCs w:val="21"/>
                      <w:lang w:val="en-US" w:eastAsia="zh-CN"/>
                    </w:rPr>
                  </w:pPr>
                  <w:r>
                    <w:rPr>
                      <w:rFonts w:hint="eastAsia"/>
                      <w:b/>
                      <w:bCs/>
                      <w:snapToGrid w:val="0"/>
                      <w:color w:val="auto"/>
                      <w:sz w:val="21"/>
                      <w:szCs w:val="21"/>
                      <w:lang w:val="en-US" w:eastAsia="zh-CN"/>
                    </w:rPr>
                    <w:t>用水环节</w:t>
                  </w:r>
                </w:p>
              </w:tc>
              <w:tc>
                <w:tcPr>
                  <w:tcW w:w="1638" w:type="pct"/>
                  <w:gridSpan w:val="3"/>
                  <w:noWrap w:val="0"/>
                  <w:vAlign w:val="center"/>
                </w:tcPr>
                <w:p w14:paraId="0733BFE5">
                  <w:pPr>
                    <w:adjustRightInd w:val="0"/>
                    <w:snapToGrid w:val="0"/>
                    <w:jc w:val="center"/>
                    <w:rPr>
                      <w:rFonts w:hint="default"/>
                      <w:b/>
                      <w:bCs/>
                      <w:snapToGrid w:val="0"/>
                      <w:color w:val="auto"/>
                      <w:sz w:val="21"/>
                      <w:szCs w:val="21"/>
                      <w:lang w:val="en-US" w:eastAsia="zh-CN"/>
                    </w:rPr>
                  </w:pPr>
                  <w:r>
                    <w:rPr>
                      <w:rFonts w:hint="eastAsia"/>
                      <w:b/>
                      <w:bCs/>
                      <w:snapToGrid w:val="0"/>
                      <w:color w:val="auto"/>
                      <w:sz w:val="21"/>
                      <w:szCs w:val="21"/>
                      <w:lang w:val="en-US" w:eastAsia="zh-CN"/>
                    </w:rPr>
                    <w:t>用水情况</w:t>
                  </w:r>
                  <w:r>
                    <w:rPr>
                      <w:rFonts w:hint="eastAsia"/>
                      <w:b/>
                      <w:bCs/>
                      <w:color w:val="auto"/>
                      <w:sz w:val="21"/>
                      <w:szCs w:val="21"/>
                      <w:highlight w:val="none"/>
                      <w:lang w:val="en-US" w:eastAsia="zh-CN"/>
                    </w:rPr>
                    <w:t>(</w:t>
                  </w:r>
                  <w:r>
                    <w:rPr>
                      <w:b/>
                      <w:bCs/>
                      <w:color w:val="auto"/>
                      <w:sz w:val="21"/>
                      <w:szCs w:val="21"/>
                    </w:rPr>
                    <w:t>m</w:t>
                  </w:r>
                  <w:r>
                    <w:rPr>
                      <w:b/>
                      <w:bCs/>
                      <w:color w:val="auto"/>
                      <w:sz w:val="21"/>
                      <w:szCs w:val="21"/>
                      <w:vertAlign w:val="superscript"/>
                    </w:rPr>
                    <w:t>3</w:t>
                  </w:r>
                  <w:r>
                    <w:rPr>
                      <w:rFonts w:hint="eastAsia"/>
                      <w:b/>
                      <w:bCs/>
                      <w:color w:val="auto"/>
                      <w:sz w:val="21"/>
                      <w:szCs w:val="21"/>
                      <w:lang w:val="en-US" w:eastAsia="zh-CN"/>
                    </w:rPr>
                    <w:t>)</w:t>
                  </w:r>
                </w:p>
              </w:tc>
              <w:tc>
                <w:tcPr>
                  <w:tcW w:w="540" w:type="pct"/>
                  <w:vMerge w:val="restart"/>
                  <w:noWrap w:val="0"/>
                  <w:vAlign w:val="center"/>
                </w:tcPr>
                <w:p w14:paraId="1F6F2993">
                  <w:pPr>
                    <w:adjustRightInd w:val="0"/>
                    <w:snapToGrid w:val="0"/>
                    <w:jc w:val="center"/>
                    <w:rPr>
                      <w:rFonts w:hint="eastAsia"/>
                      <w:b/>
                      <w:bCs/>
                      <w:snapToGrid w:val="0"/>
                      <w:color w:val="auto"/>
                      <w:sz w:val="21"/>
                      <w:szCs w:val="21"/>
                      <w:lang w:val="en-US" w:eastAsia="zh-CN"/>
                    </w:rPr>
                  </w:pPr>
                  <w:r>
                    <w:rPr>
                      <w:rFonts w:hint="eastAsia"/>
                      <w:b/>
                      <w:bCs/>
                      <w:snapToGrid w:val="0"/>
                      <w:color w:val="auto"/>
                      <w:sz w:val="21"/>
                      <w:szCs w:val="21"/>
                      <w:lang w:val="en-US" w:eastAsia="zh-CN"/>
                    </w:rPr>
                    <w:t>循环水（</w:t>
                  </w:r>
                  <w:r>
                    <w:rPr>
                      <w:b/>
                      <w:bCs/>
                      <w:color w:val="auto"/>
                      <w:sz w:val="21"/>
                      <w:szCs w:val="21"/>
                    </w:rPr>
                    <w:t>m</w:t>
                  </w:r>
                  <w:r>
                    <w:rPr>
                      <w:b/>
                      <w:bCs/>
                      <w:color w:val="auto"/>
                      <w:sz w:val="21"/>
                      <w:szCs w:val="21"/>
                      <w:vertAlign w:val="superscript"/>
                    </w:rPr>
                    <w:t>3</w:t>
                  </w:r>
                  <w:r>
                    <w:rPr>
                      <w:rFonts w:hint="eastAsia"/>
                      <w:b/>
                      <w:bCs/>
                      <w:snapToGrid w:val="0"/>
                      <w:color w:val="auto"/>
                      <w:sz w:val="21"/>
                      <w:szCs w:val="21"/>
                      <w:lang w:val="en-US" w:eastAsia="zh-CN"/>
                    </w:rPr>
                    <w:t>）</w:t>
                  </w:r>
                </w:p>
              </w:tc>
              <w:tc>
                <w:tcPr>
                  <w:tcW w:w="2199" w:type="pct"/>
                  <w:gridSpan w:val="4"/>
                  <w:noWrap w:val="0"/>
                  <w:vAlign w:val="center"/>
                </w:tcPr>
                <w:p w14:paraId="0871360A">
                  <w:pPr>
                    <w:adjustRightInd w:val="0"/>
                    <w:snapToGrid w:val="0"/>
                    <w:jc w:val="center"/>
                    <w:rPr>
                      <w:rFonts w:hint="eastAsia"/>
                      <w:b/>
                      <w:bCs/>
                      <w:snapToGrid w:val="0"/>
                      <w:color w:val="auto"/>
                      <w:sz w:val="21"/>
                      <w:szCs w:val="21"/>
                      <w:lang w:val="en-US" w:eastAsia="zh-CN"/>
                    </w:rPr>
                  </w:pPr>
                  <w:r>
                    <w:rPr>
                      <w:rFonts w:hint="eastAsia"/>
                      <w:b/>
                      <w:bCs/>
                      <w:color w:val="auto"/>
                      <w:sz w:val="21"/>
                      <w:szCs w:val="21"/>
                      <w:lang w:val="en-US" w:eastAsia="zh-CN"/>
                    </w:rPr>
                    <w:t>排水情况(</w:t>
                  </w:r>
                  <w:r>
                    <w:rPr>
                      <w:b/>
                      <w:bCs/>
                      <w:color w:val="auto"/>
                      <w:sz w:val="21"/>
                      <w:szCs w:val="21"/>
                    </w:rPr>
                    <w:t>m</w:t>
                  </w:r>
                  <w:r>
                    <w:rPr>
                      <w:b/>
                      <w:bCs/>
                      <w:color w:val="auto"/>
                      <w:sz w:val="21"/>
                      <w:szCs w:val="21"/>
                      <w:vertAlign w:val="superscript"/>
                    </w:rPr>
                    <w:t>3</w:t>
                  </w:r>
                  <w:r>
                    <w:rPr>
                      <w:rFonts w:hint="eastAsia"/>
                      <w:b/>
                      <w:bCs/>
                      <w:color w:val="auto"/>
                      <w:sz w:val="21"/>
                      <w:szCs w:val="21"/>
                      <w:lang w:val="en-US" w:eastAsia="zh-CN"/>
                    </w:rPr>
                    <w:t>)</w:t>
                  </w:r>
                </w:p>
              </w:tc>
            </w:tr>
            <w:tr w14:paraId="272B5D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20" w:type="pct"/>
                  <w:vMerge w:val="continue"/>
                  <w:noWrap w:val="0"/>
                  <w:vAlign w:val="center"/>
                </w:tcPr>
                <w:p w14:paraId="7589C46C">
                  <w:pPr>
                    <w:adjustRightInd w:val="0"/>
                    <w:snapToGrid w:val="0"/>
                    <w:jc w:val="center"/>
                    <w:rPr>
                      <w:rFonts w:hint="default" w:eastAsia="宋体"/>
                      <w:b/>
                      <w:bCs/>
                      <w:snapToGrid w:val="0"/>
                      <w:color w:val="auto"/>
                      <w:sz w:val="21"/>
                      <w:szCs w:val="21"/>
                      <w:lang w:val="en-US" w:eastAsia="zh-CN"/>
                    </w:rPr>
                  </w:pPr>
                </w:p>
              </w:tc>
              <w:tc>
                <w:tcPr>
                  <w:tcW w:w="557" w:type="pct"/>
                  <w:noWrap w:val="0"/>
                  <w:vAlign w:val="center"/>
                </w:tcPr>
                <w:p w14:paraId="21D0A36A">
                  <w:pPr>
                    <w:adjustRightInd w:val="0"/>
                    <w:snapToGrid w:val="0"/>
                    <w:jc w:val="center"/>
                    <w:rPr>
                      <w:rFonts w:hint="eastAsia" w:eastAsia="宋体"/>
                      <w:b/>
                      <w:bCs/>
                      <w:snapToGrid w:val="0"/>
                      <w:color w:val="auto"/>
                      <w:kern w:val="2"/>
                      <w:sz w:val="21"/>
                      <w:szCs w:val="21"/>
                      <w:lang w:val="en-US" w:eastAsia="zh-CN" w:bidi="ar-SA"/>
                    </w:rPr>
                  </w:pPr>
                  <w:r>
                    <w:rPr>
                      <w:rFonts w:hint="eastAsia" w:eastAsia="宋体"/>
                      <w:b/>
                      <w:bCs/>
                      <w:snapToGrid w:val="0"/>
                      <w:color w:val="auto"/>
                      <w:sz w:val="21"/>
                      <w:szCs w:val="21"/>
                      <w:lang w:val="en-US" w:eastAsia="zh-CN"/>
                    </w:rPr>
                    <w:t>新鲜水量</w:t>
                  </w:r>
                </w:p>
              </w:tc>
              <w:tc>
                <w:tcPr>
                  <w:tcW w:w="540" w:type="pct"/>
                  <w:noWrap w:val="0"/>
                  <w:vAlign w:val="center"/>
                </w:tcPr>
                <w:p w14:paraId="0CE22FC3">
                  <w:pPr>
                    <w:adjustRightInd w:val="0"/>
                    <w:snapToGrid w:val="0"/>
                    <w:jc w:val="center"/>
                    <w:rPr>
                      <w:rFonts w:hint="default"/>
                      <w:b/>
                      <w:bCs/>
                      <w:snapToGrid w:val="0"/>
                      <w:color w:val="auto"/>
                      <w:sz w:val="21"/>
                      <w:szCs w:val="21"/>
                      <w:lang w:val="en-US" w:eastAsia="zh-CN"/>
                    </w:rPr>
                  </w:pPr>
                  <w:r>
                    <w:rPr>
                      <w:rFonts w:hint="eastAsia"/>
                      <w:b/>
                      <w:bCs/>
                      <w:snapToGrid w:val="0"/>
                      <w:color w:val="auto"/>
                      <w:sz w:val="21"/>
                      <w:szCs w:val="21"/>
                      <w:lang w:val="en-US" w:eastAsia="zh-CN"/>
                    </w:rPr>
                    <w:t>回灌井水</w:t>
                  </w:r>
                </w:p>
              </w:tc>
              <w:tc>
                <w:tcPr>
                  <w:tcW w:w="540" w:type="pct"/>
                  <w:noWrap w:val="0"/>
                  <w:vAlign w:val="center"/>
                </w:tcPr>
                <w:p w14:paraId="4609C89D">
                  <w:pPr>
                    <w:adjustRightInd w:val="0"/>
                    <w:snapToGrid w:val="0"/>
                    <w:jc w:val="center"/>
                    <w:rPr>
                      <w:rFonts w:hint="default"/>
                      <w:b/>
                      <w:bCs/>
                      <w:snapToGrid w:val="0"/>
                      <w:color w:val="auto"/>
                      <w:sz w:val="21"/>
                      <w:szCs w:val="21"/>
                      <w:lang w:val="en-US" w:eastAsia="zh-CN"/>
                    </w:rPr>
                  </w:pPr>
                  <w:r>
                    <w:rPr>
                      <w:rFonts w:hint="eastAsia"/>
                      <w:b/>
                      <w:bCs/>
                      <w:snapToGrid w:val="0"/>
                      <w:color w:val="auto"/>
                      <w:sz w:val="21"/>
                      <w:szCs w:val="21"/>
                      <w:lang w:val="en-US" w:eastAsia="zh-CN"/>
                    </w:rPr>
                    <w:t>地热尾水</w:t>
                  </w:r>
                </w:p>
              </w:tc>
              <w:tc>
                <w:tcPr>
                  <w:tcW w:w="540" w:type="pct"/>
                  <w:vMerge w:val="continue"/>
                  <w:noWrap w:val="0"/>
                  <w:vAlign w:val="center"/>
                </w:tcPr>
                <w:p w14:paraId="27F7ADD2">
                  <w:pPr>
                    <w:adjustRightInd w:val="0"/>
                    <w:snapToGrid w:val="0"/>
                    <w:jc w:val="center"/>
                    <w:rPr>
                      <w:rFonts w:hint="default" w:eastAsia="宋体"/>
                      <w:b/>
                      <w:bCs/>
                      <w:snapToGrid w:val="0"/>
                      <w:color w:val="auto"/>
                      <w:sz w:val="21"/>
                      <w:szCs w:val="21"/>
                      <w:lang w:val="en-US" w:eastAsia="zh-CN"/>
                    </w:rPr>
                  </w:pPr>
                </w:p>
              </w:tc>
              <w:tc>
                <w:tcPr>
                  <w:tcW w:w="540" w:type="pct"/>
                  <w:noWrap w:val="0"/>
                  <w:vAlign w:val="center"/>
                </w:tcPr>
                <w:p w14:paraId="7045C4DB">
                  <w:pPr>
                    <w:adjustRightInd w:val="0"/>
                    <w:snapToGrid w:val="0"/>
                    <w:jc w:val="center"/>
                    <w:rPr>
                      <w:rFonts w:hint="default" w:eastAsia="宋体"/>
                      <w:b/>
                      <w:bCs/>
                      <w:snapToGrid w:val="0"/>
                      <w:color w:val="auto"/>
                      <w:sz w:val="21"/>
                      <w:szCs w:val="21"/>
                      <w:lang w:val="en-US" w:eastAsia="zh-CN"/>
                    </w:rPr>
                  </w:pPr>
                  <w:r>
                    <w:rPr>
                      <w:rFonts w:hint="eastAsia" w:eastAsia="宋体"/>
                      <w:b/>
                      <w:bCs/>
                      <w:snapToGrid w:val="0"/>
                      <w:color w:val="auto"/>
                      <w:sz w:val="21"/>
                      <w:szCs w:val="21"/>
                      <w:lang w:val="en-US" w:eastAsia="zh-CN"/>
                    </w:rPr>
                    <w:t>损耗量</w:t>
                  </w:r>
                </w:p>
              </w:tc>
              <w:tc>
                <w:tcPr>
                  <w:tcW w:w="552" w:type="pct"/>
                  <w:noWrap w:val="0"/>
                  <w:vAlign w:val="center"/>
                </w:tcPr>
                <w:p w14:paraId="693E4EB1">
                  <w:pPr>
                    <w:adjustRightInd w:val="0"/>
                    <w:snapToGrid w:val="0"/>
                    <w:jc w:val="center"/>
                    <w:rPr>
                      <w:rFonts w:hint="default"/>
                      <w:b/>
                      <w:bCs/>
                      <w:snapToGrid w:val="0"/>
                      <w:color w:val="auto"/>
                      <w:sz w:val="21"/>
                      <w:szCs w:val="21"/>
                      <w:lang w:val="en-US" w:eastAsia="zh-CN"/>
                    </w:rPr>
                  </w:pPr>
                  <w:r>
                    <w:rPr>
                      <w:rFonts w:hint="eastAsia"/>
                      <w:b/>
                      <w:bCs/>
                      <w:snapToGrid w:val="0"/>
                      <w:color w:val="auto"/>
                      <w:sz w:val="21"/>
                      <w:szCs w:val="21"/>
                      <w:lang w:val="en-US" w:eastAsia="zh-CN"/>
                    </w:rPr>
                    <w:t>排水量</w:t>
                  </w:r>
                </w:p>
              </w:tc>
              <w:tc>
                <w:tcPr>
                  <w:tcW w:w="552" w:type="pct"/>
                  <w:noWrap w:val="0"/>
                  <w:vAlign w:val="center"/>
                </w:tcPr>
                <w:p w14:paraId="144D0A37">
                  <w:pPr>
                    <w:adjustRightInd w:val="0"/>
                    <w:snapToGrid w:val="0"/>
                    <w:jc w:val="center"/>
                    <w:rPr>
                      <w:rFonts w:hint="default"/>
                      <w:b/>
                      <w:bCs/>
                      <w:snapToGrid w:val="0"/>
                      <w:color w:val="auto"/>
                      <w:sz w:val="21"/>
                      <w:szCs w:val="21"/>
                      <w:lang w:val="en-US" w:eastAsia="zh-CN"/>
                    </w:rPr>
                  </w:pPr>
                  <w:r>
                    <w:rPr>
                      <w:rFonts w:hint="eastAsia"/>
                      <w:b/>
                      <w:bCs/>
                      <w:snapToGrid w:val="0"/>
                      <w:color w:val="auto"/>
                      <w:sz w:val="21"/>
                      <w:szCs w:val="21"/>
                      <w:lang w:val="en-US" w:eastAsia="zh-CN"/>
                    </w:rPr>
                    <w:t>处置量</w:t>
                  </w:r>
                </w:p>
              </w:tc>
              <w:tc>
                <w:tcPr>
                  <w:tcW w:w="552" w:type="pct"/>
                  <w:noWrap w:val="0"/>
                  <w:vAlign w:val="center"/>
                </w:tcPr>
                <w:p w14:paraId="05B4D41B">
                  <w:pPr>
                    <w:adjustRightInd w:val="0"/>
                    <w:snapToGrid w:val="0"/>
                    <w:jc w:val="center"/>
                    <w:rPr>
                      <w:rFonts w:hint="default"/>
                      <w:b/>
                      <w:bCs/>
                      <w:snapToGrid w:val="0"/>
                      <w:color w:val="auto"/>
                      <w:sz w:val="21"/>
                      <w:szCs w:val="21"/>
                      <w:lang w:val="en-US" w:eastAsia="zh-CN"/>
                    </w:rPr>
                  </w:pPr>
                  <w:r>
                    <w:rPr>
                      <w:rFonts w:hint="eastAsia"/>
                      <w:b/>
                      <w:bCs/>
                      <w:snapToGrid w:val="0"/>
                      <w:color w:val="auto"/>
                      <w:sz w:val="21"/>
                      <w:szCs w:val="21"/>
                      <w:lang w:val="en-US" w:eastAsia="zh-CN"/>
                    </w:rPr>
                    <w:t>回灌量</w:t>
                  </w:r>
                </w:p>
              </w:tc>
            </w:tr>
            <w:tr w14:paraId="6D064A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0" w:type="pct"/>
                  <w:noWrap w:val="0"/>
                  <w:vAlign w:val="center"/>
                </w:tcPr>
                <w:p w14:paraId="20AAF7F7">
                  <w:pPr>
                    <w:adjustRightInd w:val="0"/>
                    <w:snapToGrid w:val="0"/>
                    <w:jc w:val="center"/>
                    <w:rPr>
                      <w:snapToGrid w:val="0"/>
                      <w:color w:val="auto"/>
                      <w:sz w:val="21"/>
                      <w:szCs w:val="21"/>
                    </w:rPr>
                  </w:pPr>
                  <w:r>
                    <w:rPr>
                      <w:rFonts w:hint="eastAsia"/>
                      <w:snapToGrid w:val="0"/>
                      <w:color w:val="auto"/>
                      <w:sz w:val="21"/>
                      <w:szCs w:val="21"/>
                    </w:rPr>
                    <w:t>生活用水</w:t>
                  </w:r>
                </w:p>
              </w:tc>
              <w:tc>
                <w:tcPr>
                  <w:tcW w:w="557" w:type="pct"/>
                  <w:noWrap w:val="0"/>
                  <w:vAlign w:val="center"/>
                </w:tcPr>
                <w:p w14:paraId="789BF824">
                  <w:pPr>
                    <w:adjustRightInd w:val="0"/>
                    <w:snapToGrid w:val="0"/>
                    <w:jc w:val="center"/>
                    <w:rPr>
                      <w:rFonts w:hint="default" w:eastAsia="宋体"/>
                      <w:snapToGrid w:val="0"/>
                      <w:color w:val="auto"/>
                      <w:kern w:val="2"/>
                      <w:sz w:val="21"/>
                      <w:szCs w:val="21"/>
                      <w:lang w:val="en-US" w:eastAsia="zh-CN" w:bidi="ar-SA"/>
                    </w:rPr>
                  </w:pPr>
                  <w:r>
                    <w:rPr>
                      <w:rFonts w:hint="eastAsia"/>
                      <w:snapToGrid w:val="0"/>
                      <w:color w:val="auto"/>
                      <w:sz w:val="21"/>
                      <w:szCs w:val="21"/>
                      <w:lang w:val="en-US" w:eastAsia="zh-CN"/>
                    </w:rPr>
                    <w:t>86.4</w:t>
                  </w:r>
                </w:p>
              </w:tc>
              <w:tc>
                <w:tcPr>
                  <w:tcW w:w="540" w:type="pct"/>
                  <w:noWrap w:val="0"/>
                  <w:vAlign w:val="center"/>
                </w:tcPr>
                <w:p w14:paraId="756AB880">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w:t>
                  </w:r>
                </w:p>
              </w:tc>
              <w:tc>
                <w:tcPr>
                  <w:tcW w:w="540" w:type="pct"/>
                  <w:noWrap w:val="0"/>
                  <w:vAlign w:val="center"/>
                </w:tcPr>
                <w:p w14:paraId="1C228D21">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w:t>
                  </w:r>
                </w:p>
              </w:tc>
              <w:tc>
                <w:tcPr>
                  <w:tcW w:w="540" w:type="pct"/>
                  <w:noWrap w:val="0"/>
                  <w:vAlign w:val="center"/>
                </w:tcPr>
                <w:p w14:paraId="14A17FD7">
                  <w:pPr>
                    <w:adjustRightInd w:val="0"/>
                    <w:snapToGrid w:val="0"/>
                    <w:jc w:val="center"/>
                    <w:rPr>
                      <w:rFonts w:hint="default" w:eastAsia="宋体"/>
                      <w:snapToGrid w:val="0"/>
                      <w:color w:val="auto"/>
                      <w:sz w:val="21"/>
                      <w:szCs w:val="21"/>
                      <w:lang w:val="en-US" w:eastAsia="zh-CN"/>
                    </w:rPr>
                  </w:pPr>
                  <w:r>
                    <w:rPr>
                      <w:rFonts w:hint="eastAsia"/>
                      <w:snapToGrid w:val="0"/>
                      <w:color w:val="auto"/>
                      <w:sz w:val="21"/>
                      <w:szCs w:val="21"/>
                      <w:lang w:val="en-US" w:eastAsia="zh-CN"/>
                    </w:rPr>
                    <w:t>/</w:t>
                  </w:r>
                </w:p>
              </w:tc>
              <w:tc>
                <w:tcPr>
                  <w:tcW w:w="540" w:type="pct"/>
                  <w:noWrap w:val="0"/>
                  <w:vAlign w:val="center"/>
                </w:tcPr>
                <w:p w14:paraId="501F0B62">
                  <w:pPr>
                    <w:adjustRightInd w:val="0"/>
                    <w:snapToGrid w:val="0"/>
                    <w:jc w:val="center"/>
                    <w:rPr>
                      <w:rFonts w:hint="default" w:eastAsia="宋体"/>
                      <w:snapToGrid w:val="0"/>
                      <w:color w:val="auto"/>
                      <w:sz w:val="21"/>
                      <w:szCs w:val="21"/>
                      <w:lang w:val="en-US" w:eastAsia="zh-CN"/>
                    </w:rPr>
                  </w:pPr>
                  <w:r>
                    <w:rPr>
                      <w:rFonts w:hint="eastAsia"/>
                      <w:snapToGrid w:val="0"/>
                      <w:color w:val="auto"/>
                      <w:sz w:val="21"/>
                      <w:szCs w:val="21"/>
                      <w:lang w:val="en-US" w:eastAsia="zh-CN"/>
                    </w:rPr>
                    <w:t>17.3</w:t>
                  </w:r>
                </w:p>
              </w:tc>
              <w:tc>
                <w:tcPr>
                  <w:tcW w:w="552" w:type="pct"/>
                  <w:noWrap w:val="0"/>
                  <w:vAlign w:val="center"/>
                </w:tcPr>
                <w:p w14:paraId="380E67B0">
                  <w:pPr>
                    <w:adjustRightInd w:val="0"/>
                    <w:snapToGrid w:val="0"/>
                    <w:jc w:val="center"/>
                    <w:rPr>
                      <w:rFonts w:hint="default" w:eastAsia="宋体"/>
                      <w:snapToGrid w:val="0"/>
                      <w:color w:val="auto"/>
                      <w:sz w:val="21"/>
                      <w:szCs w:val="21"/>
                      <w:lang w:val="en-US" w:eastAsia="zh-CN"/>
                    </w:rPr>
                  </w:pPr>
                  <w:r>
                    <w:rPr>
                      <w:rFonts w:hint="eastAsia"/>
                      <w:snapToGrid w:val="0"/>
                      <w:color w:val="auto"/>
                      <w:sz w:val="21"/>
                      <w:szCs w:val="21"/>
                      <w:lang w:val="en-US" w:eastAsia="zh-CN"/>
                    </w:rPr>
                    <w:t>69.1</w:t>
                  </w:r>
                </w:p>
              </w:tc>
              <w:tc>
                <w:tcPr>
                  <w:tcW w:w="552" w:type="pct"/>
                  <w:noWrap w:val="0"/>
                  <w:vAlign w:val="center"/>
                </w:tcPr>
                <w:p w14:paraId="54A6B109">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w:t>
                  </w:r>
                </w:p>
              </w:tc>
              <w:tc>
                <w:tcPr>
                  <w:tcW w:w="552" w:type="pct"/>
                  <w:noWrap w:val="0"/>
                  <w:vAlign w:val="center"/>
                </w:tcPr>
                <w:p w14:paraId="4E03A1ED">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w:t>
                  </w:r>
                </w:p>
              </w:tc>
            </w:tr>
            <w:tr w14:paraId="07BB3E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0" w:type="pct"/>
                  <w:noWrap w:val="0"/>
                  <w:vAlign w:val="center"/>
                </w:tcPr>
                <w:p w14:paraId="6DAD4300">
                  <w:pPr>
                    <w:adjustRightInd w:val="0"/>
                    <w:snapToGrid w:val="0"/>
                    <w:jc w:val="center"/>
                    <w:rPr>
                      <w:rFonts w:hint="default" w:eastAsia="宋体"/>
                      <w:snapToGrid w:val="0"/>
                      <w:color w:val="auto"/>
                      <w:sz w:val="21"/>
                      <w:szCs w:val="21"/>
                      <w:lang w:val="en-US" w:eastAsia="zh-CN"/>
                    </w:rPr>
                  </w:pPr>
                  <w:r>
                    <w:rPr>
                      <w:rFonts w:hint="eastAsia"/>
                      <w:color w:val="auto"/>
                      <w:lang w:val="en-US" w:eastAsia="zh-CN"/>
                    </w:rPr>
                    <w:t>钻井废水</w:t>
                  </w:r>
                </w:p>
              </w:tc>
              <w:tc>
                <w:tcPr>
                  <w:tcW w:w="557" w:type="pct"/>
                  <w:noWrap w:val="0"/>
                  <w:vAlign w:val="center"/>
                </w:tcPr>
                <w:p w14:paraId="22DB4F80">
                  <w:pPr>
                    <w:adjustRightInd w:val="0"/>
                    <w:snapToGrid w:val="0"/>
                    <w:jc w:val="center"/>
                    <w:rPr>
                      <w:rFonts w:hint="default" w:eastAsia="宋体"/>
                      <w:snapToGrid w:val="0"/>
                      <w:color w:val="auto"/>
                      <w:sz w:val="21"/>
                      <w:szCs w:val="21"/>
                      <w:lang w:val="en-US" w:eastAsia="zh-CN"/>
                    </w:rPr>
                  </w:pPr>
                  <w:r>
                    <w:rPr>
                      <w:rFonts w:hint="eastAsia"/>
                      <w:snapToGrid w:val="0"/>
                      <w:color w:val="auto"/>
                      <w:sz w:val="21"/>
                      <w:szCs w:val="21"/>
                      <w:lang w:val="en-US" w:eastAsia="zh-CN"/>
                    </w:rPr>
                    <w:t>8</w:t>
                  </w:r>
                </w:p>
              </w:tc>
              <w:tc>
                <w:tcPr>
                  <w:tcW w:w="540" w:type="pct"/>
                  <w:noWrap w:val="0"/>
                  <w:vAlign w:val="center"/>
                </w:tcPr>
                <w:p w14:paraId="5C254735">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w:t>
                  </w:r>
                </w:p>
              </w:tc>
              <w:tc>
                <w:tcPr>
                  <w:tcW w:w="540" w:type="pct"/>
                  <w:noWrap w:val="0"/>
                  <w:vAlign w:val="center"/>
                </w:tcPr>
                <w:p w14:paraId="028DDBE8">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w:t>
                  </w:r>
                </w:p>
              </w:tc>
              <w:tc>
                <w:tcPr>
                  <w:tcW w:w="540" w:type="pct"/>
                  <w:noWrap w:val="0"/>
                  <w:vAlign w:val="center"/>
                </w:tcPr>
                <w:p w14:paraId="5E31E9A0">
                  <w:pPr>
                    <w:adjustRightInd w:val="0"/>
                    <w:snapToGrid w:val="0"/>
                    <w:jc w:val="center"/>
                    <w:rPr>
                      <w:rFonts w:hint="default" w:eastAsia="宋体"/>
                      <w:snapToGrid w:val="0"/>
                      <w:color w:val="auto"/>
                      <w:sz w:val="21"/>
                      <w:szCs w:val="21"/>
                      <w:lang w:val="en-US" w:eastAsia="zh-CN"/>
                    </w:rPr>
                  </w:pPr>
                  <w:r>
                    <w:rPr>
                      <w:rFonts w:hint="eastAsia"/>
                      <w:snapToGrid w:val="0"/>
                      <w:color w:val="auto"/>
                      <w:sz w:val="21"/>
                      <w:szCs w:val="21"/>
                      <w:lang w:val="en-US" w:eastAsia="zh-CN"/>
                    </w:rPr>
                    <w:t>100</w:t>
                  </w:r>
                </w:p>
              </w:tc>
              <w:tc>
                <w:tcPr>
                  <w:tcW w:w="540" w:type="pct"/>
                  <w:noWrap w:val="0"/>
                  <w:vAlign w:val="center"/>
                </w:tcPr>
                <w:p w14:paraId="5C1A7189">
                  <w:pPr>
                    <w:adjustRightInd w:val="0"/>
                    <w:snapToGrid w:val="0"/>
                    <w:jc w:val="center"/>
                    <w:rPr>
                      <w:rFonts w:hint="default" w:eastAsia="宋体"/>
                      <w:snapToGrid w:val="0"/>
                      <w:color w:val="auto"/>
                      <w:sz w:val="21"/>
                      <w:szCs w:val="21"/>
                      <w:lang w:val="en-US" w:eastAsia="zh-CN"/>
                    </w:rPr>
                  </w:pPr>
                  <w:r>
                    <w:rPr>
                      <w:rFonts w:hint="eastAsia"/>
                      <w:snapToGrid w:val="0"/>
                      <w:color w:val="auto"/>
                      <w:sz w:val="21"/>
                      <w:szCs w:val="21"/>
                      <w:lang w:val="en-US" w:eastAsia="zh-CN"/>
                    </w:rPr>
                    <w:t>/</w:t>
                  </w:r>
                </w:p>
              </w:tc>
              <w:tc>
                <w:tcPr>
                  <w:tcW w:w="552" w:type="pct"/>
                  <w:noWrap w:val="0"/>
                  <w:vAlign w:val="center"/>
                </w:tcPr>
                <w:p w14:paraId="61898517">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0</w:t>
                  </w:r>
                </w:p>
              </w:tc>
              <w:tc>
                <w:tcPr>
                  <w:tcW w:w="552" w:type="pct"/>
                  <w:noWrap w:val="0"/>
                  <w:vAlign w:val="center"/>
                </w:tcPr>
                <w:p w14:paraId="34AB318F">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w:t>
                  </w:r>
                </w:p>
              </w:tc>
              <w:tc>
                <w:tcPr>
                  <w:tcW w:w="552" w:type="pct"/>
                  <w:noWrap w:val="0"/>
                  <w:vAlign w:val="center"/>
                </w:tcPr>
                <w:p w14:paraId="4603311D">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w:t>
                  </w:r>
                </w:p>
              </w:tc>
            </w:tr>
            <w:tr w14:paraId="1FAB6A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0" w:type="pct"/>
                  <w:noWrap w:val="0"/>
                  <w:vAlign w:val="center"/>
                </w:tcPr>
                <w:p w14:paraId="7BEE1248">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抽水实验废水</w:t>
                  </w:r>
                </w:p>
              </w:tc>
              <w:tc>
                <w:tcPr>
                  <w:tcW w:w="557" w:type="pct"/>
                  <w:noWrap w:val="0"/>
                  <w:vAlign w:val="center"/>
                </w:tcPr>
                <w:p w14:paraId="74323C5D">
                  <w:pPr>
                    <w:adjustRightInd w:val="0"/>
                    <w:snapToGrid w:val="0"/>
                    <w:jc w:val="center"/>
                    <w:rPr>
                      <w:rFonts w:hint="default" w:eastAsia="宋体"/>
                      <w:snapToGrid w:val="0"/>
                      <w:color w:val="auto"/>
                      <w:sz w:val="21"/>
                      <w:szCs w:val="21"/>
                      <w:lang w:val="en-US" w:eastAsia="zh-CN"/>
                    </w:rPr>
                  </w:pPr>
                  <w:r>
                    <w:rPr>
                      <w:rFonts w:hint="eastAsia"/>
                      <w:snapToGrid w:val="0"/>
                      <w:color w:val="auto"/>
                      <w:sz w:val="21"/>
                      <w:szCs w:val="21"/>
                      <w:lang w:val="en-US" w:eastAsia="zh-CN"/>
                    </w:rPr>
                    <w:t>/</w:t>
                  </w:r>
                </w:p>
              </w:tc>
              <w:tc>
                <w:tcPr>
                  <w:tcW w:w="540" w:type="pct"/>
                  <w:noWrap w:val="0"/>
                  <w:vAlign w:val="center"/>
                </w:tcPr>
                <w:p w14:paraId="7153870B">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4000</w:t>
                  </w:r>
                </w:p>
              </w:tc>
              <w:tc>
                <w:tcPr>
                  <w:tcW w:w="540" w:type="pct"/>
                  <w:noWrap w:val="0"/>
                  <w:vAlign w:val="center"/>
                </w:tcPr>
                <w:p w14:paraId="29FF9438">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w:t>
                  </w:r>
                </w:p>
              </w:tc>
              <w:tc>
                <w:tcPr>
                  <w:tcW w:w="540" w:type="pct"/>
                  <w:noWrap w:val="0"/>
                  <w:vAlign w:val="center"/>
                </w:tcPr>
                <w:p w14:paraId="2046EA5D">
                  <w:pPr>
                    <w:adjustRightInd w:val="0"/>
                    <w:snapToGrid w:val="0"/>
                    <w:jc w:val="center"/>
                    <w:rPr>
                      <w:rFonts w:hint="default" w:eastAsia="宋体"/>
                      <w:snapToGrid w:val="0"/>
                      <w:color w:val="auto"/>
                      <w:sz w:val="21"/>
                      <w:szCs w:val="21"/>
                      <w:lang w:val="en-US" w:eastAsia="zh-CN"/>
                    </w:rPr>
                  </w:pPr>
                  <w:r>
                    <w:rPr>
                      <w:rFonts w:hint="eastAsia"/>
                      <w:snapToGrid w:val="0"/>
                      <w:color w:val="auto"/>
                      <w:sz w:val="21"/>
                      <w:szCs w:val="21"/>
                      <w:lang w:val="en-US" w:eastAsia="zh-CN"/>
                    </w:rPr>
                    <w:t>/</w:t>
                  </w:r>
                </w:p>
              </w:tc>
              <w:tc>
                <w:tcPr>
                  <w:tcW w:w="540" w:type="pct"/>
                  <w:noWrap w:val="0"/>
                  <w:vAlign w:val="center"/>
                </w:tcPr>
                <w:p w14:paraId="72960001">
                  <w:pPr>
                    <w:adjustRightInd w:val="0"/>
                    <w:snapToGrid w:val="0"/>
                    <w:jc w:val="center"/>
                    <w:rPr>
                      <w:rFonts w:hint="default" w:eastAsia="宋体"/>
                      <w:snapToGrid w:val="0"/>
                      <w:color w:val="auto"/>
                      <w:sz w:val="21"/>
                      <w:szCs w:val="21"/>
                      <w:lang w:val="en-US" w:eastAsia="zh-CN"/>
                    </w:rPr>
                  </w:pPr>
                  <w:r>
                    <w:rPr>
                      <w:rFonts w:hint="eastAsia"/>
                      <w:snapToGrid w:val="0"/>
                      <w:color w:val="auto"/>
                      <w:sz w:val="21"/>
                      <w:szCs w:val="21"/>
                      <w:lang w:val="en-US" w:eastAsia="zh-CN"/>
                    </w:rPr>
                    <w:t>/</w:t>
                  </w:r>
                </w:p>
              </w:tc>
              <w:tc>
                <w:tcPr>
                  <w:tcW w:w="552" w:type="pct"/>
                  <w:noWrap w:val="0"/>
                  <w:vAlign w:val="center"/>
                </w:tcPr>
                <w:p w14:paraId="4A1A7B88">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0</w:t>
                  </w:r>
                </w:p>
              </w:tc>
              <w:tc>
                <w:tcPr>
                  <w:tcW w:w="552" w:type="pct"/>
                  <w:noWrap w:val="0"/>
                  <w:vAlign w:val="center"/>
                </w:tcPr>
                <w:p w14:paraId="4EA0B80F">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4000</w:t>
                  </w:r>
                </w:p>
              </w:tc>
              <w:tc>
                <w:tcPr>
                  <w:tcW w:w="552" w:type="pct"/>
                  <w:noWrap w:val="0"/>
                  <w:vAlign w:val="center"/>
                </w:tcPr>
                <w:p w14:paraId="287239F4">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w:t>
                  </w:r>
                </w:p>
              </w:tc>
            </w:tr>
            <w:tr w14:paraId="5FA6F7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0" w:type="pct"/>
                  <w:noWrap w:val="0"/>
                  <w:vAlign w:val="center"/>
                </w:tcPr>
                <w:p w14:paraId="0D55E376">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管道试压废水</w:t>
                  </w:r>
                </w:p>
              </w:tc>
              <w:tc>
                <w:tcPr>
                  <w:tcW w:w="557" w:type="pct"/>
                  <w:noWrap w:val="0"/>
                  <w:vAlign w:val="center"/>
                </w:tcPr>
                <w:p w14:paraId="368C432A">
                  <w:pPr>
                    <w:adjustRightInd w:val="0"/>
                    <w:snapToGrid w:val="0"/>
                    <w:jc w:val="center"/>
                    <w:rPr>
                      <w:rFonts w:hint="default" w:eastAsia="宋体"/>
                      <w:snapToGrid w:val="0"/>
                      <w:color w:val="auto"/>
                      <w:sz w:val="21"/>
                      <w:szCs w:val="21"/>
                      <w:lang w:val="en-US" w:eastAsia="zh-CN"/>
                    </w:rPr>
                  </w:pPr>
                  <w:r>
                    <w:rPr>
                      <w:rFonts w:hint="eastAsia"/>
                      <w:snapToGrid w:val="0"/>
                      <w:color w:val="auto"/>
                      <w:sz w:val="21"/>
                      <w:szCs w:val="21"/>
                      <w:lang w:val="en-US" w:eastAsia="zh-CN"/>
                    </w:rPr>
                    <w:t>/</w:t>
                  </w:r>
                </w:p>
              </w:tc>
              <w:tc>
                <w:tcPr>
                  <w:tcW w:w="540" w:type="pct"/>
                  <w:noWrap w:val="0"/>
                  <w:vAlign w:val="center"/>
                </w:tcPr>
                <w:p w14:paraId="200AAC7F">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w:t>
                  </w:r>
                </w:p>
              </w:tc>
              <w:tc>
                <w:tcPr>
                  <w:tcW w:w="540" w:type="pct"/>
                  <w:noWrap w:val="0"/>
                  <w:vAlign w:val="center"/>
                </w:tcPr>
                <w:p w14:paraId="0595AD7D">
                  <w:pPr>
                    <w:adjustRightInd w:val="0"/>
                    <w:snapToGrid w:val="0"/>
                    <w:jc w:val="center"/>
                    <w:rPr>
                      <w:rFonts w:hint="eastAsia"/>
                      <w:snapToGrid w:val="0"/>
                      <w:color w:val="auto"/>
                      <w:sz w:val="21"/>
                      <w:szCs w:val="21"/>
                      <w:lang w:val="en-US" w:eastAsia="zh-CN"/>
                    </w:rPr>
                  </w:pPr>
                  <w:r>
                    <w:rPr>
                      <w:rFonts w:hint="eastAsia"/>
                      <w:snapToGrid w:val="0"/>
                      <w:color w:val="auto"/>
                      <w:sz w:val="21"/>
                      <w:szCs w:val="21"/>
                      <w:lang w:val="en-US" w:eastAsia="zh-CN"/>
                    </w:rPr>
                    <w:t>10</w:t>
                  </w:r>
                </w:p>
              </w:tc>
              <w:tc>
                <w:tcPr>
                  <w:tcW w:w="540" w:type="pct"/>
                  <w:noWrap w:val="0"/>
                  <w:vAlign w:val="center"/>
                </w:tcPr>
                <w:p w14:paraId="062AC646">
                  <w:pPr>
                    <w:adjustRightInd w:val="0"/>
                    <w:snapToGrid w:val="0"/>
                    <w:jc w:val="center"/>
                    <w:rPr>
                      <w:rFonts w:hint="default" w:eastAsia="宋体"/>
                      <w:snapToGrid w:val="0"/>
                      <w:color w:val="auto"/>
                      <w:sz w:val="21"/>
                      <w:szCs w:val="21"/>
                      <w:lang w:val="en-US" w:eastAsia="zh-CN"/>
                    </w:rPr>
                  </w:pPr>
                  <w:r>
                    <w:rPr>
                      <w:rFonts w:hint="eastAsia"/>
                      <w:snapToGrid w:val="0"/>
                      <w:color w:val="auto"/>
                      <w:sz w:val="21"/>
                      <w:szCs w:val="21"/>
                      <w:lang w:val="en-US" w:eastAsia="zh-CN"/>
                    </w:rPr>
                    <w:t>/</w:t>
                  </w:r>
                </w:p>
              </w:tc>
              <w:tc>
                <w:tcPr>
                  <w:tcW w:w="540" w:type="pct"/>
                  <w:noWrap w:val="0"/>
                  <w:vAlign w:val="center"/>
                </w:tcPr>
                <w:p w14:paraId="3686F84E">
                  <w:pPr>
                    <w:adjustRightInd w:val="0"/>
                    <w:snapToGrid w:val="0"/>
                    <w:jc w:val="center"/>
                    <w:rPr>
                      <w:rFonts w:hint="default" w:eastAsia="宋体"/>
                      <w:snapToGrid w:val="0"/>
                      <w:color w:val="auto"/>
                      <w:sz w:val="21"/>
                      <w:szCs w:val="21"/>
                      <w:lang w:val="en-US" w:eastAsia="zh-CN"/>
                    </w:rPr>
                  </w:pPr>
                  <w:r>
                    <w:rPr>
                      <w:rFonts w:hint="eastAsia"/>
                      <w:snapToGrid w:val="0"/>
                      <w:color w:val="auto"/>
                      <w:sz w:val="21"/>
                      <w:szCs w:val="21"/>
                      <w:lang w:val="en-US" w:eastAsia="zh-CN"/>
                    </w:rPr>
                    <w:t>/</w:t>
                  </w:r>
                </w:p>
              </w:tc>
              <w:tc>
                <w:tcPr>
                  <w:tcW w:w="552" w:type="pct"/>
                  <w:noWrap w:val="0"/>
                  <w:vAlign w:val="center"/>
                </w:tcPr>
                <w:p w14:paraId="0DA19AA4">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0</w:t>
                  </w:r>
                </w:p>
              </w:tc>
              <w:tc>
                <w:tcPr>
                  <w:tcW w:w="552" w:type="pct"/>
                  <w:noWrap w:val="0"/>
                  <w:vAlign w:val="center"/>
                </w:tcPr>
                <w:p w14:paraId="09640DA5">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w:t>
                  </w:r>
                </w:p>
              </w:tc>
              <w:tc>
                <w:tcPr>
                  <w:tcW w:w="552" w:type="pct"/>
                  <w:noWrap w:val="0"/>
                  <w:vAlign w:val="center"/>
                </w:tcPr>
                <w:p w14:paraId="5F0D4445">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10</w:t>
                  </w:r>
                </w:p>
              </w:tc>
            </w:tr>
            <w:tr w14:paraId="54077E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0" w:type="pct"/>
                  <w:noWrap w:val="0"/>
                  <w:vAlign w:val="center"/>
                </w:tcPr>
                <w:p w14:paraId="0E635BB5">
                  <w:pPr>
                    <w:adjustRightInd w:val="0"/>
                    <w:snapToGrid w:val="0"/>
                    <w:jc w:val="center"/>
                    <w:rPr>
                      <w:rFonts w:hint="eastAsia" w:eastAsia="宋体"/>
                      <w:snapToGrid w:val="0"/>
                      <w:color w:val="auto"/>
                      <w:sz w:val="21"/>
                      <w:szCs w:val="21"/>
                      <w:lang w:val="en-US" w:eastAsia="zh-CN"/>
                    </w:rPr>
                  </w:pPr>
                  <w:r>
                    <w:rPr>
                      <w:rFonts w:hint="eastAsia"/>
                      <w:snapToGrid w:val="0"/>
                      <w:color w:val="auto"/>
                      <w:sz w:val="21"/>
                      <w:szCs w:val="21"/>
                      <w:lang w:val="en-US" w:eastAsia="zh-CN"/>
                    </w:rPr>
                    <w:t>总计</w:t>
                  </w:r>
                </w:p>
              </w:tc>
              <w:tc>
                <w:tcPr>
                  <w:tcW w:w="557" w:type="pct"/>
                  <w:noWrap w:val="0"/>
                  <w:vAlign w:val="center"/>
                </w:tcPr>
                <w:p w14:paraId="13EDB5AE">
                  <w:pPr>
                    <w:adjustRightInd w:val="0"/>
                    <w:snapToGrid w:val="0"/>
                    <w:jc w:val="center"/>
                    <w:rPr>
                      <w:rFonts w:hint="default" w:eastAsia="宋体"/>
                      <w:snapToGrid w:val="0"/>
                      <w:color w:val="auto"/>
                      <w:sz w:val="21"/>
                      <w:szCs w:val="21"/>
                      <w:lang w:val="en-US" w:eastAsia="zh-CN"/>
                    </w:rPr>
                  </w:pPr>
                  <w:r>
                    <w:rPr>
                      <w:rFonts w:hint="eastAsia"/>
                      <w:snapToGrid w:val="0"/>
                      <w:color w:val="auto"/>
                      <w:sz w:val="21"/>
                      <w:szCs w:val="21"/>
                      <w:lang w:val="en-US" w:eastAsia="zh-CN"/>
                    </w:rPr>
                    <w:t>94.4</w:t>
                  </w:r>
                </w:p>
              </w:tc>
              <w:tc>
                <w:tcPr>
                  <w:tcW w:w="540" w:type="pct"/>
                  <w:noWrap w:val="0"/>
                  <w:vAlign w:val="center"/>
                </w:tcPr>
                <w:p w14:paraId="2000978E">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4000</w:t>
                  </w:r>
                </w:p>
              </w:tc>
              <w:tc>
                <w:tcPr>
                  <w:tcW w:w="540" w:type="pct"/>
                  <w:noWrap w:val="0"/>
                  <w:vAlign w:val="center"/>
                </w:tcPr>
                <w:p w14:paraId="77E73172">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10</w:t>
                  </w:r>
                </w:p>
              </w:tc>
              <w:tc>
                <w:tcPr>
                  <w:tcW w:w="540" w:type="pct"/>
                  <w:noWrap w:val="0"/>
                  <w:vAlign w:val="center"/>
                </w:tcPr>
                <w:p w14:paraId="5836C6E7">
                  <w:pPr>
                    <w:adjustRightInd w:val="0"/>
                    <w:snapToGrid w:val="0"/>
                    <w:jc w:val="center"/>
                    <w:rPr>
                      <w:rFonts w:hint="default" w:eastAsia="宋体"/>
                      <w:snapToGrid w:val="0"/>
                      <w:color w:val="auto"/>
                      <w:sz w:val="21"/>
                      <w:szCs w:val="21"/>
                      <w:lang w:val="en-US" w:eastAsia="zh-CN"/>
                    </w:rPr>
                  </w:pPr>
                  <w:r>
                    <w:rPr>
                      <w:rFonts w:hint="eastAsia"/>
                      <w:snapToGrid w:val="0"/>
                      <w:color w:val="auto"/>
                      <w:sz w:val="21"/>
                      <w:szCs w:val="21"/>
                      <w:lang w:val="en-US" w:eastAsia="zh-CN"/>
                    </w:rPr>
                    <w:t>100</w:t>
                  </w:r>
                </w:p>
              </w:tc>
              <w:tc>
                <w:tcPr>
                  <w:tcW w:w="540" w:type="pct"/>
                  <w:noWrap w:val="0"/>
                  <w:vAlign w:val="center"/>
                </w:tcPr>
                <w:p w14:paraId="351281E2">
                  <w:pPr>
                    <w:adjustRightInd w:val="0"/>
                    <w:snapToGrid w:val="0"/>
                    <w:jc w:val="center"/>
                    <w:rPr>
                      <w:rFonts w:hint="default" w:eastAsia="宋体"/>
                      <w:snapToGrid w:val="0"/>
                      <w:color w:val="auto"/>
                      <w:sz w:val="21"/>
                      <w:szCs w:val="21"/>
                      <w:lang w:val="en-US" w:eastAsia="zh-CN"/>
                    </w:rPr>
                  </w:pPr>
                  <w:r>
                    <w:rPr>
                      <w:rFonts w:hint="eastAsia"/>
                      <w:snapToGrid w:val="0"/>
                      <w:color w:val="auto"/>
                      <w:sz w:val="21"/>
                      <w:szCs w:val="21"/>
                      <w:lang w:val="en-US" w:eastAsia="zh-CN"/>
                    </w:rPr>
                    <w:t>17.3</w:t>
                  </w:r>
                </w:p>
              </w:tc>
              <w:tc>
                <w:tcPr>
                  <w:tcW w:w="552" w:type="pct"/>
                  <w:noWrap w:val="0"/>
                  <w:vAlign w:val="center"/>
                </w:tcPr>
                <w:p w14:paraId="021464EA">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69.1</w:t>
                  </w:r>
                </w:p>
              </w:tc>
              <w:tc>
                <w:tcPr>
                  <w:tcW w:w="552" w:type="pct"/>
                  <w:noWrap w:val="0"/>
                  <w:vAlign w:val="center"/>
                </w:tcPr>
                <w:p w14:paraId="22FB8868">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4000</w:t>
                  </w:r>
                </w:p>
              </w:tc>
              <w:tc>
                <w:tcPr>
                  <w:tcW w:w="552" w:type="pct"/>
                  <w:noWrap w:val="0"/>
                  <w:vAlign w:val="center"/>
                </w:tcPr>
                <w:p w14:paraId="7D3A8911">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10</w:t>
                  </w:r>
                </w:p>
              </w:tc>
            </w:tr>
          </w:tbl>
          <w:p w14:paraId="0DC66217">
            <w:pPr>
              <w:pStyle w:val="24"/>
              <w:spacing w:line="360" w:lineRule="auto"/>
              <w:ind w:firstLine="0" w:firstLineChars="0"/>
              <w:jc w:val="center"/>
              <w:rPr>
                <w:rFonts w:hint="eastAsia" w:eastAsia="宋体"/>
                <w:color w:val="auto"/>
                <w:lang w:eastAsia="zh-CN"/>
              </w:rPr>
            </w:pPr>
            <w:r>
              <w:rPr>
                <w:rFonts w:hint="eastAsia" w:eastAsia="宋体"/>
                <w:color w:val="auto"/>
                <w:lang w:eastAsia="zh-CN"/>
              </w:rPr>
              <w:object>
                <v:shape id="_x0000_i1026" o:spt="75" type="#_x0000_t75" style="height:174.2pt;width:348.85pt;" o:ole="t" filled="f" o:preferrelative="t" stroked="f" coordsize="21600,21600">
                  <v:path/>
                  <v:fill on="f" focussize="0,0"/>
                  <v:stroke on="f"/>
                  <v:imagedata r:id="rId11" croptop="7528f" cropright="1388f" cropbottom="11617f" o:title=""/>
                  <o:lock v:ext="edit" aspectratio="t"/>
                  <w10:wrap type="none"/>
                  <w10:anchorlock/>
                </v:shape>
                <o:OLEObject Type="Embed" ProgID="Visio.Drawing.11" ShapeID="_x0000_i1026" DrawAspect="Content" ObjectID="_1468075726" r:id="rId10">
                  <o:LockedField>false</o:LockedField>
                </o:OLEObject>
              </w:object>
            </w:r>
          </w:p>
          <w:p w14:paraId="38C8EA39">
            <w:pPr>
              <w:pStyle w:val="30"/>
              <w:keepNext w:val="0"/>
              <w:keepLines w:val="0"/>
              <w:pageBreakBefore w:val="0"/>
              <w:widowControl w:val="0"/>
              <w:kinsoku/>
              <w:wordWrap/>
              <w:overflowPunct/>
              <w:topLinePunct w:val="0"/>
              <w:autoSpaceDE/>
              <w:autoSpaceDN/>
              <w:bidi w:val="0"/>
              <w:adjustRightInd w:val="0"/>
              <w:snapToGrid w:val="0"/>
              <w:ind w:left="0" w:leftChars="0" w:right="0" w:rightChars="0" w:firstLine="0" w:firstLineChars="0"/>
              <w:jc w:val="center"/>
              <w:textAlignment w:val="auto"/>
              <w:rPr>
                <w:rFonts w:hint="eastAsia" w:eastAsia="宋体"/>
                <w:color w:val="auto"/>
                <w:lang w:eastAsia="zh-CN"/>
              </w:rPr>
            </w:pPr>
            <w:r>
              <w:rPr>
                <w:rFonts w:hint="eastAsia" w:hAnsi="Times New Roman" w:cs="Times New Roman"/>
                <w:b/>
                <w:bCs/>
                <w:color w:val="auto"/>
                <w:szCs w:val="24"/>
              </w:rPr>
              <w:t>图2-</w:t>
            </w:r>
            <w:r>
              <w:rPr>
                <w:rFonts w:hint="eastAsia" w:cs="Times New Roman"/>
                <w:b/>
                <w:bCs/>
                <w:color w:val="auto"/>
                <w:szCs w:val="24"/>
                <w:lang w:val="en-US" w:eastAsia="zh-CN"/>
              </w:rPr>
              <w:t>2</w:t>
            </w:r>
            <w:r>
              <w:rPr>
                <w:rFonts w:hAnsi="Times New Roman" w:cs="Times New Roman"/>
                <w:b/>
                <w:bCs/>
                <w:color w:val="auto"/>
                <w:szCs w:val="24"/>
              </w:rPr>
              <w:t xml:space="preserve"> </w:t>
            </w:r>
            <w:r>
              <w:rPr>
                <w:rFonts w:hint="eastAsia" w:hAnsi="Times New Roman" w:cs="Times New Roman"/>
                <w:b/>
                <w:bCs/>
                <w:color w:val="auto"/>
                <w:szCs w:val="24"/>
              </w:rPr>
              <w:t xml:space="preserve"> </w:t>
            </w:r>
            <w:r>
              <w:rPr>
                <w:rFonts w:hint="eastAsia" w:cs="Times New Roman"/>
                <w:b/>
                <w:bCs/>
                <w:color w:val="auto"/>
                <w:szCs w:val="24"/>
                <w:lang w:val="en-US" w:eastAsia="zh-CN"/>
              </w:rPr>
              <w:t>施工期</w:t>
            </w:r>
            <w:r>
              <w:rPr>
                <w:rFonts w:hint="eastAsia" w:hAnsi="Times New Roman" w:cs="Times New Roman"/>
                <w:b/>
                <w:bCs/>
                <w:color w:val="auto"/>
                <w:szCs w:val="24"/>
              </w:rPr>
              <w:t>项目水平衡图   单位：m</w:t>
            </w:r>
            <w:r>
              <w:rPr>
                <w:rFonts w:hint="eastAsia" w:hAnsi="Times New Roman" w:cs="Times New Roman"/>
                <w:b/>
                <w:bCs/>
                <w:color w:val="auto"/>
                <w:szCs w:val="24"/>
                <w:vertAlign w:val="superscript"/>
              </w:rPr>
              <w:t>3</w:t>
            </w:r>
            <w:r>
              <w:rPr>
                <w:rFonts w:hint="eastAsia" w:hAnsi="Times New Roman" w:cs="Times New Roman"/>
                <w:b/>
                <w:bCs/>
                <w:color w:val="auto"/>
                <w:szCs w:val="24"/>
              </w:rPr>
              <w:t>/</w:t>
            </w:r>
            <w:r>
              <w:rPr>
                <w:rFonts w:hint="eastAsia" w:hAnsi="Times New Roman" w:cs="Times New Roman"/>
                <w:b/>
                <w:bCs/>
                <w:color w:val="auto"/>
                <w:szCs w:val="24"/>
                <w:lang w:val="en-US" w:eastAsia="zh-CN"/>
              </w:rPr>
              <w:t>a</w:t>
            </w:r>
          </w:p>
          <w:p w14:paraId="3892117C">
            <w:pPr>
              <w:pStyle w:val="22"/>
              <w:bidi w:val="0"/>
              <w:rPr>
                <w:rFonts w:hint="default"/>
                <w:color w:val="auto"/>
                <w:lang w:val="en-US" w:eastAsia="zh-CN"/>
              </w:rPr>
            </w:pPr>
            <w:r>
              <w:rPr>
                <w:rFonts w:hint="default"/>
                <w:color w:val="auto"/>
                <w:lang w:val="en-US" w:eastAsia="zh-CN"/>
              </w:rPr>
              <w:t>（</w:t>
            </w:r>
            <w:r>
              <w:rPr>
                <w:rFonts w:hint="eastAsia"/>
                <w:color w:val="auto"/>
                <w:lang w:val="en-US" w:eastAsia="zh-CN"/>
              </w:rPr>
              <w:t>2</w:t>
            </w:r>
            <w:r>
              <w:rPr>
                <w:rFonts w:hint="default"/>
                <w:color w:val="auto"/>
                <w:lang w:val="en-US" w:eastAsia="zh-CN"/>
              </w:rPr>
              <w:t>）</w:t>
            </w:r>
            <w:r>
              <w:rPr>
                <w:rFonts w:hint="eastAsia"/>
                <w:color w:val="auto"/>
                <w:lang w:val="en-US" w:eastAsia="zh-CN"/>
              </w:rPr>
              <w:t>运营期</w:t>
            </w:r>
            <w:r>
              <w:rPr>
                <w:rFonts w:hint="default"/>
                <w:color w:val="auto"/>
                <w:lang w:val="en-US" w:eastAsia="zh-CN"/>
              </w:rPr>
              <w:t>给</w:t>
            </w:r>
            <w:r>
              <w:rPr>
                <w:rFonts w:hint="eastAsia"/>
                <w:color w:val="auto"/>
                <w:lang w:val="en-US" w:eastAsia="zh-CN"/>
              </w:rPr>
              <w:t>排</w:t>
            </w:r>
            <w:r>
              <w:rPr>
                <w:rFonts w:hint="default"/>
                <w:color w:val="auto"/>
                <w:lang w:val="en-US" w:eastAsia="zh-CN"/>
              </w:rPr>
              <w:t>水</w:t>
            </w:r>
          </w:p>
          <w:p w14:paraId="47FD3912">
            <w:pPr>
              <w:pStyle w:val="22"/>
              <w:bidi w:val="0"/>
              <w:rPr>
                <w:rFonts w:hint="default"/>
                <w:color w:val="auto"/>
              </w:rPr>
            </w:pPr>
            <w:r>
              <w:rPr>
                <w:rFonts w:hint="default"/>
                <w:color w:val="auto"/>
              </w:rPr>
              <w:t>本项目</w:t>
            </w:r>
            <w:r>
              <w:rPr>
                <w:rFonts w:hint="eastAsia"/>
                <w:color w:val="auto"/>
                <w:lang w:val="en-US" w:eastAsia="zh-CN"/>
              </w:rPr>
              <w:t>运营期用水由</w:t>
            </w:r>
            <w:r>
              <w:rPr>
                <w:rFonts w:hint="default"/>
                <w:color w:val="auto"/>
              </w:rPr>
              <w:t>市政给水管网提供</w:t>
            </w:r>
            <w:r>
              <w:rPr>
                <w:rFonts w:hint="eastAsia"/>
                <w:color w:val="auto"/>
                <w:lang w:eastAsia="zh-CN"/>
              </w:rPr>
              <w:t>，</w:t>
            </w:r>
            <w:r>
              <w:rPr>
                <w:rFonts w:hint="eastAsia"/>
                <w:color w:val="auto"/>
                <w:lang w:val="en-US" w:eastAsia="zh-CN"/>
              </w:rPr>
              <w:t>主要为生活用水、软水制备用水</w:t>
            </w:r>
            <w:r>
              <w:rPr>
                <w:rFonts w:hint="eastAsia" w:ascii="宋体" w:eastAsia="宋体" w:cs="宋体"/>
                <w:b w:val="0"/>
                <w:bCs w:val="0"/>
                <w:color w:val="auto"/>
                <w:sz w:val="24"/>
                <w:szCs w:val="24"/>
                <w:lang w:val="en-US" w:eastAsia="zh-CN"/>
              </w:rPr>
              <w:t>和软水设备反冲洗用水</w:t>
            </w:r>
            <w:r>
              <w:rPr>
                <w:rFonts w:hint="default"/>
                <w:color w:val="auto"/>
              </w:rPr>
              <w:t>。</w:t>
            </w:r>
            <w:r>
              <w:rPr>
                <w:rFonts w:hint="eastAsia"/>
                <w:color w:val="auto"/>
                <w:kern w:val="0"/>
              </w:rPr>
              <w:t>项目排水主要为生活污水。</w:t>
            </w:r>
          </w:p>
          <w:p w14:paraId="3AB7CAF9">
            <w:pPr>
              <w:pStyle w:val="22"/>
              <w:bidi w:val="0"/>
              <w:rPr>
                <w:rFonts w:hint="default" w:eastAsia="宋体"/>
                <w:color w:val="auto"/>
                <w:lang w:val="en-US" w:eastAsia="zh-CN"/>
              </w:rPr>
            </w:pPr>
            <w:r>
              <w:rPr>
                <w:rFonts w:hint="eastAsia"/>
                <w:color w:val="auto"/>
                <w:lang w:val="en-US" w:eastAsia="zh-CN"/>
              </w:rPr>
              <w:t>①生活用水</w:t>
            </w:r>
          </w:p>
          <w:p w14:paraId="1635B54E">
            <w:pPr>
              <w:pStyle w:val="22"/>
              <w:bidi w:val="0"/>
              <w:rPr>
                <w:rFonts w:hint="eastAsia"/>
                <w:color w:val="auto"/>
                <w:lang w:val="en-US" w:eastAsia="zh-CN"/>
              </w:rPr>
            </w:pPr>
            <w:r>
              <w:rPr>
                <w:rFonts w:hint="default"/>
                <w:color w:val="auto"/>
              </w:rPr>
              <w:t>项目</w:t>
            </w:r>
            <w:r>
              <w:rPr>
                <w:rFonts w:hint="eastAsia"/>
                <w:color w:val="auto"/>
                <w:lang w:val="en-US" w:eastAsia="zh-CN"/>
              </w:rPr>
              <w:t>运营期劳动定员6人，年工作120天。根据陕西省《行业用水定额》（DB 61/T 943-2020）中表B.17，行政办公及科研院所中通用值计：25m</w:t>
            </w:r>
            <w:r>
              <w:rPr>
                <w:rFonts w:hint="eastAsia"/>
                <w:color w:val="auto"/>
                <w:vertAlign w:val="superscript"/>
                <w:lang w:val="en-US" w:eastAsia="zh-CN"/>
              </w:rPr>
              <w:t>3</w:t>
            </w:r>
            <w:r>
              <w:rPr>
                <w:rFonts w:hint="eastAsia"/>
                <w:color w:val="auto"/>
                <w:lang w:val="en-US" w:eastAsia="zh-CN"/>
              </w:rPr>
              <w:t>/人·a计，则生活用水量为1.25m</w:t>
            </w:r>
            <w:r>
              <w:rPr>
                <w:rFonts w:hint="eastAsia"/>
                <w:color w:val="auto"/>
                <w:vertAlign w:val="superscript"/>
                <w:lang w:val="en-US" w:eastAsia="zh-CN"/>
              </w:rPr>
              <w:t>3</w:t>
            </w:r>
            <w:r>
              <w:rPr>
                <w:rFonts w:hint="eastAsia"/>
                <w:color w:val="auto"/>
                <w:lang w:val="en-US" w:eastAsia="zh-CN"/>
              </w:rPr>
              <w:t>/d（150m</w:t>
            </w:r>
            <w:r>
              <w:rPr>
                <w:rFonts w:hint="eastAsia"/>
                <w:color w:val="auto"/>
                <w:vertAlign w:val="superscript"/>
                <w:lang w:val="en-US" w:eastAsia="zh-CN"/>
              </w:rPr>
              <w:t>3</w:t>
            </w:r>
            <w:r>
              <w:rPr>
                <w:rFonts w:hint="eastAsia"/>
                <w:color w:val="auto"/>
                <w:lang w:val="en-US" w:eastAsia="zh-CN"/>
              </w:rPr>
              <w:t>/a）。</w:t>
            </w:r>
          </w:p>
          <w:p w14:paraId="5F750A43">
            <w:pPr>
              <w:pStyle w:val="22"/>
              <w:bidi w:val="0"/>
              <w:rPr>
                <w:rFonts w:hint="default"/>
                <w:color w:val="auto"/>
              </w:rPr>
            </w:pPr>
            <w:r>
              <w:rPr>
                <w:rFonts w:hint="eastAsia"/>
                <w:color w:val="auto"/>
                <w:lang w:val="en-US" w:eastAsia="zh-CN"/>
              </w:rPr>
              <w:t>生活污水产生量按照新鲜用水量的80%计算，则生活污水量为1m</w:t>
            </w:r>
            <w:r>
              <w:rPr>
                <w:rFonts w:hint="eastAsia"/>
                <w:color w:val="auto"/>
                <w:vertAlign w:val="superscript"/>
                <w:lang w:val="en-US" w:eastAsia="zh-CN"/>
              </w:rPr>
              <w:t>3</w:t>
            </w:r>
            <w:r>
              <w:rPr>
                <w:rFonts w:hint="eastAsia"/>
                <w:color w:val="auto"/>
                <w:lang w:val="en-US" w:eastAsia="zh-CN"/>
              </w:rPr>
              <w:t>/d（120m</w:t>
            </w:r>
            <w:r>
              <w:rPr>
                <w:rFonts w:hint="eastAsia"/>
                <w:color w:val="auto"/>
                <w:vertAlign w:val="superscript"/>
                <w:lang w:val="en-US" w:eastAsia="zh-CN"/>
              </w:rPr>
              <w:t>3</w:t>
            </w:r>
            <w:r>
              <w:rPr>
                <w:rFonts w:hint="eastAsia"/>
                <w:color w:val="auto"/>
                <w:lang w:val="en-US" w:eastAsia="zh-CN"/>
              </w:rPr>
              <w:t>/a）。主要污染物为COD、BOD</w:t>
            </w:r>
            <w:r>
              <w:rPr>
                <w:rFonts w:hint="eastAsia"/>
                <w:color w:val="auto"/>
                <w:vertAlign w:val="subscript"/>
                <w:lang w:val="en-US" w:eastAsia="zh-CN"/>
              </w:rPr>
              <w:t>5</w:t>
            </w:r>
            <w:r>
              <w:rPr>
                <w:rFonts w:hint="eastAsia"/>
                <w:color w:val="auto"/>
                <w:lang w:val="en-US" w:eastAsia="zh-CN"/>
              </w:rPr>
              <w:t>、SS、氨氮、TN、TP等。生活污水排入小区污水管网，依托小区化粪池处理后排入市政污水管网，最终进入西安净水处理有限责任公司第六再生水厂进行处理。</w:t>
            </w:r>
          </w:p>
          <w:p w14:paraId="1ED16425">
            <w:pPr>
              <w:pStyle w:val="22"/>
              <w:bidi w:val="0"/>
              <w:rPr>
                <w:rFonts w:hint="eastAsia"/>
                <w:color w:val="auto"/>
                <w:lang w:val="en-US" w:eastAsia="zh-CN"/>
              </w:rPr>
            </w:pPr>
            <w:r>
              <w:rPr>
                <w:rFonts w:hint="eastAsia"/>
                <w:color w:val="auto"/>
                <w:lang w:val="en-US" w:eastAsia="zh-CN"/>
              </w:rPr>
              <w:t>②软水制备用水</w:t>
            </w:r>
          </w:p>
          <w:p w14:paraId="26992F39">
            <w:pPr>
              <w:pStyle w:val="22"/>
              <w:bidi w:val="0"/>
              <w:rPr>
                <w:rFonts w:hint="eastAsia"/>
                <w:color w:val="auto"/>
                <w:lang w:val="en-US" w:eastAsia="zh-CN"/>
              </w:rPr>
            </w:pPr>
            <w:r>
              <w:rPr>
                <w:rFonts w:hint="eastAsia"/>
                <w:color w:val="auto"/>
                <w:lang w:val="en-US" w:eastAsia="zh-CN"/>
              </w:rPr>
              <w:t>项目供暖季开始时用户端管道一次性注入软水180m</w:t>
            </w:r>
            <w:r>
              <w:rPr>
                <w:rFonts w:hint="eastAsia"/>
                <w:color w:val="auto"/>
                <w:vertAlign w:val="superscript"/>
                <w:lang w:val="en-US" w:eastAsia="zh-CN"/>
              </w:rPr>
              <w:t>3</w:t>
            </w:r>
            <w:r>
              <w:rPr>
                <w:rFonts w:hint="eastAsia"/>
                <w:color w:val="auto"/>
                <w:lang w:val="en-US" w:eastAsia="zh-CN"/>
              </w:rPr>
              <w:t>（在系统中循环，供暖季结束排入市政污水管网）用户端系统补水采用软化水，</w:t>
            </w:r>
            <w:r>
              <w:rPr>
                <w:rFonts w:hint="eastAsia"/>
                <w:color w:val="auto"/>
                <w:sz w:val="24"/>
              </w:rPr>
              <w:t>项目软水制备采用</w:t>
            </w:r>
            <w:r>
              <w:rPr>
                <w:rFonts w:hint="eastAsia"/>
                <w:color w:val="auto"/>
                <w:sz w:val="24"/>
                <w:lang w:val="en-US" w:eastAsia="zh-CN"/>
              </w:rPr>
              <w:t>软水</w:t>
            </w:r>
            <w:r>
              <w:rPr>
                <w:rFonts w:hint="eastAsia"/>
                <w:color w:val="auto"/>
                <w:sz w:val="24"/>
              </w:rPr>
              <w:t>器</w:t>
            </w:r>
            <w:r>
              <w:rPr>
                <w:rFonts w:hint="eastAsia"/>
                <w:color w:val="auto"/>
                <w:lang w:val="en-US" w:eastAsia="zh-CN"/>
              </w:rPr>
              <w:t>，原水（由市政自来水供应系统供应）通过软水器内树脂层时，</w:t>
            </w:r>
            <w:r>
              <w:rPr>
                <w:rFonts w:hint="eastAsia"/>
                <w:color w:val="auto"/>
                <w:kern w:val="0"/>
                <w:highlight w:val="none"/>
                <w:lang w:val="en-US" w:eastAsia="zh-CN"/>
              </w:rPr>
              <w:t>将水中的钙、镁离子等硬度成分与树脂中的钠离子进行交换，从而去除水中的硬度成分，使水得到软化。供暖</w:t>
            </w:r>
            <w:r>
              <w:rPr>
                <w:rFonts w:hint="eastAsia"/>
                <w:color w:val="auto"/>
                <w:lang w:val="en-US" w:eastAsia="zh-CN"/>
              </w:rPr>
              <w:t>二次网</w:t>
            </w:r>
            <w:r>
              <w:rPr>
                <w:rFonts w:hint="eastAsia"/>
                <w:color w:val="auto"/>
                <w:kern w:val="0"/>
                <w:highlight w:val="none"/>
                <w:lang w:val="en-US" w:eastAsia="zh-CN"/>
              </w:rPr>
              <w:t>属闭式循环系统，在没有滴漏跑冒及检修放水的前提下水量不损耗，供暖季不存在排水问题。</w:t>
            </w:r>
          </w:p>
          <w:p w14:paraId="2CB95420">
            <w:pPr>
              <w:pStyle w:val="22"/>
              <w:bidi w:val="0"/>
              <w:rPr>
                <w:rFonts w:hint="default"/>
                <w:color w:val="auto"/>
                <w:lang w:val="en-US" w:eastAsia="zh-CN"/>
              </w:rPr>
            </w:pPr>
            <w:r>
              <w:rPr>
                <w:rFonts w:hint="eastAsia"/>
                <w:color w:val="auto"/>
                <w:lang w:val="en-US" w:eastAsia="zh-CN"/>
              </w:rPr>
              <w:t>项目一次性注入软水为180m</w:t>
            </w:r>
            <w:r>
              <w:rPr>
                <w:rFonts w:hint="eastAsia"/>
                <w:color w:val="auto"/>
                <w:vertAlign w:val="superscript"/>
                <w:lang w:val="en-US" w:eastAsia="zh-CN"/>
              </w:rPr>
              <w:t>3</w:t>
            </w:r>
            <w:r>
              <w:rPr>
                <w:rFonts w:hint="eastAsia"/>
                <w:color w:val="auto"/>
                <w:lang w:val="en-US" w:eastAsia="zh-CN"/>
              </w:rPr>
              <w:t>/a，项目采用离子交换树脂制备软水，软水制备效率为85%，需要新鲜水为212m</w:t>
            </w:r>
            <w:r>
              <w:rPr>
                <w:rFonts w:hint="eastAsia"/>
                <w:color w:val="auto"/>
                <w:vertAlign w:val="superscript"/>
                <w:lang w:val="en-US" w:eastAsia="zh-CN"/>
              </w:rPr>
              <w:t>3</w:t>
            </w:r>
            <w:r>
              <w:rPr>
                <w:rFonts w:hint="eastAsia"/>
                <w:color w:val="auto"/>
                <w:lang w:val="en-US" w:eastAsia="zh-CN"/>
              </w:rPr>
              <w:t>/a。废水产生量为32m</w:t>
            </w:r>
            <w:r>
              <w:rPr>
                <w:rFonts w:hint="eastAsia"/>
                <w:color w:val="auto"/>
                <w:vertAlign w:val="superscript"/>
                <w:lang w:val="en-US" w:eastAsia="zh-CN"/>
              </w:rPr>
              <w:t>3</w:t>
            </w:r>
            <w:r>
              <w:rPr>
                <w:rFonts w:hint="eastAsia"/>
                <w:color w:val="auto"/>
                <w:lang w:val="en-US" w:eastAsia="zh-CN"/>
              </w:rPr>
              <w:t>/a。</w:t>
            </w:r>
          </w:p>
          <w:p w14:paraId="7DEA2DBD">
            <w:pPr>
              <w:spacing w:line="360" w:lineRule="auto"/>
              <w:ind w:firstLine="480" w:firstLineChars="200"/>
              <w:rPr>
                <w:rFonts w:hint="eastAsia" w:eastAsia="宋体"/>
                <w:color w:val="auto"/>
                <w:sz w:val="24"/>
                <w:lang w:val="en-US" w:eastAsia="zh-CN"/>
              </w:rPr>
            </w:pPr>
            <w:r>
              <w:rPr>
                <w:rFonts w:hint="eastAsia" w:ascii="Times New Roman" w:hAnsi="Times New Roman" w:eastAsia="宋体" w:cs="Times New Roman"/>
                <w:color w:val="auto"/>
                <w:kern w:val="2"/>
                <w:sz w:val="24"/>
                <w:szCs w:val="24"/>
                <w:lang w:val="en-US" w:eastAsia="zh-CN" w:bidi="ar-SA"/>
              </w:rPr>
              <w:t>③反</w:t>
            </w:r>
            <w:r>
              <w:rPr>
                <w:rFonts w:hint="eastAsia"/>
                <w:color w:val="auto"/>
                <w:sz w:val="24"/>
              </w:rPr>
              <w:t>冲洗用</w:t>
            </w:r>
            <w:r>
              <w:rPr>
                <w:rFonts w:hint="eastAsia"/>
                <w:color w:val="auto"/>
                <w:sz w:val="24"/>
                <w:lang w:val="en-US" w:eastAsia="zh-CN"/>
              </w:rPr>
              <w:t>水</w:t>
            </w:r>
          </w:p>
          <w:p w14:paraId="5AC36C42">
            <w:pPr>
              <w:spacing w:line="360" w:lineRule="auto"/>
              <w:ind w:firstLine="480" w:firstLineChars="200"/>
              <w:rPr>
                <w:rFonts w:hint="default"/>
                <w:color w:val="auto"/>
                <w:lang w:val="en-US" w:eastAsia="zh-CN"/>
              </w:rPr>
            </w:pPr>
            <w:r>
              <w:rPr>
                <w:rFonts w:hint="eastAsia"/>
                <w:color w:val="auto"/>
                <w:sz w:val="24"/>
              </w:rPr>
              <w:t>项目软水制备采用</w:t>
            </w:r>
            <w:r>
              <w:rPr>
                <w:rFonts w:hint="eastAsia"/>
                <w:color w:val="auto"/>
                <w:sz w:val="24"/>
                <w:lang w:val="en-US" w:eastAsia="zh-CN"/>
              </w:rPr>
              <w:t>软水</w:t>
            </w:r>
            <w:r>
              <w:rPr>
                <w:rFonts w:hint="eastAsia"/>
                <w:color w:val="auto"/>
                <w:sz w:val="24"/>
              </w:rPr>
              <w:t>器，交换器内的离子交换树脂大约一周再生一次，通过软水器自带的盐箱进行注水的方式配置低浓度盐水（约8%氯化钠溶液）进行冲洗，反冲洗水用量约为1</w:t>
            </w:r>
            <w:r>
              <w:rPr>
                <w:color w:val="auto"/>
                <w:sz w:val="24"/>
              </w:rPr>
              <w:t>m</w:t>
            </w:r>
            <w:r>
              <w:rPr>
                <w:color w:val="auto"/>
                <w:sz w:val="24"/>
                <w:vertAlign w:val="superscript"/>
              </w:rPr>
              <w:t>3</w:t>
            </w:r>
            <w:r>
              <w:rPr>
                <w:rFonts w:hint="eastAsia"/>
                <w:color w:val="auto"/>
                <w:sz w:val="24"/>
              </w:rPr>
              <w:t>/次，</w:t>
            </w:r>
            <w:r>
              <w:rPr>
                <w:rFonts w:hint="eastAsia"/>
                <w:color w:val="auto"/>
                <w:sz w:val="24"/>
                <w:lang w:val="en-US" w:eastAsia="zh-CN"/>
              </w:rPr>
              <w:t>18</w:t>
            </w:r>
            <w:r>
              <w:rPr>
                <w:color w:val="auto"/>
                <w:sz w:val="24"/>
              </w:rPr>
              <w:t>m</w:t>
            </w:r>
            <w:r>
              <w:rPr>
                <w:color w:val="auto"/>
                <w:sz w:val="24"/>
                <w:vertAlign w:val="superscript"/>
              </w:rPr>
              <w:t>3</w:t>
            </w:r>
            <w:r>
              <w:rPr>
                <w:rFonts w:hint="eastAsia"/>
                <w:color w:val="auto"/>
                <w:sz w:val="24"/>
              </w:rPr>
              <w:t>/a。反冲洗设备排污量按95%计，则反冲洗排水量为</w:t>
            </w:r>
            <w:r>
              <w:rPr>
                <w:rFonts w:hint="eastAsia"/>
                <w:color w:val="auto"/>
                <w:sz w:val="24"/>
                <w:lang w:val="en-US" w:eastAsia="zh-CN"/>
              </w:rPr>
              <w:t>0.95</w:t>
            </w:r>
            <w:r>
              <w:rPr>
                <w:rFonts w:hint="eastAsia"/>
                <w:color w:val="auto"/>
                <w:sz w:val="24"/>
              </w:rPr>
              <w:t>m</w:t>
            </w:r>
            <w:r>
              <w:rPr>
                <w:rFonts w:hint="eastAsia"/>
                <w:color w:val="auto"/>
                <w:sz w:val="24"/>
                <w:vertAlign w:val="superscript"/>
              </w:rPr>
              <w:t>3</w:t>
            </w:r>
            <w:r>
              <w:rPr>
                <w:rFonts w:hint="eastAsia"/>
                <w:color w:val="auto"/>
                <w:sz w:val="24"/>
              </w:rPr>
              <w:t>/次，1</w:t>
            </w:r>
            <w:r>
              <w:rPr>
                <w:rFonts w:hint="eastAsia"/>
                <w:color w:val="auto"/>
                <w:sz w:val="24"/>
                <w:lang w:val="en-US" w:eastAsia="zh-CN"/>
              </w:rPr>
              <w:t>7.1</w:t>
            </w:r>
            <w:r>
              <w:rPr>
                <w:rFonts w:hint="eastAsia"/>
                <w:color w:val="auto"/>
                <w:sz w:val="24"/>
              </w:rPr>
              <w:t>m</w:t>
            </w:r>
            <w:r>
              <w:rPr>
                <w:rFonts w:hint="eastAsia"/>
                <w:color w:val="auto"/>
                <w:sz w:val="24"/>
                <w:vertAlign w:val="superscript"/>
              </w:rPr>
              <w:t>3</w:t>
            </w:r>
            <w:r>
              <w:rPr>
                <w:rFonts w:hint="eastAsia"/>
                <w:color w:val="auto"/>
                <w:sz w:val="24"/>
              </w:rPr>
              <w:t>/a。损耗量为0.0</w:t>
            </w:r>
            <w:r>
              <w:rPr>
                <w:rFonts w:hint="eastAsia"/>
                <w:color w:val="auto"/>
                <w:sz w:val="24"/>
                <w:lang w:val="en-US" w:eastAsia="zh-CN"/>
              </w:rPr>
              <w:t>5</w:t>
            </w:r>
            <w:r>
              <w:rPr>
                <w:rFonts w:hint="eastAsia"/>
                <w:color w:val="auto"/>
                <w:sz w:val="24"/>
              </w:rPr>
              <w:t>m</w:t>
            </w:r>
            <w:r>
              <w:rPr>
                <w:rFonts w:hint="eastAsia"/>
                <w:color w:val="auto"/>
                <w:sz w:val="24"/>
                <w:vertAlign w:val="superscript"/>
              </w:rPr>
              <w:t>3</w:t>
            </w:r>
            <w:r>
              <w:rPr>
                <w:rFonts w:hint="eastAsia"/>
                <w:color w:val="auto"/>
                <w:sz w:val="24"/>
              </w:rPr>
              <w:t>/次，</w:t>
            </w:r>
            <w:r>
              <w:rPr>
                <w:rFonts w:hint="eastAsia"/>
                <w:color w:val="auto"/>
                <w:sz w:val="24"/>
                <w:lang w:val="en-US" w:eastAsia="zh-CN"/>
              </w:rPr>
              <w:t>0.9</w:t>
            </w:r>
            <w:r>
              <w:rPr>
                <w:rFonts w:hint="eastAsia"/>
                <w:color w:val="auto"/>
                <w:sz w:val="24"/>
              </w:rPr>
              <w:t>m</w:t>
            </w:r>
            <w:r>
              <w:rPr>
                <w:rFonts w:hint="eastAsia"/>
                <w:color w:val="auto"/>
                <w:sz w:val="24"/>
                <w:vertAlign w:val="superscript"/>
              </w:rPr>
              <w:t>3</w:t>
            </w:r>
            <w:r>
              <w:rPr>
                <w:rFonts w:hint="eastAsia"/>
                <w:color w:val="auto"/>
                <w:sz w:val="24"/>
              </w:rPr>
              <w:t>/a。</w:t>
            </w:r>
          </w:p>
          <w:p w14:paraId="606F72F8">
            <w:pPr>
              <w:pStyle w:val="22"/>
              <w:bidi w:val="0"/>
              <w:rPr>
                <w:rFonts w:hint="eastAsia"/>
                <w:color w:val="auto"/>
                <w:lang w:val="en-US" w:eastAsia="zh-CN"/>
              </w:rPr>
            </w:pPr>
            <w:r>
              <w:rPr>
                <w:rFonts w:hint="eastAsia"/>
                <w:color w:val="auto"/>
                <w:lang w:val="en-US" w:eastAsia="zh-CN"/>
              </w:rPr>
              <w:t>软化浓水和反冲洗废水其污染物种类较为简单，为清净下水，排入小区污水管网，经市政污水管网排入西安净水处理有限责任公司第六再生水厂处理。</w:t>
            </w:r>
          </w:p>
          <w:p w14:paraId="63A2E179">
            <w:pPr>
              <w:pStyle w:val="22"/>
              <w:bidi w:val="0"/>
              <w:rPr>
                <w:rFonts w:hint="eastAsia"/>
                <w:color w:val="auto"/>
              </w:rPr>
            </w:pPr>
            <w:r>
              <w:rPr>
                <w:rFonts w:hint="eastAsia"/>
                <w:color w:val="auto"/>
                <w:lang w:val="en-US" w:eastAsia="zh-CN"/>
              </w:rPr>
              <w:t>运营期</w:t>
            </w:r>
            <w:r>
              <w:rPr>
                <w:rFonts w:hint="eastAsia"/>
                <w:color w:val="auto"/>
              </w:rPr>
              <w:t>项目</w:t>
            </w:r>
            <w:r>
              <w:rPr>
                <w:rFonts w:hint="eastAsia"/>
                <w:color w:val="auto"/>
                <w:lang w:val="en-US" w:eastAsia="zh-CN"/>
              </w:rPr>
              <w:t>用水、排水情况见表2-9，</w:t>
            </w:r>
            <w:r>
              <w:rPr>
                <w:rFonts w:hint="eastAsia"/>
                <w:color w:val="auto"/>
              </w:rPr>
              <w:t>水平衡图</w:t>
            </w:r>
            <w:r>
              <w:rPr>
                <w:rFonts w:hint="eastAsia"/>
                <w:color w:val="auto"/>
                <w:lang w:val="en-US" w:eastAsia="zh-CN"/>
              </w:rPr>
              <w:t>见图</w:t>
            </w:r>
            <w:r>
              <w:rPr>
                <w:rFonts w:hint="eastAsia"/>
                <w:color w:val="auto"/>
              </w:rPr>
              <w:t>2-</w:t>
            </w:r>
            <w:r>
              <w:rPr>
                <w:rFonts w:hint="eastAsia"/>
                <w:color w:val="auto"/>
                <w:lang w:val="en-US" w:eastAsia="zh-CN"/>
              </w:rPr>
              <w:t>3</w:t>
            </w:r>
            <w:r>
              <w:rPr>
                <w:rFonts w:hint="eastAsia"/>
                <w:color w:val="auto"/>
              </w:rPr>
              <w:t>：</w:t>
            </w:r>
          </w:p>
          <w:p w14:paraId="129290F0">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2-</w:t>
            </w:r>
            <w:r>
              <w:rPr>
                <w:rFonts w:hint="eastAsia" w:hAnsi="Times New Roman" w:cs="Times New Roman"/>
                <w:b/>
                <w:bCs/>
                <w:color w:val="auto"/>
                <w:kern w:val="21"/>
                <w:szCs w:val="24"/>
                <w:lang w:val="en-US" w:eastAsia="zh-CN"/>
              </w:rPr>
              <w:t>9</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w:t>
            </w:r>
            <w:r>
              <w:rPr>
                <w:rFonts w:hAnsi="Times New Roman" w:cs="Times New Roman"/>
                <w:b/>
                <w:bCs/>
                <w:color w:val="auto"/>
                <w:kern w:val="21"/>
                <w:szCs w:val="24"/>
              </w:rPr>
              <w:t>项目给排水情况一览表</w:t>
            </w:r>
          </w:p>
          <w:tbl>
            <w:tblPr>
              <w:tblStyle w:val="15"/>
              <w:tblW w:w="504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97"/>
              <w:gridCol w:w="1811"/>
              <w:gridCol w:w="1739"/>
              <w:gridCol w:w="1531"/>
              <w:gridCol w:w="1565"/>
            </w:tblGrid>
            <w:tr w14:paraId="2B0A91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8" w:type="pct"/>
                  <w:noWrap w:val="0"/>
                  <w:vAlign w:val="center"/>
                </w:tcPr>
                <w:p w14:paraId="410D278D">
                  <w:pPr>
                    <w:adjustRightInd w:val="0"/>
                    <w:snapToGrid w:val="0"/>
                    <w:jc w:val="center"/>
                    <w:rPr>
                      <w:rFonts w:hint="default" w:eastAsia="宋体"/>
                      <w:b/>
                      <w:bCs/>
                      <w:snapToGrid w:val="0"/>
                      <w:color w:val="auto"/>
                      <w:sz w:val="21"/>
                      <w:szCs w:val="21"/>
                      <w:lang w:val="en-US" w:eastAsia="zh-CN"/>
                    </w:rPr>
                  </w:pPr>
                  <w:r>
                    <w:rPr>
                      <w:rFonts w:hint="eastAsia"/>
                      <w:b/>
                      <w:bCs/>
                      <w:snapToGrid w:val="0"/>
                      <w:color w:val="auto"/>
                      <w:sz w:val="21"/>
                      <w:szCs w:val="21"/>
                      <w:lang w:val="en-US" w:eastAsia="zh-CN"/>
                    </w:rPr>
                    <w:t>用水环节</w:t>
                  </w:r>
                </w:p>
              </w:tc>
              <w:tc>
                <w:tcPr>
                  <w:tcW w:w="1098" w:type="pct"/>
                  <w:noWrap w:val="0"/>
                  <w:vAlign w:val="center"/>
                </w:tcPr>
                <w:p w14:paraId="0B91AB93">
                  <w:pPr>
                    <w:adjustRightInd w:val="0"/>
                    <w:snapToGrid w:val="0"/>
                    <w:jc w:val="center"/>
                    <w:rPr>
                      <w:rFonts w:hint="default" w:eastAsia="宋体"/>
                      <w:b/>
                      <w:bCs/>
                      <w:snapToGrid w:val="0"/>
                      <w:color w:val="auto"/>
                      <w:sz w:val="21"/>
                      <w:szCs w:val="21"/>
                      <w:lang w:val="en-US" w:eastAsia="zh-CN"/>
                    </w:rPr>
                  </w:pPr>
                  <w:r>
                    <w:rPr>
                      <w:rFonts w:hint="eastAsia" w:eastAsia="宋体"/>
                      <w:b/>
                      <w:bCs/>
                      <w:snapToGrid w:val="0"/>
                      <w:color w:val="auto"/>
                      <w:sz w:val="21"/>
                      <w:szCs w:val="21"/>
                      <w:lang w:val="en-US" w:eastAsia="zh-CN"/>
                    </w:rPr>
                    <w:t>用水定额</w:t>
                  </w:r>
                </w:p>
              </w:tc>
              <w:tc>
                <w:tcPr>
                  <w:tcW w:w="1054" w:type="pct"/>
                  <w:noWrap w:val="0"/>
                  <w:vAlign w:val="center"/>
                </w:tcPr>
                <w:p w14:paraId="2EF35363">
                  <w:pPr>
                    <w:adjustRightInd w:val="0"/>
                    <w:snapToGrid w:val="0"/>
                    <w:jc w:val="center"/>
                    <w:rPr>
                      <w:rFonts w:hint="eastAsia" w:eastAsia="宋体"/>
                      <w:b/>
                      <w:bCs/>
                      <w:snapToGrid w:val="0"/>
                      <w:color w:val="auto"/>
                      <w:kern w:val="2"/>
                      <w:sz w:val="21"/>
                      <w:szCs w:val="21"/>
                      <w:lang w:val="en-US" w:eastAsia="zh-CN" w:bidi="ar-SA"/>
                    </w:rPr>
                  </w:pPr>
                  <w:r>
                    <w:rPr>
                      <w:rFonts w:hint="eastAsia" w:eastAsia="宋体"/>
                      <w:b/>
                      <w:bCs/>
                      <w:snapToGrid w:val="0"/>
                      <w:color w:val="auto"/>
                      <w:sz w:val="21"/>
                      <w:szCs w:val="21"/>
                      <w:lang w:val="en-US" w:eastAsia="zh-CN"/>
                    </w:rPr>
                    <w:t>新鲜水量</w:t>
                  </w:r>
                  <w:r>
                    <w:rPr>
                      <w:rFonts w:hint="eastAsia"/>
                      <w:b/>
                      <w:bCs/>
                      <w:color w:val="auto"/>
                      <w:sz w:val="21"/>
                      <w:szCs w:val="21"/>
                      <w:highlight w:val="none"/>
                      <w:lang w:val="en-US" w:eastAsia="zh-CN"/>
                    </w:rPr>
                    <w:t>(</w:t>
                  </w:r>
                  <w:r>
                    <w:rPr>
                      <w:b/>
                      <w:bCs/>
                      <w:color w:val="auto"/>
                      <w:sz w:val="21"/>
                      <w:szCs w:val="21"/>
                    </w:rPr>
                    <w:t>m</w:t>
                  </w:r>
                  <w:r>
                    <w:rPr>
                      <w:b/>
                      <w:bCs/>
                      <w:color w:val="auto"/>
                      <w:sz w:val="21"/>
                      <w:szCs w:val="21"/>
                      <w:vertAlign w:val="superscript"/>
                    </w:rPr>
                    <w:t>3</w:t>
                  </w:r>
                  <w:r>
                    <w:rPr>
                      <w:b/>
                      <w:bCs/>
                      <w:color w:val="auto"/>
                      <w:sz w:val="21"/>
                      <w:szCs w:val="21"/>
                    </w:rPr>
                    <w:t>/</w:t>
                  </w:r>
                  <w:r>
                    <w:rPr>
                      <w:rFonts w:hint="eastAsia"/>
                      <w:b/>
                      <w:bCs/>
                      <w:color w:val="auto"/>
                      <w:sz w:val="21"/>
                      <w:szCs w:val="21"/>
                      <w:lang w:val="en-US" w:eastAsia="zh-CN"/>
                    </w:rPr>
                    <w:t>a)</w:t>
                  </w:r>
                </w:p>
              </w:tc>
              <w:tc>
                <w:tcPr>
                  <w:tcW w:w="928" w:type="pct"/>
                  <w:noWrap w:val="0"/>
                  <w:vAlign w:val="center"/>
                </w:tcPr>
                <w:p w14:paraId="287430DA">
                  <w:pPr>
                    <w:adjustRightInd w:val="0"/>
                    <w:snapToGrid w:val="0"/>
                    <w:jc w:val="center"/>
                    <w:rPr>
                      <w:rFonts w:hint="default" w:eastAsia="宋体"/>
                      <w:b/>
                      <w:bCs/>
                      <w:snapToGrid w:val="0"/>
                      <w:color w:val="auto"/>
                      <w:sz w:val="21"/>
                      <w:szCs w:val="21"/>
                      <w:lang w:val="en-US" w:eastAsia="zh-CN"/>
                    </w:rPr>
                  </w:pPr>
                  <w:r>
                    <w:rPr>
                      <w:rFonts w:hint="eastAsia" w:eastAsia="宋体"/>
                      <w:b/>
                      <w:bCs/>
                      <w:snapToGrid w:val="0"/>
                      <w:color w:val="auto"/>
                      <w:sz w:val="21"/>
                      <w:szCs w:val="21"/>
                      <w:lang w:val="en-US" w:eastAsia="zh-CN"/>
                    </w:rPr>
                    <w:t>损耗量</w:t>
                  </w:r>
                  <w:r>
                    <w:rPr>
                      <w:rFonts w:hint="eastAsia"/>
                      <w:b/>
                      <w:bCs/>
                      <w:color w:val="auto"/>
                      <w:sz w:val="21"/>
                      <w:szCs w:val="21"/>
                      <w:lang w:val="en-US" w:eastAsia="zh-CN"/>
                    </w:rPr>
                    <w:t>(</w:t>
                  </w:r>
                  <w:r>
                    <w:rPr>
                      <w:b/>
                      <w:bCs/>
                      <w:color w:val="auto"/>
                      <w:sz w:val="21"/>
                      <w:szCs w:val="21"/>
                    </w:rPr>
                    <w:t>m</w:t>
                  </w:r>
                  <w:r>
                    <w:rPr>
                      <w:b/>
                      <w:bCs/>
                      <w:color w:val="auto"/>
                      <w:sz w:val="21"/>
                      <w:szCs w:val="21"/>
                      <w:vertAlign w:val="superscript"/>
                    </w:rPr>
                    <w:t>3</w:t>
                  </w:r>
                  <w:r>
                    <w:rPr>
                      <w:b/>
                      <w:bCs/>
                      <w:color w:val="auto"/>
                      <w:sz w:val="21"/>
                      <w:szCs w:val="21"/>
                    </w:rPr>
                    <w:t>/</w:t>
                  </w:r>
                  <w:r>
                    <w:rPr>
                      <w:rFonts w:hint="eastAsia"/>
                      <w:b/>
                      <w:bCs/>
                      <w:color w:val="auto"/>
                      <w:sz w:val="21"/>
                      <w:szCs w:val="21"/>
                      <w:lang w:val="en-US" w:eastAsia="zh-CN"/>
                    </w:rPr>
                    <w:t>a)</w:t>
                  </w:r>
                </w:p>
              </w:tc>
              <w:tc>
                <w:tcPr>
                  <w:tcW w:w="949" w:type="pct"/>
                  <w:noWrap w:val="0"/>
                  <w:vAlign w:val="center"/>
                </w:tcPr>
                <w:p w14:paraId="07650A9A">
                  <w:pPr>
                    <w:adjustRightInd w:val="0"/>
                    <w:snapToGrid w:val="0"/>
                    <w:jc w:val="center"/>
                    <w:rPr>
                      <w:rFonts w:hint="default"/>
                      <w:b/>
                      <w:bCs/>
                      <w:snapToGrid w:val="0"/>
                      <w:color w:val="auto"/>
                      <w:sz w:val="21"/>
                      <w:szCs w:val="21"/>
                      <w:lang w:val="en-US" w:eastAsia="zh-CN"/>
                    </w:rPr>
                  </w:pPr>
                  <w:r>
                    <w:rPr>
                      <w:rFonts w:hint="eastAsia"/>
                      <w:b/>
                      <w:bCs/>
                      <w:snapToGrid w:val="0"/>
                      <w:color w:val="auto"/>
                      <w:sz w:val="21"/>
                      <w:szCs w:val="21"/>
                      <w:lang w:val="en-US" w:eastAsia="zh-CN"/>
                    </w:rPr>
                    <w:t>排水量</w:t>
                  </w:r>
                  <w:r>
                    <w:rPr>
                      <w:rFonts w:hint="eastAsia"/>
                      <w:b/>
                      <w:bCs/>
                      <w:color w:val="auto"/>
                      <w:sz w:val="21"/>
                      <w:szCs w:val="21"/>
                      <w:lang w:val="en-US" w:eastAsia="zh-CN"/>
                    </w:rPr>
                    <w:t>(</w:t>
                  </w:r>
                  <w:r>
                    <w:rPr>
                      <w:b/>
                      <w:bCs/>
                      <w:color w:val="auto"/>
                      <w:sz w:val="21"/>
                      <w:szCs w:val="21"/>
                    </w:rPr>
                    <w:t>m</w:t>
                  </w:r>
                  <w:r>
                    <w:rPr>
                      <w:b/>
                      <w:bCs/>
                      <w:color w:val="auto"/>
                      <w:sz w:val="21"/>
                      <w:szCs w:val="21"/>
                      <w:vertAlign w:val="superscript"/>
                    </w:rPr>
                    <w:t>3</w:t>
                  </w:r>
                  <w:r>
                    <w:rPr>
                      <w:b/>
                      <w:bCs/>
                      <w:color w:val="auto"/>
                      <w:sz w:val="21"/>
                      <w:szCs w:val="21"/>
                    </w:rPr>
                    <w:t>/</w:t>
                  </w:r>
                  <w:r>
                    <w:rPr>
                      <w:rFonts w:hint="eastAsia"/>
                      <w:b/>
                      <w:bCs/>
                      <w:color w:val="auto"/>
                      <w:sz w:val="21"/>
                      <w:szCs w:val="21"/>
                      <w:lang w:val="en-US" w:eastAsia="zh-CN"/>
                    </w:rPr>
                    <w:t>a)</w:t>
                  </w:r>
                </w:p>
              </w:tc>
            </w:tr>
            <w:tr w14:paraId="70202D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8" w:type="pct"/>
                  <w:noWrap w:val="0"/>
                  <w:vAlign w:val="center"/>
                </w:tcPr>
                <w:p w14:paraId="3950BD37">
                  <w:pPr>
                    <w:adjustRightInd w:val="0"/>
                    <w:snapToGrid w:val="0"/>
                    <w:jc w:val="center"/>
                    <w:rPr>
                      <w:snapToGrid w:val="0"/>
                      <w:color w:val="auto"/>
                      <w:sz w:val="21"/>
                      <w:szCs w:val="21"/>
                    </w:rPr>
                  </w:pPr>
                  <w:r>
                    <w:rPr>
                      <w:rFonts w:hint="eastAsia"/>
                      <w:snapToGrid w:val="0"/>
                      <w:color w:val="auto"/>
                      <w:sz w:val="21"/>
                      <w:szCs w:val="21"/>
                    </w:rPr>
                    <w:t>生活用水</w:t>
                  </w:r>
                </w:p>
              </w:tc>
              <w:tc>
                <w:tcPr>
                  <w:tcW w:w="1098" w:type="pct"/>
                  <w:noWrap w:val="0"/>
                  <w:vAlign w:val="center"/>
                </w:tcPr>
                <w:p w14:paraId="12E53534">
                  <w:pPr>
                    <w:adjustRightInd w:val="0"/>
                    <w:snapToGrid w:val="0"/>
                    <w:jc w:val="center"/>
                    <w:rPr>
                      <w:rFonts w:hint="default" w:eastAsia="宋体"/>
                      <w:snapToGrid w:val="0"/>
                      <w:color w:val="auto"/>
                      <w:sz w:val="21"/>
                      <w:szCs w:val="21"/>
                      <w:lang w:val="en-US" w:eastAsia="zh-CN"/>
                    </w:rPr>
                  </w:pPr>
                  <w:r>
                    <w:rPr>
                      <w:rFonts w:hint="eastAsia"/>
                      <w:color w:val="auto"/>
                      <w:lang w:val="en-US" w:eastAsia="zh-CN"/>
                    </w:rPr>
                    <w:t>25m</w:t>
                  </w:r>
                  <w:r>
                    <w:rPr>
                      <w:rFonts w:hint="eastAsia"/>
                      <w:color w:val="auto"/>
                      <w:vertAlign w:val="superscript"/>
                      <w:lang w:val="en-US" w:eastAsia="zh-CN"/>
                    </w:rPr>
                    <w:t>3</w:t>
                  </w:r>
                  <w:r>
                    <w:rPr>
                      <w:rFonts w:hint="eastAsia"/>
                      <w:color w:val="auto"/>
                      <w:lang w:val="en-US" w:eastAsia="zh-CN"/>
                    </w:rPr>
                    <w:t>/人·a</w:t>
                  </w:r>
                </w:p>
              </w:tc>
              <w:tc>
                <w:tcPr>
                  <w:tcW w:w="1054" w:type="pct"/>
                  <w:noWrap w:val="0"/>
                  <w:vAlign w:val="center"/>
                </w:tcPr>
                <w:p w14:paraId="06178E8C">
                  <w:pPr>
                    <w:adjustRightInd w:val="0"/>
                    <w:snapToGrid w:val="0"/>
                    <w:jc w:val="center"/>
                    <w:rPr>
                      <w:rFonts w:hint="eastAsia" w:eastAsia="宋体"/>
                      <w:snapToGrid w:val="0"/>
                      <w:color w:val="auto"/>
                      <w:kern w:val="2"/>
                      <w:sz w:val="21"/>
                      <w:szCs w:val="21"/>
                      <w:lang w:val="en-US" w:eastAsia="zh-CN" w:bidi="ar-SA"/>
                    </w:rPr>
                  </w:pPr>
                  <w:r>
                    <w:rPr>
                      <w:rFonts w:hint="eastAsia" w:eastAsia="宋体"/>
                      <w:snapToGrid w:val="0"/>
                      <w:color w:val="auto"/>
                      <w:sz w:val="21"/>
                      <w:szCs w:val="21"/>
                      <w:lang w:val="en-US" w:eastAsia="zh-CN"/>
                    </w:rPr>
                    <w:t>150</w:t>
                  </w:r>
                </w:p>
              </w:tc>
              <w:tc>
                <w:tcPr>
                  <w:tcW w:w="928" w:type="pct"/>
                  <w:noWrap w:val="0"/>
                  <w:vAlign w:val="center"/>
                </w:tcPr>
                <w:p w14:paraId="1C896B16">
                  <w:pPr>
                    <w:adjustRightInd w:val="0"/>
                    <w:snapToGrid w:val="0"/>
                    <w:jc w:val="center"/>
                    <w:rPr>
                      <w:rFonts w:hint="default" w:eastAsia="宋体"/>
                      <w:snapToGrid w:val="0"/>
                      <w:color w:val="auto"/>
                      <w:sz w:val="21"/>
                      <w:szCs w:val="21"/>
                      <w:lang w:val="en-US" w:eastAsia="zh-CN"/>
                    </w:rPr>
                  </w:pPr>
                  <w:r>
                    <w:rPr>
                      <w:rFonts w:hint="eastAsia" w:eastAsia="宋体"/>
                      <w:snapToGrid w:val="0"/>
                      <w:color w:val="auto"/>
                      <w:sz w:val="21"/>
                      <w:szCs w:val="21"/>
                      <w:lang w:val="en-US" w:eastAsia="zh-CN"/>
                    </w:rPr>
                    <w:t>30</w:t>
                  </w:r>
                </w:p>
              </w:tc>
              <w:tc>
                <w:tcPr>
                  <w:tcW w:w="949" w:type="pct"/>
                  <w:noWrap w:val="0"/>
                  <w:vAlign w:val="center"/>
                </w:tcPr>
                <w:p w14:paraId="413B23F4">
                  <w:pPr>
                    <w:adjustRightInd w:val="0"/>
                    <w:snapToGrid w:val="0"/>
                    <w:jc w:val="center"/>
                    <w:rPr>
                      <w:rFonts w:hint="default" w:eastAsia="宋体"/>
                      <w:snapToGrid w:val="0"/>
                      <w:color w:val="auto"/>
                      <w:sz w:val="21"/>
                      <w:szCs w:val="21"/>
                      <w:lang w:val="en-US" w:eastAsia="zh-CN"/>
                    </w:rPr>
                  </w:pPr>
                  <w:r>
                    <w:rPr>
                      <w:rFonts w:hint="eastAsia"/>
                      <w:snapToGrid w:val="0"/>
                      <w:color w:val="auto"/>
                      <w:sz w:val="21"/>
                      <w:szCs w:val="21"/>
                      <w:lang w:val="en-US" w:eastAsia="zh-CN"/>
                    </w:rPr>
                    <w:t>120</w:t>
                  </w:r>
                </w:p>
              </w:tc>
            </w:tr>
            <w:tr w14:paraId="177CB0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8" w:type="pct"/>
                  <w:noWrap w:val="0"/>
                  <w:vAlign w:val="center"/>
                </w:tcPr>
                <w:p w14:paraId="22B84E54">
                  <w:pPr>
                    <w:adjustRightInd w:val="0"/>
                    <w:snapToGrid w:val="0"/>
                    <w:jc w:val="center"/>
                    <w:rPr>
                      <w:rFonts w:hint="default" w:eastAsia="宋体"/>
                      <w:snapToGrid w:val="0"/>
                      <w:color w:val="auto"/>
                      <w:sz w:val="21"/>
                      <w:szCs w:val="21"/>
                      <w:lang w:val="en-US" w:eastAsia="zh-CN"/>
                    </w:rPr>
                  </w:pPr>
                  <w:r>
                    <w:rPr>
                      <w:rFonts w:hint="eastAsia"/>
                      <w:snapToGrid w:val="0"/>
                      <w:color w:val="auto"/>
                      <w:sz w:val="21"/>
                      <w:szCs w:val="21"/>
                      <w:lang w:val="en-US" w:eastAsia="zh-CN"/>
                    </w:rPr>
                    <w:t>软水制备用水</w:t>
                  </w:r>
                </w:p>
              </w:tc>
              <w:tc>
                <w:tcPr>
                  <w:tcW w:w="1098" w:type="pct"/>
                  <w:noWrap w:val="0"/>
                  <w:vAlign w:val="center"/>
                </w:tcPr>
                <w:p w14:paraId="241B6B78">
                  <w:pPr>
                    <w:adjustRightInd w:val="0"/>
                    <w:snapToGrid w:val="0"/>
                    <w:jc w:val="center"/>
                    <w:rPr>
                      <w:rFonts w:hint="default"/>
                      <w:color w:val="auto"/>
                      <w:lang w:val="en-US" w:eastAsia="zh-CN"/>
                    </w:rPr>
                  </w:pPr>
                  <w:r>
                    <w:rPr>
                      <w:rFonts w:hint="eastAsia"/>
                      <w:color w:val="auto"/>
                      <w:lang w:val="en-US" w:eastAsia="zh-CN"/>
                    </w:rPr>
                    <w:t>纯水制备效率85%</w:t>
                  </w:r>
                </w:p>
              </w:tc>
              <w:tc>
                <w:tcPr>
                  <w:tcW w:w="1054" w:type="pct"/>
                  <w:noWrap w:val="0"/>
                  <w:vAlign w:val="center"/>
                </w:tcPr>
                <w:p w14:paraId="79ADE1C7">
                  <w:pPr>
                    <w:adjustRightInd w:val="0"/>
                    <w:snapToGrid w:val="0"/>
                    <w:jc w:val="center"/>
                    <w:rPr>
                      <w:rFonts w:hint="default" w:eastAsia="宋体"/>
                      <w:snapToGrid w:val="0"/>
                      <w:color w:val="auto"/>
                      <w:sz w:val="21"/>
                      <w:szCs w:val="21"/>
                      <w:lang w:val="en-US" w:eastAsia="zh-CN"/>
                    </w:rPr>
                  </w:pPr>
                  <w:r>
                    <w:rPr>
                      <w:rFonts w:hint="eastAsia"/>
                      <w:snapToGrid w:val="0"/>
                      <w:color w:val="auto"/>
                      <w:sz w:val="21"/>
                      <w:szCs w:val="21"/>
                      <w:lang w:val="en-US" w:eastAsia="zh-CN"/>
                    </w:rPr>
                    <w:t>212</w:t>
                  </w:r>
                </w:p>
              </w:tc>
              <w:tc>
                <w:tcPr>
                  <w:tcW w:w="928" w:type="pct"/>
                  <w:noWrap w:val="0"/>
                  <w:vAlign w:val="center"/>
                </w:tcPr>
                <w:p w14:paraId="6DE39B32">
                  <w:pPr>
                    <w:adjustRightInd w:val="0"/>
                    <w:snapToGrid w:val="0"/>
                    <w:jc w:val="center"/>
                    <w:rPr>
                      <w:rFonts w:hint="default" w:eastAsia="宋体"/>
                      <w:snapToGrid w:val="0"/>
                      <w:color w:val="auto"/>
                      <w:sz w:val="21"/>
                      <w:szCs w:val="21"/>
                      <w:lang w:val="en-US" w:eastAsia="zh-CN"/>
                    </w:rPr>
                  </w:pPr>
                  <w:r>
                    <w:rPr>
                      <w:rFonts w:hint="eastAsia" w:eastAsia="宋体"/>
                      <w:snapToGrid w:val="0"/>
                      <w:color w:val="auto"/>
                      <w:sz w:val="21"/>
                      <w:szCs w:val="21"/>
                      <w:lang w:val="en-US" w:eastAsia="zh-CN"/>
                    </w:rPr>
                    <w:t>/</w:t>
                  </w:r>
                </w:p>
              </w:tc>
              <w:tc>
                <w:tcPr>
                  <w:tcW w:w="949" w:type="pct"/>
                  <w:noWrap w:val="0"/>
                  <w:vAlign w:val="center"/>
                </w:tcPr>
                <w:p w14:paraId="21B1506E">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212</w:t>
                  </w:r>
                </w:p>
              </w:tc>
            </w:tr>
            <w:tr w14:paraId="4769B5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8" w:type="pct"/>
                  <w:noWrap w:val="0"/>
                  <w:vAlign w:val="center"/>
                </w:tcPr>
                <w:p w14:paraId="29F3F601">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反冲洗用水</w:t>
                  </w:r>
                </w:p>
              </w:tc>
              <w:tc>
                <w:tcPr>
                  <w:tcW w:w="1098" w:type="pct"/>
                  <w:noWrap w:val="0"/>
                  <w:vAlign w:val="center"/>
                </w:tcPr>
                <w:p w14:paraId="0B966473">
                  <w:pPr>
                    <w:adjustRightInd w:val="0"/>
                    <w:snapToGrid w:val="0"/>
                    <w:jc w:val="center"/>
                    <w:rPr>
                      <w:rFonts w:hint="default"/>
                      <w:color w:val="auto"/>
                      <w:lang w:val="en-US" w:eastAsia="zh-CN"/>
                    </w:rPr>
                  </w:pPr>
                  <w:r>
                    <w:rPr>
                      <w:rFonts w:hint="eastAsia"/>
                      <w:color w:val="auto"/>
                      <w:lang w:val="en-US" w:eastAsia="zh-CN"/>
                    </w:rPr>
                    <w:t>1m</w:t>
                  </w:r>
                  <w:r>
                    <w:rPr>
                      <w:rFonts w:hint="eastAsia"/>
                      <w:color w:val="auto"/>
                      <w:vertAlign w:val="superscript"/>
                      <w:lang w:val="en-US" w:eastAsia="zh-CN"/>
                    </w:rPr>
                    <w:t>3</w:t>
                  </w:r>
                  <w:r>
                    <w:rPr>
                      <w:rFonts w:hint="eastAsia"/>
                      <w:color w:val="auto"/>
                      <w:lang w:val="en-US" w:eastAsia="zh-CN"/>
                    </w:rPr>
                    <w:t>/次</w:t>
                  </w:r>
                </w:p>
              </w:tc>
              <w:tc>
                <w:tcPr>
                  <w:tcW w:w="1054" w:type="pct"/>
                  <w:noWrap w:val="0"/>
                  <w:vAlign w:val="center"/>
                </w:tcPr>
                <w:p w14:paraId="3AF69544">
                  <w:pPr>
                    <w:adjustRightInd w:val="0"/>
                    <w:snapToGrid w:val="0"/>
                    <w:jc w:val="center"/>
                    <w:rPr>
                      <w:rFonts w:hint="default" w:eastAsia="宋体"/>
                      <w:snapToGrid w:val="0"/>
                      <w:color w:val="auto"/>
                      <w:sz w:val="21"/>
                      <w:szCs w:val="21"/>
                      <w:lang w:val="en-US" w:eastAsia="zh-CN"/>
                    </w:rPr>
                  </w:pPr>
                  <w:r>
                    <w:rPr>
                      <w:rFonts w:hint="eastAsia" w:eastAsia="宋体"/>
                      <w:snapToGrid w:val="0"/>
                      <w:color w:val="auto"/>
                      <w:sz w:val="21"/>
                      <w:szCs w:val="21"/>
                      <w:lang w:val="en-US" w:eastAsia="zh-CN"/>
                    </w:rPr>
                    <w:t>18</w:t>
                  </w:r>
                </w:p>
              </w:tc>
              <w:tc>
                <w:tcPr>
                  <w:tcW w:w="928" w:type="pct"/>
                  <w:noWrap w:val="0"/>
                  <w:vAlign w:val="center"/>
                </w:tcPr>
                <w:p w14:paraId="19443822">
                  <w:pPr>
                    <w:adjustRightInd w:val="0"/>
                    <w:snapToGrid w:val="0"/>
                    <w:jc w:val="center"/>
                    <w:rPr>
                      <w:rFonts w:hint="default" w:eastAsia="宋体"/>
                      <w:snapToGrid w:val="0"/>
                      <w:color w:val="auto"/>
                      <w:sz w:val="21"/>
                      <w:szCs w:val="21"/>
                      <w:lang w:val="en-US" w:eastAsia="zh-CN"/>
                    </w:rPr>
                  </w:pPr>
                  <w:r>
                    <w:rPr>
                      <w:rFonts w:hint="eastAsia" w:eastAsia="宋体"/>
                      <w:snapToGrid w:val="0"/>
                      <w:color w:val="auto"/>
                      <w:sz w:val="21"/>
                      <w:szCs w:val="21"/>
                      <w:lang w:val="en-US" w:eastAsia="zh-CN"/>
                    </w:rPr>
                    <w:t>0.9</w:t>
                  </w:r>
                </w:p>
              </w:tc>
              <w:tc>
                <w:tcPr>
                  <w:tcW w:w="949" w:type="pct"/>
                  <w:noWrap w:val="0"/>
                  <w:vAlign w:val="center"/>
                </w:tcPr>
                <w:p w14:paraId="4892C231">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17.1</w:t>
                  </w:r>
                </w:p>
              </w:tc>
            </w:tr>
            <w:tr w14:paraId="48936D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68" w:type="pct"/>
                  <w:noWrap w:val="0"/>
                  <w:vAlign w:val="center"/>
                </w:tcPr>
                <w:p w14:paraId="5511D703">
                  <w:pPr>
                    <w:adjustRightInd w:val="0"/>
                    <w:snapToGrid w:val="0"/>
                    <w:jc w:val="center"/>
                    <w:rPr>
                      <w:rFonts w:hint="eastAsia" w:eastAsia="宋体"/>
                      <w:snapToGrid w:val="0"/>
                      <w:color w:val="auto"/>
                      <w:sz w:val="21"/>
                      <w:szCs w:val="21"/>
                      <w:lang w:val="en-US" w:eastAsia="zh-CN"/>
                    </w:rPr>
                  </w:pPr>
                  <w:r>
                    <w:rPr>
                      <w:rFonts w:hint="eastAsia"/>
                      <w:snapToGrid w:val="0"/>
                      <w:color w:val="auto"/>
                      <w:sz w:val="21"/>
                      <w:szCs w:val="21"/>
                      <w:lang w:val="en-US" w:eastAsia="zh-CN"/>
                    </w:rPr>
                    <w:t>总计</w:t>
                  </w:r>
                </w:p>
              </w:tc>
              <w:tc>
                <w:tcPr>
                  <w:tcW w:w="1098" w:type="pct"/>
                  <w:noWrap w:val="0"/>
                  <w:vAlign w:val="center"/>
                </w:tcPr>
                <w:p w14:paraId="0BED922C">
                  <w:pPr>
                    <w:adjustRightInd w:val="0"/>
                    <w:snapToGrid w:val="0"/>
                    <w:jc w:val="center"/>
                    <w:rPr>
                      <w:rFonts w:hint="default"/>
                      <w:color w:val="auto"/>
                      <w:lang w:val="en-US" w:eastAsia="zh-CN"/>
                    </w:rPr>
                  </w:pPr>
                  <w:r>
                    <w:rPr>
                      <w:rFonts w:hint="eastAsia"/>
                      <w:color w:val="auto"/>
                      <w:lang w:val="en-US" w:eastAsia="zh-CN"/>
                    </w:rPr>
                    <w:t>/</w:t>
                  </w:r>
                </w:p>
              </w:tc>
              <w:tc>
                <w:tcPr>
                  <w:tcW w:w="1054" w:type="pct"/>
                  <w:noWrap w:val="0"/>
                  <w:vAlign w:val="center"/>
                </w:tcPr>
                <w:p w14:paraId="783A03ED">
                  <w:pPr>
                    <w:adjustRightInd w:val="0"/>
                    <w:snapToGrid w:val="0"/>
                    <w:jc w:val="center"/>
                    <w:rPr>
                      <w:rFonts w:hint="default" w:eastAsia="宋体"/>
                      <w:snapToGrid w:val="0"/>
                      <w:color w:val="auto"/>
                      <w:sz w:val="21"/>
                      <w:szCs w:val="21"/>
                      <w:lang w:val="en-US" w:eastAsia="zh-CN"/>
                    </w:rPr>
                  </w:pPr>
                  <w:r>
                    <w:rPr>
                      <w:rFonts w:hint="eastAsia"/>
                      <w:snapToGrid w:val="0"/>
                      <w:color w:val="auto"/>
                      <w:sz w:val="21"/>
                      <w:szCs w:val="21"/>
                      <w:lang w:val="en-US" w:eastAsia="zh-CN"/>
                    </w:rPr>
                    <w:t>380</w:t>
                  </w:r>
                </w:p>
              </w:tc>
              <w:tc>
                <w:tcPr>
                  <w:tcW w:w="928" w:type="pct"/>
                  <w:noWrap w:val="0"/>
                  <w:vAlign w:val="center"/>
                </w:tcPr>
                <w:p w14:paraId="3EF31617">
                  <w:pPr>
                    <w:adjustRightInd w:val="0"/>
                    <w:snapToGrid w:val="0"/>
                    <w:jc w:val="center"/>
                    <w:rPr>
                      <w:rFonts w:hint="default" w:eastAsia="宋体"/>
                      <w:snapToGrid w:val="0"/>
                      <w:color w:val="auto"/>
                      <w:sz w:val="21"/>
                      <w:szCs w:val="21"/>
                      <w:lang w:val="en-US" w:eastAsia="zh-CN"/>
                    </w:rPr>
                  </w:pPr>
                  <w:r>
                    <w:rPr>
                      <w:rFonts w:hint="eastAsia" w:eastAsia="宋体"/>
                      <w:snapToGrid w:val="0"/>
                      <w:color w:val="auto"/>
                      <w:sz w:val="21"/>
                      <w:szCs w:val="21"/>
                      <w:lang w:val="en-US" w:eastAsia="zh-CN"/>
                    </w:rPr>
                    <w:t>30.9</w:t>
                  </w:r>
                </w:p>
              </w:tc>
              <w:tc>
                <w:tcPr>
                  <w:tcW w:w="949" w:type="pct"/>
                  <w:noWrap w:val="0"/>
                  <w:vAlign w:val="center"/>
                </w:tcPr>
                <w:p w14:paraId="488E20F2">
                  <w:pPr>
                    <w:adjustRightInd w:val="0"/>
                    <w:snapToGrid w:val="0"/>
                    <w:jc w:val="center"/>
                    <w:rPr>
                      <w:rFonts w:hint="default"/>
                      <w:snapToGrid w:val="0"/>
                      <w:color w:val="auto"/>
                      <w:sz w:val="21"/>
                      <w:szCs w:val="21"/>
                      <w:lang w:val="en-US" w:eastAsia="zh-CN"/>
                    </w:rPr>
                  </w:pPr>
                  <w:r>
                    <w:rPr>
                      <w:rFonts w:hint="eastAsia"/>
                      <w:snapToGrid w:val="0"/>
                      <w:color w:val="auto"/>
                      <w:sz w:val="21"/>
                      <w:szCs w:val="21"/>
                      <w:lang w:val="en-US" w:eastAsia="zh-CN"/>
                    </w:rPr>
                    <w:t>349.1</w:t>
                  </w:r>
                </w:p>
              </w:tc>
            </w:tr>
          </w:tbl>
          <w:p w14:paraId="3489A96B">
            <w:pPr>
              <w:pStyle w:val="24"/>
              <w:spacing w:line="360" w:lineRule="auto"/>
              <w:ind w:firstLine="0" w:firstLineChars="0"/>
              <w:jc w:val="center"/>
              <w:rPr>
                <w:rFonts w:hint="eastAsia" w:eastAsia="宋体"/>
                <w:color w:val="auto"/>
                <w:lang w:eastAsia="zh-CN"/>
              </w:rPr>
            </w:pPr>
            <w:r>
              <w:rPr>
                <w:rFonts w:hint="eastAsia" w:eastAsia="宋体"/>
                <w:color w:val="auto"/>
                <w:lang w:eastAsia="zh-CN"/>
              </w:rPr>
              <w:object>
                <v:shape id="_x0000_i1027" o:spt="75" type="#_x0000_t75" style="height:174.2pt;width:348.85pt;" o:ole="t" filled="f" o:preferrelative="t" stroked="f" coordsize="21600,21600">
                  <v:path/>
                  <v:fill on="f" focussize="0,0"/>
                  <v:stroke on="f"/>
                  <v:imagedata r:id="rId13" croptop="7528f" cropright="1388f" cropbottom="11617f" o:title=""/>
                  <o:lock v:ext="edit" aspectratio="t"/>
                  <w10:wrap type="none"/>
                  <w10:anchorlock/>
                </v:shape>
                <o:OLEObject Type="Embed" ProgID="Visio.Drawing.11" ShapeID="_x0000_i1027" DrawAspect="Content" ObjectID="_1468075727" r:id="rId12">
                  <o:LockedField>false</o:LockedField>
                </o:OLEObject>
              </w:object>
            </w:r>
          </w:p>
          <w:p w14:paraId="6613310B">
            <w:pPr>
              <w:pStyle w:val="30"/>
              <w:keepNext w:val="0"/>
              <w:keepLines w:val="0"/>
              <w:pageBreakBefore w:val="0"/>
              <w:widowControl w:val="0"/>
              <w:kinsoku/>
              <w:wordWrap/>
              <w:overflowPunct/>
              <w:topLinePunct w:val="0"/>
              <w:autoSpaceDE/>
              <w:autoSpaceDN/>
              <w:bidi w:val="0"/>
              <w:adjustRightInd w:val="0"/>
              <w:snapToGrid w:val="0"/>
              <w:ind w:left="0" w:leftChars="0" w:right="0" w:rightChars="0" w:firstLine="0" w:firstLineChars="0"/>
              <w:jc w:val="center"/>
              <w:textAlignment w:val="auto"/>
              <w:rPr>
                <w:rFonts w:hint="eastAsia" w:eastAsia="宋体"/>
                <w:color w:val="auto"/>
                <w:lang w:eastAsia="zh-CN"/>
              </w:rPr>
            </w:pPr>
            <w:r>
              <w:rPr>
                <w:rFonts w:hint="eastAsia" w:hAnsi="Times New Roman" w:cs="Times New Roman"/>
                <w:b/>
                <w:bCs/>
                <w:color w:val="auto"/>
                <w:szCs w:val="24"/>
              </w:rPr>
              <w:t>图2-</w:t>
            </w:r>
            <w:r>
              <w:rPr>
                <w:rFonts w:hint="eastAsia" w:cs="Times New Roman"/>
                <w:b/>
                <w:bCs/>
                <w:color w:val="auto"/>
                <w:szCs w:val="24"/>
                <w:lang w:val="en-US" w:eastAsia="zh-CN"/>
              </w:rPr>
              <w:t>3</w:t>
            </w:r>
            <w:r>
              <w:rPr>
                <w:rFonts w:hAnsi="Times New Roman" w:cs="Times New Roman"/>
                <w:b/>
                <w:bCs/>
                <w:color w:val="auto"/>
                <w:szCs w:val="24"/>
              </w:rPr>
              <w:t xml:space="preserve"> </w:t>
            </w:r>
            <w:r>
              <w:rPr>
                <w:rFonts w:hint="eastAsia" w:hAnsi="Times New Roman" w:cs="Times New Roman"/>
                <w:b/>
                <w:bCs/>
                <w:color w:val="auto"/>
                <w:szCs w:val="24"/>
              </w:rPr>
              <w:t xml:space="preserve"> </w:t>
            </w:r>
            <w:r>
              <w:rPr>
                <w:rFonts w:hint="eastAsia" w:cs="Times New Roman"/>
                <w:b/>
                <w:bCs/>
                <w:color w:val="auto"/>
                <w:szCs w:val="24"/>
                <w:lang w:val="en-US" w:eastAsia="zh-CN"/>
              </w:rPr>
              <w:t>运营期</w:t>
            </w:r>
            <w:r>
              <w:rPr>
                <w:rFonts w:hint="eastAsia" w:hAnsi="Times New Roman" w:cs="Times New Roman"/>
                <w:b/>
                <w:bCs/>
                <w:color w:val="auto"/>
                <w:szCs w:val="24"/>
              </w:rPr>
              <w:t>项目水平衡图   单位：m</w:t>
            </w:r>
            <w:r>
              <w:rPr>
                <w:rFonts w:hint="eastAsia" w:hAnsi="Times New Roman" w:cs="Times New Roman"/>
                <w:b/>
                <w:bCs/>
                <w:color w:val="auto"/>
                <w:szCs w:val="24"/>
                <w:vertAlign w:val="superscript"/>
              </w:rPr>
              <w:t>3</w:t>
            </w:r>
            <w:r>
              <w:rPr>
                <w:rFonts w:hint="eastAsia" w:hAnsi="Times New Roman" w:cs="Times New Roman"/>
                <w:b/>
                <w:bCs/>
                <w:color w:val="auto"/>
                <w:szCs w:val="24"/>
              </w:rPr>
              <w:t>/</w:t>
            </w:r>
            <w:r>
              <w:rPr>
                <w:rFonts w:hint="eastAsia" w:hAnsi="Times New Roman" w:cs="Times New Roman"/>
                <w:b/>
                <w:bCs/>
                <w:color w:val="auto"/>
                <w:szCs w:val="24"/>
                <w:lang w:val="en-US" w:eastAsia="zh-CN"/>
              </w:rPr>
              <w:t>a</w:t>
            </w:r>
          </w:p>
          <w:p w14:paraId="6CBDDC66">
            <w:pPr>
              <w:pStyle w:val="22"/>
              <w:bidi w:val="0"/>
              <w:rPr>
                <w:rFonts w:hint="default"/>
                <w:color w:val="auto"/>
                <w:lang w:eastAsia="zh-CN"/>
              </w:rPr>
            </w:pPr>
            <w:r>
              <w:rPr>
                <w:rFonts w:hint="default"/>
                <w:color w:val="auto"/>
                <w:lang w:eastAsia="zh-CN"/>
              </w:rPr>
              <w:t>（</w:t>
            </w:r>
            <w:r>
              <w:rPr>
                <w:rFonts w:hint="default"/>
                <w:color w:val="auto"/>
                <w:lang w:val="en-US" w:eastAsia="zh-CN"/>
              </w:rPr>
              <w:t>2</w:t>
            </w:r>
            <w:r>
              <w:rPr>
                <w:rFonts w:hint="default"/>
                <w:color w:val="auto"/>
                <w:lang w:eastAsia="zh-CN"/>
              </w:rPr>
              <w:t>）供电</w:t>
            </w:r>
          </w:p>
          <w:p w14:paraId="5E9BB357">
            <w:pPr>
              <w:pStyle w:val="22"/>
              <w:bidi w:val="0"/>
              <w:rPr>
                <w:rFonts w:hint="default"/>
                <w:color w:val="auto"/>
                <w:lang w:eastAsia="zh-CN"/>
              </w:rPr>
            </w:pPr>
            <w:r>
              <w:rPr>
                <w:rFonts w:hint="default"/>
                <w:color w:val="auto"/>
              </w:rPr>
              <w:t>项目供电由</w:t>
            </w:r>
            <w:r>
              <w:rPr>
                <w:rFonts w:hint="default"/>
                <w:color w:val="auto"/>
                <w:lang w:eastAsia="zh-CN"/>
              </w:rPr>
              <w:t>市政</w:t>
            </w:r>
            <w:r>
              <w:rPr>
                <w:rFonts w:hint="eastAsia"/>
                <w:color w:val="auto"/>
                <w:lang w:val="en-US" w:eastAsia="zh-CN"/>
              </w:rPr>
              <w:t>电网</w:t>
            </w:r>
            <w:r>
              <w:rPr>
                <w:rFonts w:hint="default"/>
                <w:color w:val="auto"/>
              </w:rPr>
              <w:t>供给</w:t>
            </w:r>
            <w:r>
              <w:rPr>
                <w:rFonts w:hint="default"/>
                <w:color w:val="auto"/>
                <w:lang w:eastAsia="zh-CN"/>
              </w:rPr>
              <w:t>。</w:t>
            </w:r>
          </w:p>
          <w:p w14:paraId="0A44EDC4">
            <w:pPr>
              <w:pStyle w:val="22"/>
              <w:bidi w:val="0"/>
              <w:rPr>
                <w:rFonts w:hint="default"/>
                <w:color w:val="auto"/>
                <w:lang w:eastAsia="zh-CN"/>
              </w:rPr>
            </w:pPr>
            <w:r>
              <w:rPr>
                <w:rFonts w:hint="default"/>
                <w:color w:val="auto"/>
                <w:lang w:eastAsia="zh-CN"/>
              </w:rPr>
              <w:t>（</w:t>
            </w:r>
            <w:r>
              <w:rPr>
                <w:rFonts w:hint="default"/>
                <w:color w:val="auto"/>
                <w:lang w:val="en-US" w:eastAsia="zh-CN"/>
              </w:rPr>
              <w:t>3</w:t>
            </w:r>
            <w:r>
              <w:rPr>
                <w:rFonts w:hint="default"/>
                <w:color w:val="auto"/>
                <w:lang w:eastAsia="zh-CN"/>
              </w:rPr>
              <w:t>）供暖</w:t>
            </w:r>
          </w:p>
          <w:p w14:paraId="3DC5E5AA">
            <w:pPr>
              <w:pStyle w:val="22"/>
              <w:bidi w:val="0"/>
              <w:rPr>
                <w:rFonts w:hint="default" w:ascii="宋体" w:hAnsi="宋体" w:cs="宋体"/>
                <w:color w:val="auto"/>
                <w:kern w:val="0"/>
                <w:szCs w:val="21"/>
                <w:lang w:val="en-US" w:eastAsia="zh-CN"/>
              </w:rPr>
            </w:pPr>
            <w:r>
              <w:rPr>
                <w:rFonts w:hint="default"/>
                <w:color w:val="auto"/>
                <w:lang w:eastAsia="zh-CN"/>
              </w:rPr>
              <w:t>本项目用于</w:t>
            </w:r>
            <w:r>
              <w:rPr>
                <w:rFonts w:hint="eastAsia"/>
                <w:color w:val="auto"/>
                <w:lang w:val="en-US" w:eastAsia="zh-CN"/>
              </w:rPr>
              <w:t>紫境城</w:t>
            </w:r>
            <w:r>
              <w:rPr>
                <w:rFonts w:hint="default"/>
                <w:color w:val="auto"/>
                <w:lang w:eastAsia="zh-CN"/>
              </w:rPr>
              <w:t>小区冬季供暖。</w:t>
            </w:r>
          </w:p>
        </w:tc>
      </w:tr>
      <w:tr w14:paraId="74E399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0" w:type="dxa"/>
            <w:noWrap w:val="0"/>
            <w:vAlign w:val="center"/>
          </w:tcPr>
          <w:p w14:paraId="38CDD584">
            <w:pPr>
              <w:adjustRightInd w:val="0"/>
              <w:snapToGrid w:val="0"/>
              <w:jc w:val="center"/>
              <w:rPr>
                <w:rFonts w:ascii="宋体" w:hAnsi="宋体" w:cs="宋体"/>
                <w:color w:val="auto"/>
                <w:kern w:val="0"/>
                <w:sz w:val="24"/>
                <w:szCs w:val="24"/>
              </w:rPr>
            </w:pPr>
            <w:r>
              <w:rPr>
                <w:rFonts w:hint="eastAsia" w:ascii="宋体" w:hAnsi="宋体" w:cs="宋体"/>
                <w:color w:val="auto"/>
                <w:kern w:val="0"/>
                <w:sz w:val="24"/>
                <w:szCs w:val="24"/>
              </w:rPr>
              <w:t>总平面及现场布置</w:t>
            </w:r>
          </w:p>
        </w:tc>
        <w:tc>
          <w:tcPr>
            <w:tcW w:w="8380" w:type="dxa"/>
            <w:noWrap w:val="0"/>
            <w:vAlign w:val="center"/>
          </w:tcPr>
          <w:p w14:paraId="179AC082">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b/>
                <w:bCs/>
                <w:color w:val="auto"/>
                <w:lang w:eastAsia="zh-CN"/>
              </w:rPr>
            </w:pPr>
            <w:r>
              <w:rPr>
                <w:rFonts w:hint="eastAsia"/>
                <w:b/>
                <w:bCs/>
                <w:color w:val="auto"/>
                <w:lang w:eastAsia="zh-CN"/>
              </w:rPr>
              <w:t>1、施工布置</w:t>
            </w:r>
          </w:p>
          <w:p w14:paraId="74303783">
            <w:pPr>
              <w:pStyle w:val="22"/>
              <w:bidi w:val="0"/>
              <w:rPr>
                <w:rFonts w:hint="eastAsia"/>
                <w:color w:val="auto"/>
                <w:lang w:eastAsia="zh-CN"/>
              </w:rPr>
            </w:pPr>
            <w:r>
              <w:rPr>
                <w:rFonts w:hint="eastAsia"/>
                <w:color w:val="auto"/>
                <w:lang w:eastAsia="zh-CN"/>
              </w:rPr>
              <w:t>项目施工包括井场工程、站场工程及管线工程。</w:t>
            </w:r>
          </w:p>
          <w:p w14:paraId="26F84A7C">
            <w:pPr>
              <w:pStyle w:val="22"/>
              <w:bidi w:val="0"/>
              <w:rPr>
                <w:rFonts w:hint="eastAsia"/>
                <w:color w:val="auto"/>
                <w:lang w:eastAsia="zh-CN"/>
              </w:rPr>
            </w:pPr>
            <w:r>
              <w:rPr>
                <w:rFonts w:hint="eastAsia"/>
                <w:color w:val="auto"/>
                <w:lang w:eastAsia="zh-CN"/>
              </w:rPr>
              <w:t>井场工程临时占地面积约1</w:t>
            </w:r>
            <w:r>
              <w:rPr>
                <w:rFonts w:hint="eastAsia"/>
                <w:color w:val="auto"/>
                <w:lang w:val="en-US" w:eastAsia="zh-CN"/>
              </w:rPr>
              <w:t>900</w:t>
            </w:r>
            <w:r>
              <w:rPr>
                <w:rFonts w:hint="eastAsia"/>
                <w:color w:val="auto"/>
                <w:lang w:eastAsia="zh-CN"/>
              </w:rPr>
              <w:t>m</w:t>
            </w:r>
            <w:r>
              <w:rPr>
                <w:rFonts w:hint="eastAsia"/>
                <w:color w:val="auto"/>
                <w:vertAlign w:val="superscript"/>
                <w:lang w:eastAsia="zh-CN"/>
              </w:rPr>
              <w:t>2</w:t>
            </w:r>
            <w:r>
              <w:rPr>
                <w:rFonts w:hint="eastAsia"/>
                <w:color w:val="auto"/>
                <w:lang w:eastAsia="zh-CN"/>
              </w:rPr>
              <w:t>，井场中部设置钻井区，钻井区</w:t>
            </w:r>
            <w:r>
              <w:rPr>
                <w:rFonts w:hint="eastAsia"/>
                <w:color w:val="auto"/>
                <w:lang w:val="en-US" w:eastAsia="zh-CN"/>
              </w:rPr>
              <w:t>东北侧</w:t>
            </w:r>
            <w:r>
              <w:rPr>
                <w:rFonts w:hint="eastAsia"/>
                <w:color w:val="auto"/>
                <w:lang w:eastAsia="zh-CN"/>
              </w:rPr>
              <w:t>设置泥浆处置区，钻井区</w:t>
            </w:r>
            <w:r>
              <w:rPr>
                <w:rFonts w:hint="eastAsia"/>
                <w:color w:val="auto"/>
                <w:lang w:val="en-US" w:eastAsia="zh-CN"/>
              </w:rPr>
              <w:t>西北侧</w:t>
            </w:r>
            <w:r>
              <w:rPr>
                <w:rFonts w:hint="eastAsia"/>
                <w:color w:val="auto"/>
                <w:lang w:eastAsia="zh-CN"/>
              </w:rPr>
              <w:t>设置</w:t>
            </w:r>
            <w:r>
              <w:rPr>
                <w:rFonts w:hint="eastAsia"/>
                <w:color w:val="auto"/>
                <w:lang w:val="en-US" w:eastAsia="zh-CN"/>
              </w:rPr>
              <w:t>钻杆、套管摆放</w:t>
            </w:r>
            <w:r>
              <w:rPr>
                <w:rFonts w:hint="eastAsia"/>
                <w:color w:val="auto"/>
                <w:lang w:eastAsia="zh-CN"/>
              </w:rPr>
              <w:t>区，井场</w:t>
            </w:r>
            <w:r>
              <w:rPr>
                <w:rFonts w:hint="eastAsia"/>
                <w:color w:val="auto"/>
                <w:lang w:val="en-US" w:eastAsia="zh-CN"/>
              </w:rPr>
              <w:t>南侧设置材料房，井场东北侧</w:t>
            </w:r>
            <w:r>
              <w:rPr>
                <w:rFonts w:hint="eastAsia"/>
                <w:color w:val="auto"/>
                <w:lang w:eastAsia="zh-CN"/>
              </w:rPr>
              <w:t>设置</w:t>
            </w:r>
            <w:r>
              <w:rPr>
                <w:rFonts w:hint="eastAsia"/>
                <w:color w:val="auto"/>
                <w:lang w:val="en-US" w:eastAsia="zh-CN"/>
              </w:rPr>
              <w:t>岩屑临时堆放区</w:t>
            </w:r>
            <w:r>
              <w:rPr>
                <w:rFonts w:hint="eastAsia"/>
                <w:color w:val="auto"/>
                <w:lang w:eastAsia="zh-CN"/>
              </w:rPr>
              <w:t>。</w:t>
            </w:r>
          </w:p>
          <w:p w14:paraId="3864CADE">
            <w:pPr>
              <w:pStyle w:val="22"/>
              <w:bidi w:val="0"/>
              <w:rPr>
                <w:rFonts w:hint="eastAsia"/>
                <w:color w:val="auto"/>
                <w:lang w:eastAsia="zh-CN"/>
              </w:rPr>
            </w:pPr>
            <w:r>
              <w:rPr>
                <w:rFonts w:hint="eastAsia"/>
                <w:color w:val="auto"/>
                <w:lang w:val="en-US" w:eastAsia="zh-CN"/>
              </w:rPr>
              <w:t>供热机房</w:t>
            </w:r>
            <w:r>
              <w:rPr>
                <w:rFonts w:hint="eastAsia"/>
                <w:color w:val="auto"/>
                <w:lang w:eastAsia="zh-CN"/>
              </w:rPr>
              <w:t>位于陕西省西咸新区沣东新城三桥街道北沙口村紫境城小区，面积</w:t>
            </w:r>
            <w:r>
              <w:rPr>
                <w:rFonts w:hint="eastAsia"/>
                <w:color w:val="auto"/>
                <w:lang w:val="en-US" w:eastAsia="zh-CN"/>
              </w:rPr>
              <w:t>587.25</w:t>
            </w:r>
            <w:r>
              <w:rPr>
                <w:rFonts w:hint="eastAsia"/>
                <w:color w:val="auto"/>
                <w:lang w:eastAsia="zh-CN"/>
              </w:rPr>
              <w:t>m</w:t>
            </w:r>
            <w:r>
              <w:rPr>
                <w:rFonts w:hint="eastAsia"/>
                <w:color w:val="auto"/>
                <w:vertAlign w:val="superscript"/>
                <w:lang w:eastAsia="zh-CN"/>
              </w:rPr>
              <w:t>2</w:t>
            </w:r>
            <w:r>
              <w:rPr>
                <w:rFonts w:hint="eastAsia"/>
                <w:color w:val="auto"/>
                <w:lang w:eastAsia="zh-CN"/>
              </w:rPr>
              <w:t>。内设</w:t>
            </w:r>
            <w:r>
              <w:rPr>
                <w:rFonts w:hint="eastAsia"/>
                <w:color w:val="auto"/>
                <w:lang w:val="en-US" w:eastAsia="zh-CN"/>
              </w:rPr>
              <w:t>耐热潜水泵、</w:t>
            </w:r>
            <w:r>
              <w:rPr>
                <w:rFonts w:hint="eastAsia"/>
                <w:color w:val="auto"/>
                <w:lang w:eastAsia="zh-CN"/>
              </w:rPr>
              <w:t>板式换热器、</w:t>
            </w:r>
            <w:r>
              <w:rPr>
                <w:rFonts w:hint="eastAsia"/>
                <w:color w:val="auto"/>
                <w:lang w:val="en-US" w:eastAsia="zh-CN"/>
              </w:rPr>
              <w:t>供热</w:t>
            </w:r>
            <w:r>
              <w:rPr>
                <w:rFonts w:hint="eastAsia"/>
                <w:color w:val="auto"/>
                <w:lang w:eastAsia="zh-CN"/>
              </w:rPr>
              <w:t>循环泵、</w:t>
            </w:r>
            <w:r>
              <w:rPr>
                <w:rFonts w:hint="eastAsia"/>
                <w:color w:val="auto"/>
                <w:lang w:val="en-US" w:eastAsia="zh-CN"/>
              </w:rPr>
              <w:t>排气罐</w:t>
            </w:r>
            <w:r>
              <w:rPr>
                <w:rFonts w:hint="eastAsia"/>
                <w:color w:val="auto"/>
                <w:lang w:eastAsia="zh-CN"/>
              </w:rPr>
              <w:t>、过滤器、回灌</w:t>
            </w:r>
            <w:r>
              <w:rPr>
                <w:rFonts w:hint="eastAsia"/>
                <w:color w:val="auto"/>
                <w:lang w:val="en-US" w:eastAsia="zh-CN"/>
              </w:rPr>
              <w:t>加压</w:t>
            </w:r>
            <w:r>
              <w:rPr>
                <w:rFonts w:hint="eastAsia"/>
                <w:color w:val="auto"/>
                <w:lang w:eastAsia="zh-CN"/>
              </w:rPr>
              <w:t>泵等。</w:t>
            </w:r>
          </w:p>
          <w:p w14:paraId="78B5DC40">
            <w:pPr>
              <w:pStyle w:val="22"/>
              <w:bidi w:val="0"/>
              <w:rPr>
                <w:rFonts w:hint="eastAsia"/>
                <w:color w:val="auto"/>
                <w:lang w:eastAsia="zh-CN"/>
              </w:rPr>
            </w:pPr>
            <w:r>
              <w:rPr>
                <w:rFonts w:hint="eastAsia"/>
                <w:color w:val="auto"/>
                <w:lang w:eastAsia="zh-CN"/>
              </w:rPr>
              <w:t>项目计划敷设DN</w:t>
            </w:r>
            <w:r>
              <w:rPr>
                <w:rFonts w:hint="eastAsia"/>
                <w:color w:val="auto"/>
                <w:lang w:val="en-US" w:eastAsia="zh-CN"/>
              </w:rPr>
              <w:t>125</w:t>
            </w:r>
            <w:r>
              <w:rPr>
                <w:rFonts w:hint="eastAsia"/>
                <w:color w:val="auto"/>
                <w:lang w:eastAsia="zh-CN"/>
              </w:rPr>
              <w:t>管线</w:t>
            </w:r>
            <w:r>
              <w:rPr>
                <w:rFonts w:hint="eastAsia"/>
                <w:color w:val="auto"/>
                <w:lang w:val="en-US" w:eastAsia="zh-CN"/>
              </w:rPr>
              <w:t>295</w:t>
            </w:r>
            <w:r>
              <w:rPr>
                <w:rFonts w:hint="eastAsia"/>
                <w:color w:val="auto"/>
                <w:lang w:eastAsia="zh-CN"/>
              </w:rPr>
              <w:t>m，主要采用</w:t>
            </w:r>
            <w:r>
              <w:rPr>
                <w:rFonts w:hint="eastAsia"/>
                <w:color w:val="auto"/>
                <w:lang w:val="en-US" w:eastAsia="zh-CN"/>
              </w:rPr>
              <w:t>地下室架空敷设和顶管施工方式</w:t>
            </w:r>
            <w:r>
              <w:rPr>
                <w:rFonts w:hint="eastAsia"/>
                <w:color w:val="auto"/>
                <w:lang w:eastAsia="zh-CN"/>
              </w:rPr>
              <w:t>。管线沿供热机房向东北敷设至回灌井（地下室架空敷设70m，顶管施工225m）。</w:t>
            </w:r>
          </w:p>
          <w:p w14:paraId="62899A82">
            <w:pPr>
              <w:pStyle w:val="22"/>
              <w:bidi w:val="0"/>
              <w:rPr>
                <w:rFonts w:hint="eastAsia"/>
                <w:b/>
                <w:bCs/>
                <w:color w:val="auto"/>
                <w:lang w:eastAsia="zh-CN"/>
              </w:rPr>
            </w:pPr>
            <w:r>
              <w:rPr>
                <w:rFonts w:hint="eastAsia"/>
                <w:b/>
                <w:bCs/>
                <w:color w:val="auto"/>
                <w:lang w:eastAsia="zh-CN"/>
              </w:rPr>
              <w:t>2、工程布局情况</w:t>
            </w:r>
          </w:p>
          <w:p w14:paraId="1EF0AC35">
            <w:pPr>
              <w:pStyle w:val="22"/>
              <w:bidi w:val="0"/>
              <w:rPr>
                <w:rFonts w:hint="eastAsia" w:ascii="宋体" w:hAnsi="宋体" w:eastAsia="宋体" w:cs="宋体"/>
                <w:color w:val="auto"/>
                <w:kern w:val="0"/>
                <w:szCs w:val="21"/>
                <w:lang w:eastAsia="zh-CN"/>
              </w:rPr>
            </w:pPr>
            <w:r>
              <w:rPr>
                <w:rFonts w:hint="eastAsia"/>
                <w:color w:val="auto"/>
                <w:lang w:eastAsia="zh-CN"/>
              </w:rPr>
              <w:t>本项目</w:t>
            </w:r>
            <w:r>
              <w:rPr>
                <w:rFonts w:hint="eastAsia"/>
                <w:color w:val="auto"/>
                <w:lang w:val="en-US" w:eastAsia="zh-CN"/>
              </w:rPr>
              <w:t>供热机房</w:t>
            </w:r>
            <w:r>
              <w:rPr>
                <w:rFonts w:hint="eastAsia"/>
                <w:color w:val="auto"/>
                <w:lang w:eastAsia="zh-CN"/>
              </w:rPr>
              <w:t>位于陕西省西咸新区沣东新城三桥街道北沙口村紫境城小区内，场地中心坐标为</w:t>
            </w:r>
            <w:r>
              <w:rPr>
                <w:rFonts w:hint="default" w:ascii="Times New Roman" w:hAnsi="Times New Roman" w:cs="Times New Roman"/>
                <w:color w:val="auto"/>
                <w:lang w:eastAsia="zh-CN"/>
              </w:rPr>
              <w:t>E108°</w:t>
            </w:r>
            <w:r>
              <w:rPr>
                <w:rFonts w:hint="eastAsia" w:ascii="Times New Roman" w:hAnsi="Times New Roman" w:cs="Times New Roman"/>
                <w:color w:val="auto"/>
                <w:lang w:val="en-US" w:eastAsia="zh-CN"/>
              </w:rPr>
              <w:t>49</w:t>
            </w:r>
            <w:r>
              <w:rPr>
                <w:rFonts w:hint="default" w:ascii="Times New Roman" w:hAnsi="Times New Roman" w:cs="Times New Roman"/>
                <w:color w:val="auto"/>
                <w:lang w:eastAsia="zh-CN"/>
              </w:rPr>
              <w:t>′</w:t>
            </w:r>
            <w:r>
              <w:rPr>
                <w:rFonts w:hint="eastAsia" w:ascii="Times New Roman" w:hAnsi="Times New Roman" w:cs="Times New Roman"/>
                <w:color w:val="auto"/>
                <w:lang w:val="en-US" w:eastAsia="zh-CN"/>
              </w:rPr>
              <w:t>18.892</w:t>
            </w:r>
            <w:r>
              <w:rPr>
                <w:rFonts w:hint="default" w:ascii="Times New Roman" w:hAnsi="Times New Roman" w:cs="Times New Roman"/>
                <w:color w:val="auto"/>
                <w:lang w:eastAsia="zh-CN"/>
              </w:rPr>
              <w:t>″，N34°1</w:t>
            </w:r>
            <w:r>
              <w:rPr>
                <w:rFonts w:hint="eastAsia" w:cs="Times New Roman"/>
                <w:color w:val="auto"/>
                <w:lang w:val="en-US" w:eastAsia="zh-CN"/>
              </w:rPr>
              <w:t>8</w:t>
            </w:r>
            <w:r>
              <w:rPr>
                <w:rFonts w:hint="default" w:ascii="Times New Roman" w:hAnsi="Times New Roman" w:cs="Times New Roman"/>
                <w:color w:val="auto"/>
                <w:lang w:eastAsia="zh-CN"/>
              </w:rPr>
              <w:t>′</w:t>
            </w:r>
            <w:r>
              <w:rPr>
                <w:rFonts w:hint="eastAsia" w:cs="Times New Roman"/>
                <w:color w:val="auto"/>
                <w:lang w:val="en-US" w:eastAsia="zh-CN"/>
              </w:rPr>
              <w:t>12.518</w:t>
            </w:r>
            <w:r>
              <w:rPr>
                <w:rFonts w:hint="default" w:ascii="Times New Roman" w:hAnsi="Times New Roman" w:cs="Times New Roman"/>
                <w:color w:val="auto"/>
                <w:lang w:eastAsia="zh-CN"/>
              </w:rPr>
              <w:t>″</w:t>
            </w:r>
            <w:r>
              <w:rPr>
                <w:rFonts w:hint="eastAsia"/>
                <w:color w:val="auto"/>
                <w:lang w:eastAsia="zh-CN"/>
              </w:rPr>
              <w:t>；管线主要</w:t>
            </w:r>
            <w:r>
              <w:rPr>
                <w:rFonts w:hint="eastAsia"/>
                <w:color w:val="auto"/>
                <w:lang w:val="en-US" w:eastAsia="zh-CN"/>
              </w:rPr>
              <w:t>为地下室架空敷设和顶管施工方式</w:t>
            </w:r>
            <w:r>
              <w:rPr>
                <w:rFonts w:hint="eastAsia"/>
                <w:color w:val="auto"/>
                <w:lang w:eastAsia="zh-CN"/>
              </w:rPr>
              <w:t>。</w:t>
            </w:r>
            <w:r>
              <w:rPr>
                <w:rFonts w:hint="eastAsia"/>
                <w:color w:val="auto"/>
                <w:lang w:val="en-US" w:eastAsia="zh-CN"/>
              </w:rPr>
              <w:t>管线沿供热机房向东北敷设至回灌井（地下室架空敷设70m，顶管施工225m）。</w:t>
            </w:r>
          </w:p>
        </w:tc>
      </w:tr>
      <w:tr w14:paraId="6D87E2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39" w:hRule="atLeast"/>
          <w:jc w:val="center"/>
        </w:trPr>
        <w:tc>
          <w:tcPr>
            <w:tcW w:w="710" w:type="dxa"/>
            <w:noWrap w:val="0"/>
            <w:vAlign w:val="center"/>
          </w:tcPr>
          <w:p w14:paraId="76B5B0F0">
            <w:pPr>
              <w:adjustRightInd w:val="0"/>
              <w:snapToGrid w:val="0"/>
              <w:jc w:val="center"/>
              <w:rPr>
                <w:rFonts w:ascii="宋体" w:hAnsi="宋体" w:cs="宋体"/>
                <w:color w:val="auto"/>
                <w:kern w:val="0"/>
                <w:sz w:val="24"/>
                <w:szCs w:val="24"/>
              </w:rPr>
            </w:pPr>
            <w:r>
              <w:rPr>
                <w:rFonts w:hint="eastAsia" w:ascii="宋体" w:hAnsi="宋体" w:cs="宋体"/>
                <w:color w:val="auto"/>
                <w:kern w:val="0"/>
                <w:sz w:val="24"/>
                <w:szCs w:val="24"/>
              </w:rPr>
              <w:t>施工方案</w:t>
            </w:r>
          </w:p>
        </w:tc>
        <w:tc>
          <w:tcPr>
            <w:tcW w:w="8380" w:type="dxa"/>
            <w:noWrap w:val="0"/>
            <w:vAlign w:val="center"/>
          </w:tcPr>
          <w:p w14:paraId="5C72D295">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color w:val="auto"/>
              </w:rPr>
            </w:pPr>
            <w:r>
              <w:rPr>
                <w:rFonts w:hint="eastAsia"/>
                <w:color w:val="auto"/>
              </w:rPr>
              <w:t>项目地热井已于20</w:t>
            </w:r>
            <w:r>
              <w:rPr>
                <w:rFonts w:hint="eastAsia"/>
                <w:color w:val="auto"/>
                <w:lang w:val="en-US" w:eastAsia="zh-CN"/>
              </w:rPr>
              <w:t>13</w:t>
            </w:r>
            <w:r>
              <w:rPr>
                <w:rFonts w:hint="eastAsia"/>
                <w:color w:val="auto"/>
              </w:rPr>
              <w:t>年建成，回灌井未建，因此施工期分析回灌井</w:t>
            </w:r>
            <w:r>
              <w:rPr>
                <w:rFonts w:hint="eastAsia"/>
                <w:color w:val="auto"/>
                <w:lang w:eastAsia="zh-CN"/>
              </w:rPr>
              <w:t>、</w:t>
            </w:r>
            <w:r>
              <w:rPr>
                <w:rFonts w:hint="eastAsia"/>
                <w:color w:val="auto"/>
                <w:lang w:val="en-US" w:eastAsia="zh-CN"/>
              </w:rPr>
              <w:t>回灌系统</w:t>
            </w:r>
            <w:r>
              <w:rPr>
                <w:rFonts w:hint="eastAsia"/>
                <w:color w:val="auto"/>
              </w:rPr>
              <w:t>以及</w:t>
            </w:r>
            <w:r>
              <w:rPr>
                <w:rFonts w:hint="eastAsia"/>
                <w:color w:val="auto"/>
                <w:lang w:eastAsia="zh-CN"/>
              </w:rPr>
              <w:t>供热机房</w:t>
            </w:r>
            <w:r>
              <w:rPr>
                <w:rFonts w:hint="eastAsia"/>
                <w:color w:val="auto"/>
              </w:rPr>
              <w:t>至回灌井的管线工程。</w:t>
            </w:r>
          </w:p>
          <w:p w14:paraId="70A0E9F3">
            <w:pPr>
              <w:pStyle w:val="22"/>
              <w:bidi w:val="0"/>
              <w:rPr>
                <w:rFonts w:hint="eastAsia"/>
                <w:b/>
                <w:bCs/>
                <w:color w:val="auto"/>
              </w:rPr>
            </w:pPr>
            <w:r>
              <w:rPr>
                <w:rFonts w:hint="eastAsia"/>
                <w:b/>
                <w:bCs/>
                <w:color w:val="auto"/>
              </w:rPr>
              <w:t>1、施工工艺</w:t>
            </w:r>
          </w:p>
          <w:p w14:paraId="4A62EB27">
            <w:pPr>
              <w:pStyle w:val="22"/>
              <w:bidi w:val="0"/>
              <w:rPr>
                <w:rFonts w:hint="eastAsia"/>
                <w:color w:val="auto"/>
              </w:rPr>
            </w:pPr>
            <w:r>
              <w:rPr>
                <w:rFonts w:hint="eastAsia"/>
                <w:color w:val="auto"/>
              </w:rPr>
              <w:t>施工期活动主要有钻井作业、站场建设、管线敷设等。</w:t>
            </w:r>
          </w:p>
          <w:p w14:paraId="7D8B5440">
            <w:pPr>
              <w:pStyle w:val="22"/>
              <w:bidi w:val="0"/>
              <w:rPr>
                <w:rFonts w:hint="eastAsia"/>
                <w:color w:val="auto"/>
              </w:rPr>
            </w:pPr>
            <w:r>
              <w:rPr>
                <w:rFonts w:hint="eastAsia"/>
                <w:color w:val="auto"/>
                <w:lang w:eastAsia="zh-CN"/>
              </w:rPr>
              <w:t>（</w:t>
            </w:r>
            <w:r>
              <w:rPr>
                <w:rFonts w:hint="eastAsia"/>
                <w:color w:val="auto"/>
              </w:rPr>
              <w:t>1）钻井作业</w:t>
            </w:r>
          </w:p>
          <w:p w14:paraId="71BE8D05">
            <w:pPr>
              <w:pStyle w:val="22"/>
              <w:bidi w:val="0"/>
              <w:rPr>
                <w:rFonts w:hint="eastAsia"/>
                <w:color w:val="auto"/>
              </w:rPr>
            </w:pPr>
            <w:r>
              <w:rPr>
                <w:rFonts w:hint="eastAsia"/>
                <w:color w:val="auto"/>
              </w:rPr>
              <w:t>钻井作业按其顺序分为如下过程：</w:t>
            </w:r>
          </w:p>
          <w:p w14:paraId="6DB91BED">
            <w:pPr>
              <w:pStyle w:val="22"/>
              <w:bidi w:val="0"/>
              <w:rPr>
                <w:rFonts w:hint="eastAsia"/>
                <w:color w:val="auto"/>
              </w:rPr>
            </w:pPr>
            <w:r>
              <w:rPr>
                <w:rFonts w:hint="eastAsia"/>
                <w:color w:val="auto"/>
              </w:rPr>
              <w:t>1）钻前准备</w:t>
            </w:r>
          </w:p>
          <w:p w14:paraId="15D8A0B0">
            <w:pPr>
              <w:pStyle w:val="22"/>
              <w:bidi w:val="0"/>
              <w:rPr>
                <w:rFonts w:hint="eastAsia"/>
                <w:color w:val="auto"/>
              </w:rPr>
            </w:pPr>
            <w:r>
              <w:rPr>
                <w:rFonts w:hint="eastAsia"/>
                <w:color w:val="auto"/>
              </w:rPr>
              <w:t>包括定井位、平井场、供水、供电、钻井设备安装等。</w:t>
            </w:r>
          </w:p>
          <w:p w14:paraId="6A64D67F">
            <w:pPr>
              <w:pStyle w:val="22"/>
              <w:bidi w:val="0"/>
              <w:rPr>
                <w:rFonts w:hint="eastAsia"/>
                <w:color w:val="auto"/>
              </w:rPr>
            </w:pPr>
            <w:r>
              <w:rPr>
                <w:rFonts w:hint="eastAsia"/>
                <w:color w:val="auto"/>
              </w:rPr>
              <w:t>2）钻井过程</w:t>
            </w:r>
          </w:p>
          <w:p w14:paraId="5EC76E3F">
            <w:pPr>
              <w:pStyle w:val="22"/>
              <w:bidi w:val="0"/>
              <w:rPr>
                <w:rFonts w:hint="eastAsia"/>
                <w:color w:val="auto"/>
              </w:rPr>
            </w:pPr>
            <w:r>
              <w:rPr>
                <w:rFonts w:hint="eastAsia"/>
                <w:color w:val="auto"/>
              </w:rPr>
              <w:t>①钻井：用足够的压力把钻头压到井底岩石上，使钻头牙齿</w:t>
            </w:r>
            <w:r>
              <w:rPr>
                <w:rFonts w:hint="eastAsia"/>
                <w:color w:val="auto"/>
                <w:lang w:eastAsia="zh-CN"/>
              </w:rPr>
              <w:t>伸入</w:t>
            </w:r>
            <w:r>
              <w:rPr>
                <w:rFonts w:hint="eastAsia"/>
                <w:color w:val="auto"/>
              </w:rPr>
              <w:t>岩石中并旋转以破碎井底岩石的过程。</w:t>
            </w:r>
          </w:p>
          <w:p w14:paraId="12942767">
            <w:pPr>
              <w:pStyle w:val="22"/>
              <w:bidi w:val="0"/>
              <w:rPr>
                <w:rFonts w:hint="eastAsia"/>
                <w:color w:val="auto"/>
              </w:rPr>
            </w:pPr>
            <w:r>
              <w:rPr>
                <w:rFonts w:hint="eastAsia"/>
                <w:color w:val="auto"/>
              </w:rPr>
              <w:t>②洗井：在钻杆转动的同时，泥浆泵不断地工作，流经钻杆内孔和钻头</w:t>
            </w:r>
            <w:r>
              <w:rPr>
                <w:rFonts w:hint="eastAsia"/>
                <w:color w:val="auto"/>
                <w:lang w:eastAsia="zh-CN"/>
              </w:rPr>
              <w:t>喷嘴</w:t>
            </w:r>
            <w:r>
              <w:rPr>
                <w:rFonts w:hint="eastAsia"/>
                <w:color w:val="auto"/>
              </w:rPr>
              <w:t>的钻井液冲击井底，随时将井底岩屑清洗、携带到地面。</w:t>
            </w:r>
          </w:p>
          <w:p w14:paraId="57CE4009">
            <w:pPr>
              <w:pStyle w:val="22"/>
              <w:bidi w:val="0"/>
              <w:rPr>
                <w:rFonts w:hint="eastAsia"/>
                <w:color w:val="auto"/>
              </w:rPr>
            </w:pPr>
            <w:r>
              <w:rPr>
                <w:rFonts w:hint="eastAsia"/>
                <w:color w:val="auto"/>
              </w:rPr>
              <w:t>③接单根：随着岩石的破碎、钻杆不断下落，直到钻杆完全落入转盘内，这时一个钻杆长度不再向深钻，必须接长钻杆。</w:t>
            </w:r>
          </w:p>
          <w:p w14:paraId="1F943D60">
            <w:pPr>
              <w:pStyle w:val="22"/>
              <w:bidi w:val="0"/>
              <w:rPr>
                <w:rFonts w:hint="eastAsia"/>
                <w:color w:val="auto"/>
              </w:rPr>
            </w:pPr>
            <w:r>
              <w:rPr>
                <w:rFonts w:hint="eastAsia"/>
                <w:color w:val="auto"/>
              </w:rPr>
              <w:t>④起下钻：如果钻头被磨损，应将井内钻杆全部起出，换新钻头再钻。</w:t>
            </w:r>
          </w:p>
          <w:p w14:paraId="06DF825F">
            <w:pPr>
              <w:pStyle w:val="22"/>
              <w:bidi w:val="0"/>
              <w:rPr>
                <w:rFonts w:hint="eastAsia"/>
                <w:color w:val="auto"/>
              </w:rPr>
            </w:pPr>
            <w:r>
              <w:rPr>
                <w:rFonts w:hint="eastAsia"/>
                <w:color w:val="auto"/>
                <w:lang w:val="en-US" w:eastAsia="zh-CN"/>
              </w:rPr>
              <w:t>钻井过程</w:t>
            </w:r>
            <w:r>
              <w:rPr>
                <w:rFonts w:hint="eastAsia"/>
                <w:color w:val="auto"/>
              </w:rPr>
              <w:t>会产生施工扬尘、施工机械废气，钻井液废水，设备噪声，岩屑。</w:t>
            </w:r>
          </w:p>
          <w:p w14:paraId="14CEFC57">
            <w:pPr>
              <w:pStyle w:val="22"/>
              <w:bidi w:val="0"/>
              <w:rPr>
                <w:rFonts w:hint="eastAsia"/>
                <w:color w:val="auto"/>
              </w:rPr>
            </w:pPr>
            <w:r>
              <w:rPr>
                <w:rFonts w:hint="eastAsia"/>
                <w:color w:val="auto"/>
              </w:rPr>
              <w:t>3）地质录井</w:t>
            </w:r>
          </w:p>
          <w:p w14:paraId="4027980A">
            <w:pPr>
              <w:pStyle w:val="22"/>
              <w:bidi w:val="0"/>
              <w:rPr>
                <w:rFonts w:hint="eastAsia"/>
                <w:color w:val="auto"/>
              </w:rPr>
            </w:pPr>
            <w:r>
              <w:rPr>
                <w:rFonts w:hint="eastAsia"/>
                <w:color w:val="auto"/>
              </w:rPr>
              <w:t>全井段</w:t>
            </w:r>
            <w:r>
              <w:rPr>
                <w:rFonts w:hint="eastAsia"/>
                <w:color w:val="auto"/>
                <w:lang w:val="en-US" w:eastAsia="zh-CN"/>
              </w:rPr>
              <w:t>进行</w:t>
            </w:r>
            <w:r>
              <w:rPr>
                <w:rFonts w:hint="eastAsia"/>
                <w:color w:val="auto"/>
              </w:rPr>
              <w:t>钻时录井，泥浆槽液面观测，岩屑录井，迟到时间测定，泥浆增减量测量，井底压力和关井井口稳定压力测定。</w:t>
            </w:r>
          </w:p>
          <w:p w14:paraId="524C08AA">
            <w:pPr>
              <w:pStyle w:val="22"/>
              <w:bidi w:val="0"/>
              <w:rPr>
                <w:rFonts w:hint="eastAsia"/>
                <w:color w:val="auto"/>
              </w:rPr>
            </w:pPr>
            <w:r>
              <w:rPr>
                <w:rFonts w:hint="eastAsia"/>
                <w:color w:val="auto"/>
              </w:rPr>
              <w:t>①全孔进行捞砂：0～450m每10m捞取岩屑一包，450～1900.0m（垂深）每5m捞取岩屑一包；1900.0～2750.0m（垂深）每2m捞取岩屑一包，并进行编录。在地层界面等复杂多变地层段根据实际情况适当加密取样。</w:t>
            </w:r>
          </w:p>
          <w:p w14:paraId="218975F9">
            <w:pPr>
              <w:pStyle w:val="22"/>
              <w:bidi w:val="0"/>
              <w:rPr>
                <w:rFonts w:hint="eastAsia"/>
                <w:color w:val="auto"/>
              </w:rPr>
            </w:pPr>
            <w:r>
              <w:rPr>
                <w:rFonts w:hint="eastAsia"/>
                <w:color w:val="auto"/>
              </w:rPr>
              <w:t>②泥浆槽液面观测</w:t>
            </w:r>
            <w:r>
              <w:rPr>
                <w:rFonts w:hint="eastAsia"/>
                <w:color w:val="auto"/>
                <w:lang w:eastAsia="zh-CN"/>
              </w:rPr>
              <w:t>：</w:t>
            </w:r>
            <w:r>
              <w:rPr>
                <w:rFonts w:hint="eastAsia"/>
                <w:color w:val="auto"/>
              </w:rPr>
              <w:t>系统观测井口、槽面钻井液返出情况、地面循环管液面变化情况，做好</w:t>
            </w:r>
            <w:r>
              <w:rPr>
                <w:rFonts w:hint="eastAsia"/>
                <w:color w:val="auto"/>
                <w:lang w:eastAsia="zh-CN"/>
              </w:rPr>
              <w:t>人工监测</w:t>
            </w:r>
            <w:r>
              <w:rPr>
                <w:rFonts w:hint="eastAsia"/>
                <w:color w:val="auto"/>
              </w:rPr>
              <w:t>溢流、井涌、井漏等异常报告。</w:t>
            </w:r>
          </w:p>
          <w:p w14:paraId="4BFEA6FC">
            <w:pPr>
              <w:pStyle w:val="22"/>
              <w:bidi w:val="0"/>
              <w:rPr>
                <w:rFonts w:hint="eastAsia"/>
                <w:color w:val="auto"/>
              </w:rPr>
            </w:pPr>
            <w:r>
              <w:rPr>
                <w:rFonts w:hint="eastAsia"/>
                <w:color w:val="auto"/>
              </w:rPr>
              <w:t>③钻井液录井</w:t>
            </w:r>
            <w:r>
              <w:rPr>
                <w:rFonts w:hint="eastAsia"/>
                <w:color w:val="auto"/>
                <w:lang w:eastAsia="zh-CN"/>
              </w:rPr>
              <w:t>：</w:t>
            </w:r>
            <w:r>
              <w:rPr>
                <w:rFonts w:hint="eastAsia"/>
                <w:color w:val="auto"/>
              </w:rPr>
              <w:t>自450m至井底，每50米观测一次钻井液温度，每小时测定一次钻井液密度、</w:t>
            </w:r>
            <w:r>
              <w:rPr>
                <w:rFonts w:hint="eastAsia"/>
                <w:color w:val="auto"/>
                <w:lang w:eastAsia="zh-CN"/>
              </w:rPr>
              <w:t>黏度</w:t>
            </w:r>
            <w:r>
              <w:rPr>
                <w:rFonts w:hint="eastAsia"/>
                <w:color w:val="auto"/>
              </w:rPr>
              <w:t>，每班至少测定一次钻井液失水、泥饼、</w:t>
            </w:r>
            <w:r>
              <w:rPr>
                <w:rFonts w:hint="eastAsia"/>
                <w:color w:val="auto"/>
                <w:lang w:eastAsia="zh-CN"/>
              </w:rPr>
              <w:t>pH值</w:t>
            </w:r>
            <w:r>
              <w:rPr>
                <w:rFonts w:hint="eastAsia"/>
                <w:color w:val="auto"/>
              </w:rPr>
              <w:t>、含砂率。</w:t>
            </w:r>
          </w:p>
          <w:p w14:paraId="33808336">
            <w:pPr>
              <w:pStyle w:val="22"/>
              <w:bidi w:val="0"/>
              <w:rPr>
                <w:rFonts w:hint="eastAsia"/>
                <w:color w:val="auto"/>
              </w:rPr>
            </w:pPr>
            <w:r>
              <w:rPr>
                <w:rFonts w:hint="eastAsia"/>
                <w:color w:val="auto"/>
              </w:rPr>
              <w:t>④</w:t>
            </w:r>
            <w:r>
              <w:rPr>
                <w:rFonts w:hint="eastAsia"/>
                <w:color w:val="auto"/>
                <w:lang w:val="en-US" w:eastAsia="zh-CN"/>
              </w:rPr>
              <w:t>钻时录井：</w:t>
            </w:r>
            <w:r>
              <w:rPr>
                <w:rFonts w:hint="eastAsia"/>
                <w:color w:val="auto"/>
              </w:rPr>
              <w:t>全井段进行钻时录井，随钻进</w:t>
            </w:r>
            <w:r>
              <w:rPr>
                <w:rFonts w:hint="eastAsia"/>
                <w:color w:val="auto"/>
                <w:lang w:eastAsia="zh-CN"/>
              </w:rPr>
              <w:t>同时计时</w:t>
            </w:r>
            <w:r>
              <w:rPr>
                <w:rFonts w:hint="eastAsia"/>
                <w:color w:val="auto"/>
              </w:rPr>
              <w:t>绘制钻时曲线，与岩屑录井进行对比。</w:t>
            </w:r>
          </w:p>
          <w:p w14:paraId="4259E30F">
            <w:pPr>
              <w:pStyle w:val="22"/>
              <w:bidi w:val="0"/>
              <w:rPr>
                <w:rFonts w:hint="eastAsia"/>
                <w:color w:val="auto"/>
              </w:rPr>
            </w:pPr>
            <w:r>
              <w:rPr>
                <w:rFonts w:hint="eastAsia"/>
                <w:color w:val="auto"/>
              </w:rPr>
              <w:t>4）地球物理测井</w:t>
            </w:r>
          </w:p>
          <w:p w14:paraId="58E05D1D">
            <w:pPr>
              <w:pStyle w:val="22"/>
              <w:bidi w:val="0"/>
              <w:rPr>
                <w:rFonts w:hint="eastAsia"/>
                <w:color w:val="auto"/>
                <w:lang w:eastAsia="zh-CN"/>
              </w:rPr>
            </w:pPr>
            <w:r>
              <w:rPr>
                <w:rFonts w:hint="eastAsia"/>
                <w:color w:val="auto"/>
              </w:rPr>
              <w:t>全井段标准</w:t>
            </w:r>
            <w:r>
              <w:rPr>
                <w:rFonts w:hint="eastAsia"/>
                <w:color w:val="auto"/>
                <w:lang w:val="en-US" w:eastAsia="zh-CN"/>
              </w:rPr>
              <w:t>规范</w:t>
            </w:r>
            <w:r>
              <w:rPr>
                <w:rFonts w:hint="eastAsia"/>
                <w:color w:val="auto"/>
              </w:rPr>
              <w:t>测井</w:t>
            </w:r>
            <w:r>
              <w:rPr>
                <w:rFonts w:hint="eastAsia"/>
                <w:color w:val="auto"/>
                <w:lang w:eastAsia="zh-CN"/>
              </w:rPr>
              <w:t>，测井方法与测井项目及原始资料必须严格按水文地球物理测井工作规范执行。一开测井内容：测固井质量（声波变密度测井）；二开测井内容：全井段组合测井，组合测井项目包括自然电位、自然伽马、声波时差、中深感应、八侧向、井径、井温、井斜等。</w:t>
            </w:r>
          </w:p>
          <w:p w14:paraId="57710B90">
            <w:pPr>
              <w:pStyle w:val="22"/>
              <w:bidi w:val="0"/>
              <w:rPr>
                <w:rFonts w:hint="eastAsia"/>
                <w:color w:val="auto"/>
              </w:rPr>
            </w:pPr>
            <w:r>
              <w:rPr>
                <w:rFonts w:hint="eastAsia"/>
                <w:color w:val="auto"/>
              </w:rPr>
              <w:t>5）完井与止水</w:t>
            </w:r>
          </w:p>
          <w:p w14:paraId="0350CC01">
            <w:pPr>
              <w:pStyle w:val="22"/>
              <w:bidi w:val="0"/>
              <w:rPr>
                <w:rFonts w:hint="default" w:eastAsia="宋体"/>
                <w:color w:val="auto"/>
                <w:lang w:val="en-US" w:eastAsia="zh-CN"/>
              </w:rPr>
            </w:pPr>
            <w:r>
              <w:rPr>
                <w:rFonts w:hint="eastAsia"/>
                <w:color w:val="auto"/>
              </w:rPr>
              <w:t>主要内容包括钻开热储层和套管、滤水管完井。回灌段顶部采用伞式橡胶止水器止水</w:t>
            </w:r>
            <w:r>
              <w:rPr>
                <w:rFonts w:hint="eastAsia"/>
                <w:color w:val="auto"/>
                <w:lang w:eastAsia="zh-CN"/>
              </w:rPr>
              <w:t>，</w:t>
            </w:r>
            <w:r>
              <w:rPr>
                <w:rFonts w:hint="eastAsia"/>
                <w:color w:val="auto"/>
              </w:rPr>
              <w:t>各地层界限，即三门组底部、张家坡组底部采用简易止水器分层止水</w:t>
            </w:r>
            <w:r>
              <w:rPr>
                <w:rFonts w:hint="eastAsia"/>
                <w:color w:val="auto"/>
                <w:lang w:eastAsia="zh-CN"/>
              </w:rPr>
              <w:t>，</w:t>
            </w:r>
            <w:r>
              <w:rPr>
                <w:rFonts w:hint="eastAsia"/>
                <w:color w:val="auto"/>
              </w:rPr>
              <w:t>做到各组止水不扰乱地层。</w:t>
            </w:r>
            <w:r>
              <w:rPr>
                <w:rFonts w:hint="eastAsia"/>
                <w:color w:val="auto"/>
                <w:lang w:val="en-US" w:eastAsia="zh-CN"/>
              </w:rPr>
              <w:t>此工序会产生设备噪声。</w:t>
            </w:r>
          </w:p>
          <w:p w14:paraId="3A7DA821">
            <w:pPr>
              <w:pStyle w:val="22"/>
              <w:bidi w:val="0"/>
              <w:rPr>
                <w:rFonts w:hint="eastAsia"/>
                <w:color w:val="auto"/>
              </w:rPr>
            </w:pPr>
            <w:r>
              <w:rPr>
                <w:rFonts w:hint="eastAsia"/>
                <w:color w:val="auto"/>
              </w:rPr>
              <w:t>6）洗井</w:t>
            </w:r>
          </w:p>
          <w:p w14:paraId="2EBC77EA">
            <w:pPr>
              <w:pStyle w:val="22"/>
              <w:bidi w:val="0"/>
              <w:rPr>
                <w:rFonts w:hint="eastAsia"/>
                <w:color w:val="auto"/>
              </w:rPr>
            </w:pPr>
            <w:r>
              <w:rPr>
                <w:rFonts w:hint="eastAsia"/>
                <w:color w:val="auto"/>
              </w:rPr>
              <w:t>首先将井内稠泥浆替换成稀泥浆，稀释泥浆时严禁直接用清水替换井内泥浆，分段稀释替换井内稠泥浆，每次替换泥浆，至少循环2周以上，井内泥浆稀释至井底</w:t>
            </w:r>
            <w:r>
              <w:rPr>
                <w:rFonts w:hint="eastAsia"/>
                <w:color w:val="auto"/>
                <w:lang w:eastAsia="zh-CN"/>
              </w:rPr>
              <w:t>。气举洗井，</w:t>
            </w:r>
            <w:r>
              <w:rPr>
                <w:rFonts w:hint="eastAsia"/>
                <w:color w:val="auto"/>
              </w:rPr>
              <w:t>然后放水自流或用潜水电泵间歇性抽（放）水洗井，达到水清砂净，流体中悬浮物含量小于二万分之一（质量比），并用间断抽水法检查，确定取得良好效果。</w:t>
            </w:r>
          </w:p>
          <w:p w14:paraId="54CCA430">
            <w:pPr>
              <w:pStyle w:val="22"/>
              <w:bidi w:val="0"/>
              <w:rPr>
                <w:rFonts w:hint="eastAsia"/>
                <w:color w:val="auto"/>
              </w:rPr>
            </w:pPr>
            <w:r>
              <w:rPr>
                <w:rFonts w:hint="eastAsia"/>
                <w:color w:val="auto"/>
              </w:rPr>
              <w:t>7）抽水试验</w:t>
            </w:r>
          </w:p>
          <w:p w14:paraId="0E89552F">
            <w:pPr>
              <w:pStyle w:val="22"/>
              <w:bidi w:val="0"/>
              <w:rPr>
                <w:rFonts w:hint="eastAsia"/>
                <w:color w:val="auto"/>
              </w:rPr>
            </w:pPr>
            <w:r>
              <w:rPr>
                <w:rFonts w:hint="eastAsia"/>
                <w:color w:val="auto"/>
              </w:rPr>
              <w:t>在井口地热水不能自溢的情况下进行抽水试验：</w:t>
            </w:r>
          </w:p>
          <w:p w14:paraId="1405D620">
            <w:pPr>
              <w:pStyle w:val="22"/>
              <w:bidi w:val="0"/>
              <w:rPr>
                <w:rFonts w:hint="eastAsia"/>
                <w:color w:val="auto"/>
              </w:rPr>
            </w:pPr>
            <w:r>
              <w:rPr>
                <w:rFonts w:hint="eastAsia"/>
                <w:color w:val="auto"/>
              </w:rPr>
              <w:t>①潜水泵下入深度不能小于静水位以深50m，以保证有足够的降深来保证水产量。</w:t>
            </w:r>
          </w:p>
          <w:p w14:paraId="3FD1996B">
            <w:pPr>
              <w:pStyle w:val="22"/>
              <w:bidi w:val="0"/>
              <w:rPr>
                <w:rFonts w:hint="eastAsia"/>
                <w:color w:val="auto"/>
              </w:rPr>
            </w:pPr>
            <w:r>
              <w:rPr>
                <w:rFonts w:hint="eastAsia"/>
                <w:color w:val="auto"/>
              </w:rPr>
              <w:t>②抽水试验开始前要准确测量静水位埋深，成井后水头高出地表的，则用压力表测量。</w:t>
            </w:r>
          </w:p>
          <w:p w14:paraId="15093C6D">
            <w:pPr>
              <w:pStyle w:val="22"/>
              <w:bidi w:val="0"/>
              <w:rPr>
                <w:rFonts w:hint="eastAsia"/>
                <w:color w:val="auto"/>
              </w:rPr>
            </w:pPr>
            <w:r>
              <w:rPr>
                <w:rFonts w:hint="eastAsia"/>
                <w:color w:val="auto"/>
              </w:rPr>
              <w:t>③抽水按稳定流规程进行，设计三次降深，最大降深依据抽水设备能力确定，另外两次降深宜为最大降深的2/3、1/3。</w:t>
            </w:r>
          </w:p>
          <w:p w14:paraId="445AB614">
            <w:pPr>
              <w:pStyle w:val="22"/>
              <w:bidi w:val="0"/>
              <w:rPr>
                <w:rFonts w:hint="eastAsia"/>
                <w:color w:val="auto"/>
              </w:rPr>
            </w:pPr>
            <w:r>
              <w:rPr>
                <w:rFonts w:hint="eastAsia"/>
                <w:color w:val="auto"/>
              </w:rPr>
              <w:t>④三次降深的稳定时间从大到小分别48h、16h、8h。在稳定延续时间内，涌水量和动水位在一定范围内波动，不能有持续上升或下降趋势，波动值不超过平均水位降深的1%，涌水量波动值不超过平均涌水量的3%。</w:t>
            </w:r>
          </w:p>
          <w:p w14:paraId="0B9976A5">
            <w:pPr>
              <w:pStyle w:val="22"/>
              <w:bidi w:val="0"/>
              <w:rPr>
                <w:rFonts w:hint="eastAsia"/>
                <w:color w:val="auto"/>
              </w:rPr>
            </w:pPr>
            <w:r>
              <w:rPr>
                <w:rFonts w:hint="eastAsia"/>
                <w:color w:val="auto"/>
              </w:rPr>
              <w:t>⑤水位、水温、水量同步观测，水位读数精确至厘米，水温读数精确到0.5℃。</w:t>
            </w:r>
          </w:p>
          <w:p w14:paraId="4E55DF83">
            <w:pPr>
              <w:pStyle w:val="22"/>
              <w:bidi w:val="0"/>
              <w:rPr>
                <w:rFonts w:hint="eastAsia"/>
                <w:color w:val="auto"/>
              </w:rPr>
            </w:pPr>
            <w:r>
              <w:rPr>
                <w:rFonts w:hint="eastAsia"/>
                <w:color w:val="auto"/>
              </w:rPr>
              <w:t>⑥观测时间要求：1、2、3、4、5、8、10、15、20、25、30、40、50、60min，以后每隔30min观测一次，稳定后每1h观测一次。</w:t>
            </w:r>
          </w:p>
          <w:p w14:paraId="45B0CBCE">
            <w:pPr>
              <w:pStyle w:val="22"/>
              <w:bidi w:val="0"/>
              <w:rPr>
                <w:rFonts w:hint="eastAsia"/>
                <w:color w:val="auto"/>
              </w:rPr>
            </w:pPr>
            <w:r>
              <w:rPr>
                <w:rFonts w:hint="eastAsia"/>
                <w:color w:val="auto"/>
              </w:rPr>
              <w:t>⑦恢复水位观测：抽水停泵后立即进行，观测时间要求：1、3、5、10、15、30、60，之后每1h观测一次。</w:t>
            </w:r>
          </w:p>
          <w:p w14:paraId="3FEF4717">
            <w:pPr>
              <w:pStyle w:val="22"/>
              <w:bidi w:val="0"/>
              <w:rPr>
                <w:rFonts w:hint="eastAsia"/>
                <w:color w:val="auto"/>
              </w:rPr>
            </w:pPr>
            <w:r>
              <w:rPr>
                <w:rFonts w:hint="eastAsia"/>
                <w:color w:val="auto"/>
              </w:rPr>
              <w:t>⑧绘制相应的Q-f（t）、H-f（t）、Q-f（S）和q-f（s）关系曲线和恢复水位与时间关系曲线图。</w:t>
            </w:r>
          </w:p>
          <w:p w14:paraId="03286487">
            <w:pPr>
              <w:pStyle w:val="22"/>
              <w:bidi w:val="0"/>
              <w:rPr>
                <w:rFonts w:hint="eastAsia"/>
                <w:color w:val="auto"/>
              </w:rPr>
            </w:pPr>
            <w:r>
              <w:rPr>
                <w:rFonts w:hint="eastAsia"/>
                <w:color w:val="auto"/>
                <w:lang w:val="en-US" w:eastAsia="zh-CN"/>
              </w:rPr>
              <w:t>8</w:t>
            </w:r>
            <w:r>
              <w:rPr>
                <w:rFonts w:hint="eastAsia"/>
                <w:color w:val="auto"/>
              </w:rPr>
              <w:t>）成井</w:t>
            </w:r>
          </w:p>
          <w:p w14:paraId="04D83235">
            <w:pPr>
              <w:pStyle w:val="22"/>
              <w:bidi w:val="0"/>
              <w:rPr>
                <w:rFonts w:hint="eastAsia"/>
                <w:color w:val="auto"/>
              </w:rPr>
            </w:pPr>
            <w:r>
              <w:rPr>
                <w:rFonts w:hint="eastAsia"/>
                <w:color w:val="auto"/>
                <w:lang w:val="en-US" w:eastAsia="zh-CN"/>
              </w:rPr>
              <w:t>地热井成井后，井口应有“三表一孔”装置，即压力表、流量表、温度表和测水位孔，能随时对地热井进行动态监测。</w:t>
            </w:r>
          </w:p>
          <w:p w14:paraId="34F580FE">
            <w:pPr>
              <w:pStyle w:val="22"/>
              <w:bidi w:val="0"/>
              <w:rPr>
                <w:rFonts w:hint="eastAsia" w:eastAsia="宋体"/>
                <w:color w:val="auto"/>
                <w:lang w:val="en-US" w:eastAsia="zh-CN"/>
              </w:rPr>
            </w:pPr>
            <w:r>
              <w:rPr>
                <w:rFonts w:hint="eastAsia"/>
                <w:color w:val="auto"/>
                <w:lang w:val="en-US" w:eastAsia="zh-CN"/>
              </w:rPr>
              <w:t>9）</w:t>
            </w:r>
            <w:r>
              <w:rPr>
                <w:rFonts w:hint="eastAsia"/>
                <w:color w:val="auto"/>
              </w:rPr>
              <w:t>泥浆循环、处置工艺</w:t>
            </w:r>
            <w:r>
              <w:rPr>
                <w:rFonts w:hint="eastAsia"/>
                <w:color w:val="auto"/>
                <w:lang w:val="en-US" w:eastAsia="zh-CN"/>
              </w:rPr>
              <w:t>分析</w:t>
            </w:r>
          </w:p>
          <w:p w14:paraId="74A6DE91">
            <w:pPr>
              <w:pStyle w:val="2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rPr>
            </w:pPr>
            <w:r>
              <w:rPr>
                <w:rFonts w:hint="eastAsia" w:eastAsia="宋体"/>
                <w:color w:val="auto"/>
                <w:lang w:eastAsia="zh-CN"/>
              </w:rPr>
              <w:drawing>
                <wp:inline distT="0" distB="0" distL="114300" distR="114300">
                  <wp:extent cx="5001895" cy="1332230"/>
                  <wp:effectExtent l="0" t="0" r="0" b="0"/>
                  <wp:docPr id="5" name="ECB019B1-382A-4266-B25C-5B523AA43C14-1" descr="C:/Users/Lenovo/AppData/Local/Temp/wps.sloqPA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CB019B1-382A-4266-B25C-5B523AA43C14-1" descr="C:/Users/Lenovo/AppData/Local/Temp/wps.sloqPAwps"/>
                          <pic:cNvPicPr>
                            <a:picLocks noChangeAspect="1"/>
                          </pic:cNvPicPr>
                        </pic:nvPicPr>
                        <pic:blipFill>
                          <a:blip r:embed="rId14"/>
                          <a:stretch>
                            <a:fillRect/>
                          </a:stretch>
                        </pic:blipFill>
                        <pic:spPr>
                          <a:xfrm>
                            <a:off x="0" y="0"/>
                            <a:ext cx="5001895" cy="1332230"/>
                          </a:xfrm>
                          <a:prstGeom prst="rect">
                            <a:avLst/>
                          </a:prstGeom>
                        </pic:spPr>
                      </pic:pic>
                    </a:graphicData>
                  </a:graphic>
                </wp:inline>
              </w:drawing>
            </w:r>
          </w:p>
          <w:p w14:paraId="69D63271">
            <w:pPr>
              <w:pStyle w:val="2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rPr>
            </w:pPr>
            <w:r>
              <w:rPr>
                <w:rFonts w:hint="eastAsia"/>
                <w:b/>
                <w:bCs/>
                <w:color w:val="auto"/>
              </w:rPr>
              <w:t>图2-</w:t>
            </w:r>
            <w:r>
              <w:rPr>
                <w:rFonts w:hint="eastAsia"/>
                <w:b/>
                <w:bCs/>
                <w:color w:val="auto"/>
                <w:lang w:val="en-US" w:eastAsia="zh-CN"/>
              </w:rPr>
              <w:t>4</w:t>
            </w:r>
            <w:r>
              <w:rPr>
                <w:rFonts w:hint="eastAsia"/>
                <w:b/>
                <w:bCs/>
                <w:color w:val="auto"/>
              </w:rPr>
              <w:t xml:space="preserve"> </w:t>
            </w:r>
            <w:r>
              <w:rPr>
                <w:rFonts w:hint="eastAsia"/>
                <w:b/>
                <w:bCs/>
                <w:color w:val="auto"/>
                <w:lang w:val="en-US" w:eastAsia="zh-CN"/>
              </w:rPr>
              <w:t xml:space="preserve"> </w:t>
            </w:r>
            <w:r>
              <w:rPr>
                <w:rFonts w:hint="eastAsia"/>
                <w:b/>
                <w:bCs/>
                <w:color w:val="auto"/>
              </w:rPr>
              <w:t>泥浆循环、处置工艺流程及产污环节图</w:t>
            </w:r>
          </w:p>
          <w:p w14:paraId="4245EEFB">
            <w:pPr>
              <w:pStyle w:val="22"/>
              <w:bidi w:val="0"/>
              <w:rPr>
                <w:rFonts w:hint="eastAsia"/>
                <w:color w:val="auto"/>
              </w:rPr>
            </w:pPr>
            <w:r>
              <w:rPr>
                <w:rFonts w:hint="eastAsia"/>
                <w:color w:val="auto"/>
              </w:rPr>
              <w:t>钻井过程中建设单位在钻井现场配制泥浆，泥浆在上反过程中经振动筛、除砂器、除泥器、离心机等分离出岩屑，泥浆经泥浆泵打入压滤机压滤后进入泥浆罐（为确保泥浆不落地，要求建设单位设置泥浆罐，不得开挖泥浆池），循环使用。钻井完工后，钻井泥浆添加生石灰进行固化（固化时间约1周，生石灰与水反应生热，加速水分的蒸发，通过持续吸水保持板结）处理。由固废处置单位统一运转至附近修路单位，最后统一用来铺设路基。</w:t>
            </w:r>
          </w:p>
          <w:p w14:paraId="2A6089B8">
            <w:pPr>
              <w:pStyle w:val="22"/>
              <w:bidi w:val="0"/>
              <w:rPr>
                <w:rFonts w:hint="eastAsia" w:ascii="宋体" w:hAnsi="宋体" w:cs="宋体"/>
                <w:color w:val="auto"/>
                <w:kern w:val="0"/>
                <w:szCs w:val="21"/>
              </w:rPr>
            </w:pPr>
            <w:r>
              <w:rPr>
                <w:rFonts w:hint="eastAsia"/>
                <w:color w:val="auto"/>
                <w:lang w:val="en-US" w:eastAsia="zh-CN"/>
              </w:rPr>
              <w:t>10）</w:t>
            </w:r>
            <w:r>
              <w:rPr>
                <w:rFonts w:hint="eastAsia"/>
                <w:color w:val="auto"/>
              </w:rPr>
              <w:t>项目回灌井井身结构参数见表2-</w:t>
            </w:r>
            <w:r>
              <w:rPr>
                <w:rFonts w:hint="eastAsia"/>
                <w:color w:val="auto"/>
                <w:lang w:val="en-US" w:eastAsia="zh-CN"/>
              </w:rPr>
              <w:t>10</w:t>
            </w:r>
            <w:r>
              <w:rPr>
                <w:rFonts w:hint="eastAsia"/>
                <w:color w:val="auto"/>
              </w:rPr>
              <w:t>，井身结构图见示意图2-</w:t>
            </w:r>
            <w:r>
              <w:rPr>
                <w:rFonts w:hint="eastAsia"/>
                <w:color w:val="auto"/>
                <w:lang w:val="en-US" w:eastAsia="zh-CN"/>
              </w:rPr>
              <w:t>5</w:t>
            </w:r>
            <w:r>
              <w:rPr>
                <w:rFonts w:hint="eastAsia"/>
                <w:color w:val="auto"/>
              </w:rPr>
              <w:t>。</w:t>
            </w:r>
          </w:p>
          <w:p w14:paraId="3102D4BF">
            <w:pPr>
              <w:widowControl/>
              <w:spacing w:line="240" w:lineRule="auto"/>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w:t>
            </w:r>
            <w:r>
              <w:rPr>
                <w:rFonts w:hint="default" w:ascii="Times New Roman" w:hAnsi="Times New Roman" w:cs="Times New Roman"/>
                <w:b/>
                <w:bCs/>
                <w:color w:val="auto"/>
                <w:sz w:val="24"/>
                <w:szCs w:val="24"/>
                <w:lang w:val="en-US" w:eastAsia="zh-CN"/>
              </w:rPr>
              <w:t>2</w:t>
            </w:r>
            <w:r>
              <w:rPr>
                <w:rFonts w:hint="default" w:ascii="Times New Roman" w:hAnsi="Times New Roman" w:cs="Times New Roman"/>
                <w:b/>
                <w:bCs/>
                <w:color w:val="auto"/>
                <w:sz w:val="24"/>
                <w:szCs w:val="24"/>
              </w:rPr>
              <w:t>-</w:t>
            </w:r>
            <w:r>
              <w:rPr>
                <w:rFonts w:hint="eastAsia" w:cs="Times New Roman"/>
                <w:b/>
                <w:bCs/>
                <w:color w:val="auto"/>
                <w:sz w:val="24"/>
                <w:szCs w:val="24"/>
                <w:lang w:val="en-US" w:eastAsia="zh-CN"/>
              </w:rPr>
              <w:t>10</w:t>
            </w:r>
            <w:r>
              <w:rPr>
                <w:rFonts w:hint="default" w:ascii="Times New Roman" w:hAnsi="Times New Roman" w:cs="Times New Roman"/>
                <w:b/>
                <w:bCs/>
                <w:color w:val="auto"/>
                <w:sz w:val="24"/>
                <w:szCs w:val="24"/>
              </w:rPr>
              <w:t xml:space="preserve">  </w:t>
            </w:r>
            <w:r>
              <w:rPr>
                <w:rFonts w:hint="default" w:ascii="Times New Roman" w:hAnsi="Times New Roman" w:cs="Times New Roman"/>
                <w:b/>
                <w:bCs/>
                <w:color w:val="auto"/>
                <w:sz w:val="24"/>
                <w:szCs w:val="24"/>
                <w:lang w:eastAsia="zh-CN"/>
              </w:rPr>
              <w:t>项目</w:t>
            </w:r>
            <w:r>
              <w:rPr>
                <w:rFonts w:hint="default" w:ascii="Times New Roman" w:hAnsi="Times New Roman" w:cs="Times New Roman"/>
                <w:b/>
                <w:bCs/>
                <w:color w:val="auto"/>
                <w:sz w:val="24"/>
                <w:szCs w:val="24"/>
                <w:lang w:val="en-US" w:eastAsia="zh-CN"/>
              </w:rPr>
              <w:t>回灌井</w:t>
            </w:r>
            <w:r>
              <w:rPr>
                <w:rFonts w:hint="default" w:ascii="Times New Roman" w:hAnsi="Times New Roman" w:cs="Times New Roman"/>
                <w:b/>
                <w:bCs/>
                <w:color w:val="auto"/>
                <w:sz w:val="24"/>
                <w:szCs w:val="24"/>
                <w:lang w:eastAsia="zh-CN"/>
              </w:rPr>
              <w:t>井身结构参数</w:t>
            </w:r>
            <w:r>
              <w:rPr>
                <w:rFonts w:hint="default" w:ascii="Times New Roman" w:hAnsi="Times New Roman" w:cs="Times New Roman"/>
                <w:b/>
                <w:bCs/>
                <w:color w:val="auto"/>
                <w:sz w:val="24"/>
                <w:szCs w:val="24"/>
              </w:rPr>
              <w:t>表</w:t>
            </w:r>
          </w:p>
          <w:tbl>
            <w:tblPr>
              <w:tblStyle w:val="15"/>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3126"/>
              <w:gridCol w:w="5120"/>
            </w:tblGrid>
            <w:tr w14:paraId="429CF12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PrEx>
              <w:trPr>
                <w:trHeight w:val="510" w:hRule="atLeast"/>
                <w:jc w:val="center"/>
              </w:trPr>
              <w:tc>
                <w:tcPr>
                  <w:tcW w:w="2988" w:type="dxa"/>
                  <w:tcBorders>
                    <w:tl2br w:val="nil"/>
                    <w:tr2bl w:val="nil"/>
                  </w:tcBorders>
                  <w:noWrap w:val="0"/>
                  <w:vAlign w:val="center"/>
                </w:tcPr>
                <w:p w14:paraId="2FC45564">
                  <w:pPr>
                    <w:bidi w:val="0"/>
                    <w:jc w:val="center"/>
                    <w:rPr>
                      <w:rFonts w:hint="default" w:ascii="Times New Roman" w:hAnsi="Times New Roman" w:cs="Times New Roman"/>
                      <w:b/>
                      <w:bCs/>
                      <w:color w:val="auto"/>
                    </w:rPr>
                  </w:pPr>
                  <w:r>
                    <w:rPr>
                      <w:rFonts w:hint="default" w:ascii="Times New Roman" w:hAnsi="Times New Roman" w:cs="Times New Roman"/>
                      <w:b/>
                      <w:bCs/>
                      <w:color w:val="auto"/>
                    </w:rPr>
                    <w:t>技术项目</w:t>
                  </w:r>
                </w:p>
              </w:tc>
              <w:tc>
                <w:tcPr>
                  <w:tcW w:w="4894" w:type="dxa"/>
                  <w:tcBorders>
                    <w:tl2br w:val="nil"/>
                    <w:tr2bl w:val="nil"/>
                  </w:tcBorders>
                  <w:noWrap w:val="0"/>
                  <w:vAlign w:val="center"/>
                </w:tcPr>
                <w:p w14:paraId="35E64530">
                  <w:pPr>
                    <w:bidi w:val="0"/>
                    <w:jc w:val="center"/>
                    <w:rPr>
                      <w:rFonts w:hint="default" w:ascii="Times New Roman" w:hAnsi="Times New Roman" w:cs="Times New Roman"/>
                      <w:b/>
                      <w:bCs/>
                      <w:color w:val="auto"/>
                    </w:rPr>
                  </w:pPr>
                  <w:r>
                    <w:rPr>
                      <w:rFonts w:hint="default" w:ascii="Times New Roman" w:hAnsi="Times New Roman" w:cs="Times New Roman"/>
                      <w:b/>
                      <w:bCs/>
                      <w:color w:val="auto"/>
                    </w:rPr>
                    <w:t>指标</w:t>
                  </w:r>
                </w:p>
              </w:tc>
            </w:tr>
            <w:tr w14:paraId="22BCD357">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2988" w:type="dxa"/>
                  <w:tcBorders>
                    <w:tl2br w:val="nil"/>
                    <w:tr2bl w:val="nil"/>
                  </w:tcBorders>
                  <w:noWrap w:val="0"/>
                  <w:vAlign w:val="center"/>
                </w:tcPr>
                <w:p w14:paraId="25E4BCB9">
                  <w:pPr>
                    <w:bidi w:val="0"/>
                    <w:jc w:val="center"/>
                    <w:rPr>
                      <w:rFonts w:hint="default" w:ascii="Times New Roman" w:hAnsi="Times New Roman" w:cs="Times New Roman"/>
                      <w:color w:val="auto"/>
                    </w:rPr>
                  </w:pPr>
                  <w:r>
                    <w:rPr>
                      <w:rFonts w:hint="default" w:ascii="Times New Roman" w:hAnsi="Times New Roman" w:cs="Times New Roman"/>
                      <w:color w:val="auto"/>
                    </w:rPr>
                    <w:t>井深（m）</w:t>
                  </w:r>
                </w:p>
              </w:tc>
              <w:tc>
                <w:tcPr>
                  <w:tcW w:w="4894" w:type="dxa"/>
                  <w:tcBorders>
                    <w:tl2br w:val="nil"/>
                    <w:tr2bl w:val="nil"/>
                  </w:tcBorders>
                  <w:noWrap w:val="0"/>
                  <w:vAlign w:val="center"/>
                </w:tcPr>
                <w:p w14:paraId="3EC4A698">
                  <w:pPr>
                    <w:bidi w:val="0"/>
                    <w:jc w:val="center"/>
                    <w:rPr>
                      <w:rFonts w:hint="default" w:ascii="Times New Roman" w:hAnsi="Times New Roman" w:cs="Times New Roman"/>
                      <w:color w:val="auto"/>
                    </w:rPr>
                  </w:pPr>
                  <w:r>
                    <w:rPr>
                      <w:rFonts w:hint="default" w:ascii="Times New Roman" w:hAnsi="Times New Roman" w:cs="Times New Roman"/>
                      <w:color w:val="auto"/>
                    </w:rPr>
                    <w:t>设计</w:t>
                  </w:r>
                  <w:r>
                    <w:rPr>
                      <w:rFonts w:hint="eastAsia" w:ascii="Times New Roman" w:hAnsi="Times New Roman" w:cs="Times New Roman"/>
                      <w:color w:val="auto"/>
                      <w:lang w:val="en-US" w:eastAsia="zh-CN"/>
                    </w:rPr>
                    <w:t xml:space="preserve">井深 </w:t>
                  </w:r>
                  <w:r>
                    <w:rPr>
                      <w:rFonts w:hint="default" w:ascii="Times New Roman" w:hAnsi="Times New Roman" w:cs="Times New Roman"/>
                      <w:color w:val="auto"/>
                      <w:lang w:val="en-US" w:eastAsia="zh-CN"/>
                    </w:rPr>
                    <w:t>垂深2750.0m/斜深2814.0m</w:t>
                  </w:r>
                </w:p>
              </w:tc>
            </w:tr>
            <w:tr w14:paraId="1968BC88">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2988" w:type="dxa"/>
                  <w:tcBorders>
                    <w:tl2br w:val="nil"/>
                    <w:tr2bl w:val="nil"/>
                  </w:tcBorders>
                  <w:noWrap w:val="0"/>
                  <w:vAlign w:val="center"/>
                </w:tcPr>
                <w:p w14:paraId="200C206C">
                  <w:pPr>
                    <w:bidi w:val="0"/>
                    <w:jc w:val="center"/>
                    <w:rPr>
                      <w:rFonts w:hint="default" w:ascii="Times New Roman" w:hAnsi="Times New Roman" w:cs="Times New Roman"/>
                      <w:color w:val="auto"/>
                    </w:rPr>
                  </w:pPr>
                  <w:r>
                    <w:rPr>
                      <w:rFonts w:hint="default" w:ascii="Times New Roman" w:hAnsi="Times New Roman" w:cs="Times New Roman"/>
                      <w:color w:val="auto"/>
                    </w:rPr>
                    <w:t>井径</w:t>
                  </w:r>
                </w:p>
              </w:tc>
              <w:tc>
                <w:tcPr>
                  <w:tcW w:w="4894" w:type="dxa"/>
                  <w:tcBorders>
                    <w:tl2br w:val="nil"/>
                    <w:tr2bl w:val="nil"/>
                  </w:tcBorders>
                  <w:noWrap w:val="0"/>
                  <w:vAlign w:val="center"/>
                </w:tcPr>
                <w:p w14:paraId="6D09D539">
                  <w:pPr>
                    <w:bidi w:val="0"/>
                    <w:jc w:val="center"/>
                    <w:rPr>
                      <w:rFonts w:hint="default" w:ascii="Times New Roman" w:hAnsi="Times New Roman" w:cs="Times New Roman"/>
                      <w:color w:val="auto"/>
                    </w:rPr>
                  </w:pPr>
                  <w:r>
                    <w:rPr>
                      <w:rFonts w:hint="default" w:ascii="Times New Roman" w:hAnsi="Times New Roman" w:cs="Times New Roman"/>
                      <w:color w:val="auto"/>
                      <w:lang w:val="en-US" w:eastAsia="zh-CN"/>
                    </w:rPr>
                    <w:t>一开</w:t>
                  </w:r>
                  <w:r>
                    <w:rPr>
                      <w:rFonts w:hint="default" w:ascii="Times New Roman" w:hAnsi="Times New Roman" w:cs="Times New Roman"/>
                      <w:color w:val="auto"/>
                      <w:lang w:val="en-US" w:eastAsia="en-US"/>
                    </w:rPr>
                    <w:t>φ444.5mm×</w:t>
                  </w:r>
                  <w:r>
                    <w:rPr>
                      <w:rFonts w:hint="default" w:ascii="Times New Roman" w:hAnsi="Times New Roman" w:cs="Times New Roman"/>
                      <w:color w:val="auto"/>
                      <w:lang w:val="en-US" w:eastAsia="zh-CN"/>
                    </w:rPr>
                    <w:t>450</w:t>
                  </w:r>
                  <w:r>
                    <w:rPr>
                      <w:rFonts w:hint="default" w:ascii="Times New Roman" w:hAnsi="Times New Roman" w:cs="Times New Roman"/>
                      <w:color w:val="auto"/>
                      <w:lang w:val="en-US" w:eastAsia="en-US"/>
                    </w:rPr>
                    <w:t>m</w:t>
                  </w:r>
                  <w:r>
                    <w:rPr>
                      <w:rFonts w:hint="default" w:ascii="Times New Roman" w:hAnsi="Times New Roman" w:cs="Times New Roman"/>
                      <w:color w:val="auto"/>
                      <w:lang w:val="en-US" w:eastAsia="zh-CN"/>
                    </w:rPr>
                    <w:t>，二开</w:t>
                  </w:r>
                  <w:r>
                    <w:rPr>
                      <w:rFonts w:hint="default" w:ascii="Times New Roman" w:hAnsi="Times New Roman" w:cs="Times New Roman"/>
                      <w:color w:val="auto"/>
                      <w:lang w:val="en-US" w:eastAsia="en-US"/>
                    </w:rPr>
                    <w:t>φ241.3mm×</w:t>
                  </w:r>
                  <w:r>
                    <w:rPr>
                      <w:rFonts w:hint="eastAsia" w:ascii="Times New Roman" w:hAnsi="Times New Roman" w:cs="Times New Roman"/>
                      <w:color w:val="auto"/>
                      <w:lang w:val="en-US" w:eastAsia="zh-CN"/>
                    </w:rPr>
                    <w:t>2814</w:t>
                  </w:r>
                  <w:r>
                    <w:rPr>
                      <w:rFonts w:hint="default" w:ascii="Times New Roman" w:hAnsi="Times New Roman" w:cs="Times New Roman"/>
                      <w:color w:val="auto"/>
                      <w:lang w:val="en-US" w:eastAsia="en-US"/>
                    </w:rPr>
                    <w:t>m</w:t>
                  </w:r>
                </w:p>
              </w:tc>
            </w:tr>
          </w:tbl>
          <w:p w14:paraId="1F02F181">
            <w:pPr>
              <w:adjustRightInd w:val="0"/>
              <w:snapToGrid w:val="0"/>
              <w:jc w:val="center"/>
              <w:rPr>
                <w:rFonts w:hint="eastAsia" w:ascii="宋体" w:hAnsi="宋体" w:eastAsia="宋体" w:cs="宋体"/>
                <w:color w:val="auto"/>
                <w:kern w:val="0"/>
                <w:szCs w:val="21"/>
                <w:lang w:eastAsia="zh-CN"/>
              </w:rPr>
            </w:pPr>
          </w:p>
          <w:p w14:paraId="6F86DD86">
            <w:pPr>
              <w:adjustRightInd w:val="0"/>
              <w:snapToGrid w:val="0"/>
              <w:jc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drawing>
                <wp:inline distT="0" distB="0" distL="114300" distR="114300">
                  <wp:extent cx="3750310" cy="3851910"/>
                  <wp:effectExtent l="0" t="0" r="2540" b="15240"/>
                  <wp:docPr id="6" name="图片 6" descr="5843cf0a1a3b1dc30989cd7001e7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843cf0a1a3b1dc30989cd7001e7659"/>
                          <pic:cNvPicPr>
                            <a:picLocks noChangeAspect="1"/>
                          </pic:cNvPicPr>
                        </pic:nvPicPr>
                        <pic:blipFill>
                          <a:blip r:embed="rId15"/>
                          <a:stretch>
                            <a:fillRect/>
                          </a:stretch>
                        </pic:blipFill>
                        <pic:spPr>
                          <a:xfrm>
                            <a:off x="0" y="0"/>
                            <a:ext cx="3750310" cy="3851910"/>
                          </a:xfrm>
                          <a:prstGeom prst="rect">
                            <a:avLst/>
                          </a:prstGeom>
                        </pic:spPr>
                      </pic:pic>
                    </a:graphicData>
                  </a:graphic>
                </wp:inline>
              </w:drawing>
            </w:r>
          </w:p>
          <w:p w14:paraId="1D6F57BD">
            <w:pPr>
              <w:adjustRightInd w:val="0"/>
              <w:snapToGrid w:val="0"/>
              <w:jc w:val="center"/>
              <w:rPr>
                <w:rFonts w:hint="eastAsia" w:ascii="宋体" w:hAnsi="宋体" w:cs="宋体"/>
                <w:color w:val="auto"/>
                <w:kern w:val="0"/>
                <w:szCs w:val="21"/>
              </w:rPr>
            </w:pPr>
            <w:r>
              <w:rPr>
                <w:rFonts w:hint="default" w:ascii="Times New Roman" w:hAnsi="Times New Roman" w:cs="Times New Roman"/>
                <w:b/>
                <w:bCs/>
                <w:color w:val="auto"/>
                <w:kern w:val="0"/>
                <w:sz w:val="24"/>
                <w:szCs w:val="24"/>
              </w:rPr>
              <w:t>图2-</w:t>
            </w:r>
            <w:r>
              <w:rPr>
                <w:rFonts w:hint="eastAsia" w:cs="Times New Roman"/>
                <w:b/>
                <w:bCs/>
                <w:color w:val="auto"/>
                <w:kern w:val="0"/>
                <w:sz w:val="24"/>
                <w:szCs w:val="24"/>
                <w:lang w:val="en-US" w:eastAsia="zh-CN"/>
              </w:rPr>
              <w:t>5</w:t>
            </w:r>
            <w:r>
              <w:rPr>
                <w:rFonts w:hint="default" w:ascii="Times New Roman" w:hAnsi="Times New Roman" w:cs="Times New Roman"/>
                <w:b/>
                <w:bCs/>
                <w:color w:val="auto"/>
                <w:kern w:val="0"/>
                <w:sz w:val="24"/>
                <w:szCs w:val="24"/>
              </w:rPr>
              <w:t xml:space="preserve">  定向井井身结构示意图</w:t>
            </w:r>
          </w:p>
          <w:p w14:paraId="32F9DF6E">
            <w:pPr>
              <w:pStyle w:val="22"/>
              <w:bidi w:val="0"/>
              <w:rPr>
                <w:rFonts w:hint="eastAsia"/>
                <w:color w:val="auto"/>
                <w:lang w:eastAsia="zh-CN"/>
              </w:rPr>
            </w:pPr>
            <w:r>
              <w:rPr>
                <w:rFonts w:hint="eastAsia"/>
                <w:color w:val="auto"/>
                <w:lang w:eastAsia="zh-CN"/>
              </w:rPr>
              <w:t>（2）</w:t>
            </w:r>
            <w:r>
              <w:rPr>
                <w:rFonts w:hint="eastAsia"/>
                <w:color w:val="auto"/>
                <w:lang w:val="en-US" w:eastAsia="zh-CN"/>
              </w:rPr>
              <w:t>供热机房</w:t>
            </w:r>
            <w:r>
              <w:rPr>
                <w:rFonts w:hint="eastAsia"/>
                <w:color w:val="auto"/>
                <w:lang w:eastAsia="zh-CN"/>
              </w:rPr>
              <w:t>建设</w:t>
            </w:r>
          </w:p>
          <w:p w14:paraId="394EF2B6">
            <w:pPr>
              <w:pStyle w:val="22"/>
              <w:bidi w:val="0"/>
              <w:rPr>
                <w:rFonts w:hint="eastAsia"/>
                <w:color w:val="auto"/>
                <w:lang w:eastAsia="zh-CN"/>
              </w:rPr>
            </w:pPr>
            <w:r>
              <w:rPr>
                <w:rFonts w:hint="eastAsia"/>
                <w:color w:val="auto"/>
                <w:lang w:val="en-US" w:eastAsia="zh-CN"/>
              </w:rPr>
              <w:t>供热机房</w:t>
            </w:r>
            <w:r>
              <w:rPr>
                <w:rFonts w:hint="eastAsia"/>
                <w:color w:val="auto"/>
                <w:lang w:eastAsia="zh-CN"/>
              </w:rPr>
              <w:t>位于</w:t>
            </w:r>
            <w:r>
              <w:rPr>
                <w:rFonts w:hint="eastAsia"/>
                <w:color w:val="auto"/>
                <w:lang w:val="en-US" w:eastAsia="zh-CN"/>
              </w:rPr>
              <w:t>陕西省</w:t>
            </w:r>
            <w:r>
              <w:rPr>
                <w:rFonts w:hint="default" w:ascii="Times New Roman" w:hAnsi="Times New Roman" w:cs="Times New Roman"/>
                <w:color w:val="auto"/>
                <w:sz w:val="24"/>
                <w:szCs w:val="24"/>
                <w:u w:val="none"/>
              </w:rPr>
              <w:t>西咸新区沣东新城三桥街道北沙口村紫境城小区</w:t>
            </w:r>
            <w:r>
              <w:rPr>
                <w:rFonts w:hint="eastAsia"/>
                <w:color w:val="auto"/>
                <w:lang w:eastAsia="zh-CN"/>
              </w:rPr>
              <w:t>内，建筑面积</w:t>
            </w:r>
            <w:r>
              <w:rPr>
                <w:rFonts w:hint="eastAsia"/>
                <w:color w:val="auto"/>
                <w:lang w:val="en-US" w:eastAsia="zh-CN"/>
              </w:rPr>
              <w:t>587.25</w:t>
            </w:r>
            <w:r>
              <w:rPr>
                <w:rFonts w:hint="eastAsia"/>
                <w:color w:val="auto"/>
                <w:lang w:eastAsia="zh-CN"/>
              </w:rPr>
              <w:t>m</w:t>
            </w:r>
            <w:r>
              <w:rPr>
                <w:rFonts w:hint="eastAsia"/>
                <w:color w:val="auto"/>
                <w:vertAlign w:val="superscript"/>
                <w:lang w:eastAsia="zh-CN"/>
              </w:rPr>
              <w:t>2</w:t>
            </w:r>
            <w:r>
              <w:rPr>
                <w:rFonts w:hint="eastAsia"/>
                <w:color w:val="auto"/>
                <w:lang w:eastAsia="zh-CN"/>
              </w:rPr>
              <w:t>。内设换热器、过滤器、</w:t>
            </w:r>
            <w:r>
              <w:rPr>
                <w:rFonts w:hint="eastAsia"/>
                <w:color w:val="auto"/>
                <w:lang w:val="en-US" w:eastAsia="zh-CN"/>
              </w:rPr>
              <w:t>排气罐、回灌一次加压水泵、回灌二次加压水泵等</w:t>
            </w:r>
            <w:r>
              <w:rPr>
                <w:rFonts w:hint="eastAsia"/>
                <w:color w:val="auto"/>
                <w:lang w:eastAsia="zh-CN"/>
              </w:rPr>
              <w:t>。</w:t>
            </w:r>
            <w:r>
              <w:rPr>
                <w:rFonts w:hint="eastAsia"/>
                <w:color w:val="auto"/>
                <w:lang w:val="en-US" w:eastAsia="zh-CN"/>
              </w:rPr>
              <w:t>供热机房建设施工期主要为换热器、泵类等设备进场、安装及调试等作业，供热机房位于地下。</w:t>
            </w:r>
            <w:r>
              <w:rPr>
                <w:rFonts w:hint="eastAsia"/>
                <w:color w:val="auto"/>
                <w:lang w:eastAsia="zh-CN"/>
              </w:rPr>
              <w:t>施工期主要工艺流程及产污环节见</w:t>
            </w:r>
            <w:r>
              <w:rPr>
                <w:rFonts w:hint="eastAsia"/>
                <w:color w:val="auto"/>
                <w:lang w:val="en-US" w:eastAsia="zh-CN"/>
              </w:rPr>
              <w:t>下图</w:t>
            </w:r>
            <w:r>
              <w:rPr>
                <w:rFonts w:hint="eastAsia"/>
                <w:color w:val="auto"/>
                <w:lang w:eastAsia="zh-CN"/>
              </w:rPr>
              <w:t>。</w:t>
            </w:r>
          </w:p>
          <w:p w14:paraId="5A108FC3">
            <w:pPr>
              <w:pStyle w:val="22"/>
              <w:bidi w:val="0"/>
              <w:rPr>
                <w:rFonts w:hint="eastAsia"/>
                <w:color w:val="auto"/>
                <w:lang w:eastAsia="zh-CN"/>
              </w:rPr>
            </w:pPr>
            <w:r>
              <w:rPr>
                <w:rFonts w:ascii="Times New Roman" w:hAnsi="Times New Roman" w:cs="Times New Roman"/>
                <w:color w:val="auto"/>
              </w:rPr>
              <mc:AlternateContent>
                <mc:Choice Requires="wpc">
                  <w:drawing>
                    <wp:inline distT="0" distB="0" distL="114300" distR="114300">
                      <wp:extent cx="5045075" cy="1254760"/>
                      <wp:effectExtent l="0" t="0" r="0" b="0"/>
                      <wp:docPr id="17" name="画布 17"/>
                      <wp:cNvGraphicFramePr/>
                      <a:graphic xmlns:a="http://schemas.openxmlformats.org/drawingml/2006/main">
                        <a:graphicData uri="http://schemas.microsoft.com/office/word/2010/wordprocessingCanvas">
                          <wpc:wpc>
                            <wpc:bg>
                              <a:noFill/>
                            </wpc:bg>
                            <wpc:whole>
                              <a:ln>
                                <a:noFill/>
                              </a:ln>
                            </wpc:whole>
                            <wps:wsp>
                              <wps:cNvPr id="12" name="矩形 12"/>
                              <wps:cNvSpPr/>
                              <wps:spPr>
                                <a:xfrm>
                                  <a:off x="180340" y="733425"/>
                                  <a:ext cx="2442210" cy="414655"/>
                                </a:xfrm>
                                <a:prstGeom prst="rect">
                                  <a:avLst/>
                                </a:prstGeom>
                                <a:noFill/>
                                <a:ln w="9525" cap="flat" cmpd="sng">
                                  <a:solidFill>
                                    <a:srgbClr val="000000"/>
                                  </a:solidFill>
                                  <a:prstDash val="solid"/>
                                  <a:miter/>
                                  <a:headEnd type="none" w="med" len="med"/>
                                  <a:tailEnd type="none" w="med" len="med"/>
                                </a:ln>
                              </wps:spPr>
                              <wps:txbx>
                                <w:txbxContent>
                                  <w:p w14:paraId="6AEBA8AE">
                                    <w:pPr>
                                      <w:spacing w:before="120" w:beforeLines="50"/>
                                    </w:pPr>
                                    <w:r>
                                      <w:rPr>
                                        <w:rFonts w:hint="eastAsia"/>
                                        <w:lang w:val="en-US" w:eastAsia="zh-CN"/>
                                      </w:rPr>
                                      <w:t>换热器、泵类等</w:t>
                                    </w:r>
                                    <w:r>
                                      <w:rPr>
                                        <w:rFonts w:hint="eastAsia"/>
                                      </w:rPr>
                                      <w:t>设备</w:t>
                                    </w:r>
                                    <w:r>
                                      <w:rPr>
                                        <w:rFonts w:hint="eastAsia"/>
                                        <w:lang w:val="en-US" w:eastAsia="zh-CN"/>
                                      </w:rPr>
                                      <w:t>进场、</w:t>
                                    </w:r>
                                    <w:r>
                                      <w:rPr>
                                        <w:rFonts w:hint="eastAsia"/>
                                      </w:rPr>
                                      <w:t>安装</w:t>
                                    </w:r>
                                    <w:r>
                                      <w:rPr>
                                        <w:rFonts w:hint="eastAsia"/>
                                        <w:lang w:val="en-US" w:eastAsia="zh-CN"/>
                                      </w:rPr>
                                      <w:t>和</w:t>
                                    </w:r>
                                    <w:r>
                                      <w:rPr>
                                        <w:rFonts w:hint="eastAsia"/>
                                      </w:rPr>
                                      <w:t>调试</w:t>
                                    </w:r>
                                  </w:p>
                                </w:txbxContent>
                              </wps:txbx>
                              <wps:bodyPr upright="1"/>
                            </wps:wsp>
                            <wps:wsp>
                              <wps:cNvPr id="13" name="矩形 13"/>
                              <wps:cNvSpPr/>
                              <wps:spPr>
                                <a:xfrm>
                                  <a:off x="3172460" y="732790"/>
                                  <a:ext cx="744220" cy="406400"/>
                                </a:xfrm>
                                <a:prstGeom prst="rect">
                                  <a:avLst/>
                                </a:prstGeom>
                                <a:noFill/>
                                <a:ln w="9525" cap="flat" cmpd="sng">
                                  <a:solidFill>
                                    <a:srgbClr val="000000"/>
                                  </a:solidFill>
                                  <a:prstDash val="solid"/>
                                  <a:miter/>
                                  <a:headEnd type="none" w="med" len="med"/>
                                  <a:tailEnd type="none" w="med" len="med"/>
                                </a:ln>
                              </wps:spPr>
                              <wps:txbx>
                                <w:txbxContent>
                                  <w:p w14:paraId="7D75236E">
                                    <w:pPr>
                                      <w:spacing w:before="120" w:beforeLines="50"/>
                                    </w:pPr>
                                    <w:r>
                                      <w:rPr>
                                        <w:rFonts w:hint="eastAsia"/>
                                      </w:rPr>
                                      <w:t>运营使用</w:t>
                                    </w:r>
                                  </w:p>
                                </w:txbxContent>
                              </wps:txbx>
                              <wps:bodyPr upright="1"/>
                            </wps:wsp>
                            <wps:wsp>
                              <wps:cNvPr id="14" name="直接箭头连接符 14"/>
                              <wps:cNvCnPr/>
                              <wps:spPr>
                                <a:xfrm flipV="1">
                                  <a:off x="2630170" y="935990"/>
                                  <a:ext cx="542290" cy="5080"/>
                                </a:xfrm>
                                <a:prstGeom prst="straightConnector1">
                                  <a:avLst/>
                                </a:prstGeom>
                                <a:ln w="9525" cap="flat" cmpd="sng">
                                  <a:solidFill>
                                    <a:srgbClr val="000000"/>
                                  </a:solidFill>
                                  <a:prstDash val="solid"/>
                                  <a:miter/>
                                  <a:headEnd type="none" w="med" len="med"/>
                                  <a:tailEnd type="arrow" w="med" len="med"/>
                                </a:ln>
                              </wps:spPr>
                              <wps:bodyPr/>
                            </wps:wsp>
                            <wps:wsp>
                              <wps:cNvPr id="15" name="矩形 15"/>
                              <wps:cNvSpPr/>
                              <wps:spPr>
                                <a:xfrm>
                                  <a:off x="948690" y="104775"/>
                                  <a:ext cx="1704340" cy="406400"/>
                                </a:xfrm>
                                <a:prstGeom prst="rect">
                                  <a:avLst/>
                                </a:prstGeom>
                                <a:noFill/>
                                <a:ln>
                                  <a:noFill/>
                                </a:ln>
                              </wps:spPr>
                              <wps:txbx>
                                <w:txbxContent>
                                  <w:p w14:paraId="5DF45D08">
                                    <w:pPr>
                                      <w:spacing w:before="120" w:beforeLines="50"/>
                                    </w:pPr>
                                    <w:r>
                                      <w:rPr>
                                        <w:rFonts w:hint="eastAsia"/>
                                      </w:rPr>
                                      <w:t>废水、废气、噪声、固废</w:t>
                                    </w:r>
                                  </w:p>
                                </w:txbxContent>
                              </wps:txbx>
                              <wps:bodyPr upright="1"/>
                            </wps:wsp>
                            <wps:wsp>
                              <wps:cNvPr id="16" name="直接箭头连接符 16"/>
                              <wps:cNvCnPr/>
                              <wps:spPr>
                                <a:xfrm flipH="1" flipV="1">
                                  <a:off x="1800860" y="511175"/>
                                  <a:ext cx="4445" cy="222250"/>
                                </a:xfrm>
                                <a:prstGeom prst="straightConnector1">
                                  <a:avLst/>
                                </a:prstGeom>
                                <a:ln w="9525" cap="flat" cmpd="sng">
                                  <a:solidFill>
                                    <a:srgbClr val="000000"/>
                                  </a:solidFill>
                                  <a:prstDash val="dash"/>
                                  <a:miter/>
                                  <a:headEnd type="none" w="med" len="med"/>
                                  <a:tailEnd type="arrow" w="med" len="med"/>
                                </a:ln>
                              </wps:spPr>
                              <wps:bodyPr/>
                            </wps:wsp>
                          </wpc:wpc>
                        </a:graphicData>
                      </a:graphic>
                    </wp:inline>
                  </w:drawing>
                </mc:Choice>
                <mc:Fallback>
                  <w:pict>
                    <v:group id="_x0000_s1026" o:spid="_x0000_s1026" o:spt="203" style="height:98.8pt;width:397.25pt;" coordsize="5045075,1254760" editas="canvas" o:gfxdata="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">
                      <o:lock v:ext="edit" aspectratio="f"/>
                      <v:shape id="_x0000_s1026" o:spid="_x0000_s1026" style="position:absolute;left:0;top:0;height:1254760;width:5045075;" filled="f" stroked="f" coordsize="21600,21600" o:gfxdata="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">
                        <v:fill on="f" focussize="0,0"/>
                        <v:stroke on="f"/>
                        <v:imagedata o:title=""/>
                        <o:lock v:ext="edit" aspectratio="f"/>
                      </v:shape>
                      <v:rect id="_x0000_s1026" o:spid="_x0000_s1026" o:spt="1" style="position:absolute;left:180340;top:733425;height:414655;width:2442210;" filled="f" stroked="t" coordsize="21600,21600" o:gfxdata="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v53XH1QAAAAUBAAAPAAAAAAAAAAEAIAAAACIAAABk&#10;cnMvZG93bnJldi54bWxQSwECFAAUAAAACACHTuJAvPKoeQkCAAAMBAAADgAAAAAAAAABACAAAAAk&#10;AQAAZHJzL2Uyb0RvYy54bWxQSwUGAAAAAAYABgBZAQAAnwUAAAAA&#10;">
                        <v:fill on="f" focussize="0,0"/>
                        <v:stroke color="#000000" joinstyle="miter"/>
                        <v:imagedata o:title=""/>
                        <o:lock v:ext="edit" aspectratio="f"/>
                        <v:textbox>
                          <w:txbxContent>
                            <w:p w14:paraId="6AEBA8AE">
                              <w:pPr>
                                <w:spacing w:before="120" w:beforeLines="50"/>
                              </w:pPr>
                              <w:r>
                                <w:rPr>
                                  <w:rFonts w:hint="eastAsia"/>
                                  <w:lang w:val="en-US" w:eastAsia="zh-CN"/>
                                </w:rPr>
                                <w:t>换热器、泵类等</w:t>
                              </w:r>
                              <w:r>
                                <w:rPr>
                                  <w:rFonts w:hint="eastAsia"/>
                                </w:rPr>
                                <w:t>设备</w:t>
                              </w:r>
                              <w:r>
                                <w:rPr>
                                  <w:rFonts w:hint="eastAsia"/>
                                  <w:lang w:val="en-US" w:eastAsia="zh-CN"/>
                                </w:rPr>
                                <w:t>进场、</w:t>
                              </w:r>
                              <w:r>
                                <w:rPr>
                                  <w:rFonts w:hint="eastAsia"/>
                                </w:rPr>
                                <w:t>安装</w:t>
                              </w:r>
                              <w:r>
                                <w:rPr>
                                  <w:rFonts w:hint="eastAsia"/>
                                  <w:lang w:val="en-US" w:eastAsia="zh-CN"/>
                                </w:rPr>
                                <w:t>和</w:t>
                              </w:r>
                              <w:r>
                                <w:rPr>
                                  <w:rFonts w:hint="eastAsia"/>
                                </w:rPr>
                                <w:t>调试</w:t>
                              </w:r>
                            </w:p>
                          </w:txbxContent>
                        </v:textbox>
                      </v:rect>
                      <v:rect id="_x0000_s1026" o:spid="_x0000_s1026" o:spt="1" style="position:absolute;left:3172460;top:732790;height:406400;width:744220;" filled="f" stroked="t" coordsize="21600,21600" o:gfxdata="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&#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v53XH1QAAAAUBAAAPAAAAAAAAAAEAIAAAACIAAABk&#10;cnMvZG93bnJldi54bWxQSwECFAAUAAAACACHTuJAi73JmwkCAAAMBAAADgAAAAAAAAABACAAAAAk&#10;AQAAZHJzL2Uyb0RvYy54bWxQSwUGAAAAAAYABgBZAQAAnwUAAAAA&#10;">
                        <v:fill on="f" focussize="0,0"/>
                        <v:stroke color="#000000" joinstyle="miter"/>
                        <v:imagedata o:title=""/>
                        <o:lock v:ext="edit" aspectratio="f"/>
                        <v:textbox>
                          <w:txbxContent>
                            <w:p w14:paraId="7D75236E">
                              <w:pPr>
                                <w:spacing w:before="120" w:beforeLines="50"/>
                              </w:pPr>
                              <w:r>
                                <w:rPr>
                                  <w:rFonts w:hint="eastAsia"/>
                                </w:rPr>
                                <w:t>运营使用</w:t>
                              </w:r>
                            </w:p>
                          </w:txbxContent>
                        </v:textbox>
                      </v:rect>
                      <v:shape id="_x0000_s1026" o:spid="_x0000_s1026" o:spt="32" type="#_x0000_t32" style="position:absolute;left:2630170;top:935990;flip:y;height:5080;width:542290;" filled="f" stroked="t" coordsize="21600,21600" o:gfxdata="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ALIiFNUAAAAF&#10;AQAADwAAAAAAAAABACAAAAAiAAAAZHJzL2Rvd25yZXYueG1sUEsBAhQAFAAAAAgAh07iQNDzhG4f&#10;AgAAEAQAAA4AAAAAAAAAAQAgAAAAJAEAAGRycy9lMm9Eb2MueG1sUEsFBgAAAAAGAAYAWQEAALUF&#10;AAAAAA==&#10;">
                        <v:fill on="f" focussize="0,0"/>
                        <v:stroke color="#000000" joinstyle="miter" endarrow="open"/>
                        <v:imagedata o:title=""/>
                        <o:lock v:ext="edit" aspectratio="f"/>
                      </v:shape>
                      <v:rect id="_x0000_s1026" o:spid="_x0000_s1026" o:spt="1" style="position:absolute;left:948690;top:104775;height:406400;width:1704340;" filled="f" stroked="f" coordsize="21600,21600" o:gfxdata="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zlea0&#10;1wAAAAUBAAAPAAAAAAAAAAEAIAAAACIAAABkcnMvZG93bnJldi54bWxQSwECFAAUAAAACACHTuJA&#10;UU0e+bABAABNAwAADgAAAAAAAAABACAAAAAmAQAAZHJzL2Uyb0RvYy54bWxQSwUGAAAAAAYABgBZ&#10;AQAASAUAAAAA&#10;">
                        <v:fill on="f" focussize="0,0"/>
                        <v:stroke on="f"/>
                        <v:imagedata o:title=""/>
                        <o:lock v:ext="edit" aspectratio="f"/>
                        <v:textbox>
                          <w:txbxContent>
                            <w:p w14:paraId="5DF45D08">
                              <w:pPr>
                                <w:spacing w:before="120" w:beforeLines="50"/>
                              </w:pPr>
                              <w:r>
                                <w:rPr>
                                  <w:rFonts w:hint="eastAsia"/>
                                </w:rPr>
                                <w:t>废水、废气、噪声、固废</w:t>
                              </w:r>
                            </w:p>
                          </w:txbxContent>
                        </v:textbox>
                      </v:rect>
                      <v:shape id="_x0000_s1026" o:spid="_x0000_s1026" o:spt="32" type="#_x0000_t32" style="position:absolute;left:1800860;top:511175;flip:x y;height:222250;width:4445;" filled="f" stroked="t" coordsize="21600,21600" o:gfxdata="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ye071AAA&#10;AAUBAAAPAAAAAAAAAAEAIAAAACIAAABkcnMvZG93bnJldi54bWxQSwECFAAUAAAACACHTuJApHnC&#10;mSICAAAZBAAADgAAAAAAAAABACAAAAAjAQAAZHJzL2Uyb0RvYy54bWxQSwUGAAAAAAYABgBZAQAA&#10;twUAAAAA&#10;">
                        <v:fill on="f" focussize="0,0"/>
                        <v:stroke color="#000000" joinstyle="miter" dashstyle="dash" endarrow="open"/>
                        <v:imagedata o:title=""/>
                        <o:lock v:ext="edit" aspectratio="f"/>
                      </v:shape>
                      <w10:wrap type="none"/>
                      <w10:anchorlock/>
                    </v:group>
                  </w:pict>
                </mc:Fallback>
              </mc:AlternateContent>
            </w:r>
          </w:p>
          <w:p w14:paraId="398C82CA">
            <w:pPr>
              <w:pStyle w:val="2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auto"/>
                <w:lang w:val="en-US" w:eastAsia="zh-CN"/>
              </w:rPr>
            </w:pPr>
            <w:r>
              <w:rPr>
                <w:rFonts w:hint="eastAsia"/>
                <w:b/>
                <w:bCs/>
                <w:color w:val="auto"/>
                <w:lang w:val="en-US" w:eastAsia="zh-CN"/>
              </w:rPr>
              <w:t>图2-6  施工期工艺流程及产污环节</w:t>
            </w:r>
          </w:p>
          <w:p w14:paraId="450734F5">
            <w:pPr>
              <w:pStyle w:val="22"/>
              <w:bidi w:val="0"/>
              <w:rPr>
                <w:rFonts w:hint="eastAsia"/>
                <w:color w:val="auto"/>
              </w:rPr>
            </w:pPr>
            <w:r>
              <w:rPr>
                <w:rFonts w:hint="eastAsia"/>
                <w:color w:val="auto"/>
                <w:lang w:eastAsia="zh-CN"/>
              </w:rPr>
              <w:t>（</w:t>
            </w:r>
            <w:r>
              <w:rPr>
                <w:rFonts w:hint="eastAsia"/>
                <w:color w:val="auto"/>
                <w:lang w:val="en-US" w:eastAsia="zh-CN"/>
              </w:rPr>
              <w:t>3</w:t>
            </w:r>
            <w:r>
              <w:rPr>
                <w:rFonts w:hint="eastAsia"/>
                <w:color w:val="auto"/>
              </w:rPr>
              <w:t>）管线敷设</w:t>
            </w:r>
          </w:p>
          <w:p w14:paraId="4741BF4F">
            <w:pPr>
              <w:pStyle w:val="22"/>
              <w:bidi w:val="0"/>
              <w:rPr>
                <w:rFonts w:hint="eastAsia"/>
                <w:color w:val="auto"/>
              </w:rPr>
            </w:pPr>
            <w:r>
              <w:rPr>
                <w:rFonts w:hint="eastAsia"/>
                <w:color w:val="auto"/>
              </w:rPr>
              <w:t>项目计划敷设DN125管线295m，主要采用地下室架空敷设和</w:t>
            </w:r>
            <w:r>
              <w:rPr>
                <w:rFonts w:hint="eastAsia"/>
                <w:color w:val="auto"/>
                <w:lang w:eastAsia="zh-CN"/>
              </w:rPr>
              <w:t>顶管施工</w:t>
            </w:r>
            <w:r>
              <w:rPr>
                <w:rFonts w:hint="eastAsia"/>
                <w:color w:val="auto"/>
              </w:rPr>
              <w:t>方式。管线沿供热机房向东北敷设至回灌井（地下室架空敷设70m，</w:t>
            </w:r>
            <w:r>
              <w:rPr>
                <w:rFonts w:hint="eastAsia"/>
                <w:color w:val="auto"/>
                <w:lang w:eastAsia="zh-CN"/>
              </w:rPr>
              <w:t>顶管施工</w:t>
            </w:r>
            <w:r>
              <w:rPr>
                <w:rFonts w:hint="eastAsia"/>
                <w:color w:val="auto"/>
              </w:rPr>
              <w:t>225m</w:t>
            </w:r>
            <w:r>
              <w:rPr>
                <w:rFonts w:hint="eastAsia"/>
                <w:color w:val="auto"/>
                <w:lang w:eastAsia="zh-CN"/>
              </w:rPr>
              <w:t>）</w:t>
            </w:r>
            <w:r>
              <w:rPr>
                <w:rFonts w:hint="eastAsia"/>
                <w:color w:val="auto"/>
              </w:rPr>
              <w:t>，管线布局图见附图</w:t>
            </w:r>
            <w:r>
              <w:rPr>
                <w:rFonts w:hint="eastAsia"/>
                <w:color w:val="auto"/>
                <w:lang w:val="en-US" w:eastAsia="zh-CN"/>
              </w:rPr>
              <w:t>2-2</w:t>
            </w:r>
            <w:r>
              <w:rPr>
                <w:rFonts w:hint="eastAsia"/>
                <w:color w:val="auto"/>
              </w:rPr>
              <w:t>。</w:t>
            </w:r>
          </w:p>
          <w:p w14:paraId="428E7ED6">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b/>
                <w:bCs/>
                <w:color w:val="auto"/>
              </w:rPr>
            </w:pPr>
            <w:r>
              <w:rPr>
                <w:rFonts w:hint="eastAsia"/>
                <w:b/>
                <w:bCs/>
                <w:color w:val="auto"/>
                <w:lang w:val="en-US" w:eastAsia="zh-CN"/>
              </w:rPr>
              <w:t>2</w:t>
            </w:r>
            <w:r>
              <w:rPr>
                <w:rFonts w:hint="eastAsia"/>
                <w:b/>
                <w:bCs/>
                <w:color w:val="auto"/>
              </w:rPr>
              <w:t>、施工时序及建设周期</w:t>
            </w:r>
          </w:p>
          <w:p w14:paraId="1FE2BDCD">
            <w:pPr>
              <w:pStyle w:val="22"/>
              <w:bidi w:val="0"/>
              <w:rPr>
                <w:rFonts w:hint="eastAsia" w:ascii="宋体" w:hAnsi="宋体" w:cs="宋体"/>
                <w:color w:val="auto"/>
                <w:kern w:val="0"/>
                <w:szCs w:val="21"/>
              </w:rPr>
            </w:pPr>
            <w:r>
              <w:rPr>
                <w:rFonts w:hint="eastAsia"/>
                <w:color w:val="auto"/>
                <w:lang w:val="en-US" w:eastAsia="zh-CN"/>
              </w:rPr>
              <w:t>地热井和供热管线于小区建设时由开发商建成</w:t>
            </w:r>
            <w:r>
              <w:rPr>
                <w:rFonts w:hint="eastAsia"/>
                <w:color w:val="auto"/>
                <w:lang w:eastAsia="zh-CN"/>
              </w:rPr>
              <w:t>。</w:t>
            </w:r>
            <w:r>
              <w:rPr>
                <w:rFonts w:hint="eastAsia"/>
                <w:color w:val="auto"/>
                <w:lang w:val="en-US" w:eastAsia="zh-CN"/>
              </w:rPr>
              <w:t>回灌井、回灌管线及供热机房后续建设</w:t>
            </w:r>
            <w:r>
              <w:rPr>
                <w:rFonts w:hint="eastAsia"/>
                <w:color w:val="auto"/>
              </w:rPr>
              <w:t>施工期3个月。</w:t>
            </w:r>
          </w:p>
        </w:tc>
      </w:tr>
      <w:tr w14:paraId="787A27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83" w:hRule="atLeast"/>
          <w:jc w:val="center"/>
        </w:trPr>
        <w:tc>
          <w:tcPr>
            <w:tcW w:w="710" w:type="dxa"/>
            <w:noWrap w:val="0"/>
            <w:vAlign w:val="center"/>
          </w:tcPr>
          <w:p w14:paraId="536BC390">
            <w:pPr>
              <w:adjustRightInd w:val="0"/>
              <w:snapToGrid w:val="0"/>
              <w:jc w:val="both"/>
              <w:rPr>
                <w:rFonts w:ascii="宋体" w:hAnsi="宋体" w:cs="宋体"/>
                <w:color w:val="auto"/>
                <w:kern w:val="0"/>
                <w:sz w:val="24"/>
                <w:szCs w:val="24"/>
              </w:rPr>
            </w:pPr>
            <w:r>
              <w:rPr>
                <w:rFonts w:hint="eastAsia" w:ascii="宋体" w:hAnsi="宋体" w:cs="宋体"/>
                <w:color w:val="auto"/>
                <w:kern w:val="0"/>
                <w:sz w:val="24"/>
                <w:szCs w:val="24"/>
              </w:rPr>
              <w:t>其他</w:t>
            </w:r>
          </w:p>
        </w:tc>
        <w:tc>
          <w:tcPr>
            <w:tcW w:w="8380" w:type="dxa"/>
            <w:noWrap w:val="0"/>
            <w:vAlign w:val="center"/>
          </w:tcPr>
          <w:p w14:paraId="0A18CAD3">
            <w:pPr>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both"/>
              <w:textAlignment w:val="auto"/>
              <w:rPr>
                <w:rFonts w:hint="eastAsia"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无</w:t>
            </w:r>
          </w:p>
        </w:tc>
      </w:tr>
    </w:tbl>
    <w:p w14:paraId="0402D450">
      <w:pPr>
        <w:jc w:val="center"/>
        <w:outlineLvl w:val="0"/>
        <w:rPr>
          <w:rFonts w:ascii="黑体" w:hAnsi="黑体" w:eastAsia="黑体"/>
          <w:snapToGrid w:val="0"/>
          <w:color w:val="auto"/>
          <w:sz w:val="30"/>
          <w:szCs w:val="30"/>
        </w:rPr>
      </w:pPr>
      <w:r>
        <w:rPr>
          <w:rFonts w:eastAsia="仿宋_GB2312"/>
          <w:b/>
          <w:bCs/>
          <w:color w:val="auto"/>
        </w:rPr>
        <w:br w:type="page"/>
      </w:r>
      <w:r>
        <w:rPr>
          <w:rFonts w:hint="eastAsia" w:ascii="黑体" w:hAnsi="黑体" w:eastAsia="黑体"/>
          <w:snapToGrid w:val="0"/>
          <w:color w:val="auto"/>
          <w:sz w:val="30"/>
          <w:szCs w:val="30"/>
        </w:rPr>
        <w:t>三、生态环境现状、保护目标及评价标准</w:t>
      </w:r>
    </w:p>
    <w:tbl>
      <w:tblPr>
        <w:tblStyle w:val="15"/>
        <w:tblW w:w="915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4"/>
        <w:gridCol w:w="8253"/>
      </w:tblGrid>
      <w:tr w14:paraId="2DF42C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12" w:hRule="atLeast"/>
          <w:jc w:val="center"/>
        </w:trPr>
        <w:tc>
          <w:tcPr>
            <w:tcW w:w="904" w:type="dxa"/>
            <w:noWrap w:val="0"/>
            <w:vAlign w:val="center"/>
          </w:tcPr>
          <w:p w14:paraId="2804BD12">
            <w:pPr>
              <w:adjustRightInd w:val="0"/>
              <w:snapToGrid w:val="0"/>
              <w:jc w:val="center"/>
              <w:rPr>
                <w:rFonts w:ascii="宋体" w:hAnsi="宋体" w:cs="宋体"/>
                <w:color w:val="auto"/>
                <w:kern w:val="0"/>
                <w:szCs w:val="21"/>
              </w:rPr>
            </w:pPr>
            <w:r>
              <w:rPr>
                <w:rFonts w:hint="eastAsia" w:ascii="宋体" w:hAnsi="宋体" w:cs="宋体"/>
                <w:color w:val="auto"/>
                <w:kern w:val="0"/>
                <w:sz w:val="24"/>
                <w:szCs w:val="24"/>
              </w:rPr>
              <w:t>生态环境现状</w:t>
            </w:r>
          </w:p>
        </w:tc>
        <w:tc>
          <w:tcPr>
            <w:tcW w:w="8253" w:type="dxa"/>
            <w:noWrap w:val="0"/>
            <w:vAlign w:val="center"/>
          </w:tcPr>
          <w:p w14:paraId="53EEB1A0">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b/>
                <w:bCs/>
                <w:color w:val="auto"/>
              </w:rPr>
            </w:pPr>
            <w:r>
              <w:rPr>
                <w:rFonts w:hint="eastAsia"/>
                <w:b/>
                <w:bCs/>
                <w:color w:val="auto"/>
              </w:rPr>
              <w:t>1、功能区划情况</w:t>
            </w:r>
          </w:p>
          <w:p w14:paraId="3120EBB5">
            <w:pPr>
              <w:pStyle w:val="22"/>
              <w:bidi w:val="0"/>
              <w:rPr>
                <w:rFonts w:hint="eastAsia"/>
                <w:color w:val="auto"/>
              </w:rPr>
            </w:pPr>
            <w:r>
              <w:rPr>
                <w:rFonts w:hint="eastAsia"/>
                <w:color w:val="auto"/>
              </w:rPr>
              <w:t>主体功能区规划：根据《陕西省主体功能区划》，本项目位于陕西省西安市西郊红光路2号内西安热电阳光热力有限公司热源厂内，项目区属于</w:t>
            </w:r>
            <w:r>
              <w:rPr>
                <w:rFonts w:hint="eastAsia"/>
                <w:color w:val="auto"/>
                <w:lang w:eastAsia="zh-CN"/>
              </w:rPr>
              <w:t>“</w:t>
            </w:r>
            <w:r>
              <w:rPr>
                <w:rFonts w:hint="eastAsia"/>
                <w:color w:val="auto"/>
              </w:rPr>
              <w:t>国家层面重点开发区域</w:t>
            </w:r>
            <w:r>
              <w:rPr>
                <w:rFonts w:hint="eastAsia"/>
                <w:color w:val="auto"/>
                <w:lang w:eastAsia="zh-CN"/>
              </w:rPr>
              <w:t>“</w:t>
            </w:r>
            <w:r>
              <w:rPr>
                <w:rFonts w:hint="eastAsia"/>
                <w:color w:val="auto"/>
              </w:rPr>
              <w:t>中</w:t>
            </w:r>
            <w:r>
              <w:rPr>
                <w:rFonts w:hint="eastAsia"/>
                <w:color w:val="auto"/>
                <w:lang w:eastAsia="zh-CN"/>
              </w:rPr>
              <w:t>“</w:t>
            </w:r>
            <w:r>
              <w:rPr>
                <w:rFonts w:hint="eastAsia"/>
                <w:color w:val="auto"/>
              </w:rPr>
              <w:t>关中—天水经济区</w:t>
            </w:r>
            <w:r>
              <w:rPr>
                <w:rFonts w:hint="eastAsia"/>
                <w:color w:val="auto"/>
                <w:lang w:eastAsia="zh-CN"/>
              </w:rPr>
              <w:t>“</w:t>
            </w:r>
            <w:r>
              <w:rPr>
                <w:rFonts w:hint="eastAsia"/>
                <w:color w:val="auto"/>
              </w:rPr>
              <w:t>。</w:t>
            </w:r>
          </w:p>
          <w:p w14:paraId="241515D0">
            <w:pPr>
              <w:pStyle w:val="22"/>
              <w:bidi w:val="0"/>
              <w:rPr>
                <w:rFonts w:hint="eastAsia"/>
                <w:color w:val="auto"/>
              </w:rPr>
            </w:pPr>
            <w:r>
              <w:rPr>
                <w:rFonts w:hint="eastAsia"/>
                <w:color w:val="auto"/>
              </w:rPr>
              <w:t>生态功能区划：根据《陕西省生态功能区划》，项目区位于渭河谷地农业生态区中关中平原城镇</w:t>
            </w:r>
            <w:r>
              <w:rPr>
                <w:rFonts w:hint="eastAsia"/>
                <w:color w:val="auto"/>
                <w:lang w:val="en-US" w:eastAsia="zh-CN"/>
              </w:rPr>
              <w:t>及农业</w:t>
            </w:r>
            <w:r>
              <w:rPr>
                <w:rFonts w:hint="eastAsia"/>
                <w:color w:val="auto"/>
              </w:rPr>
              <w:t>区。</w:t>
            </w:r>
          </w:p>
          <w:p w14:paraId="16309A05">
            <w:pPr>
              <w:pStyle w:val="22"/>
              <w:bidi w:val="0"/>
              <w:rPr>
                <w:rFonts w:hint="eastAsia"/>
                <w:b/>
                <w:bCs/>
                <w:color w:val="auto"/>
              </w:rPr>
            </w:pPr>
            <w:r>
              <w:rPr>
                <w:rFonts w:hint="eastAsia"/>
                <w:b/>
                <w:bCs/>
                <w:color w:val="auto"/>
                <w:lang w:val="en-US" w:eastAsia="zh-CN"/>
              </w:rPr>
              <w:t>2、</w:t>
            </w:r>
            <w:r>
              <w:rPr>
                <w:rFonts w:hint="eastAsia"/>
                <w:b/>
                <w:bCs/>
                <w:color w:val="auto"/>
              </w:rPr>
              <w:t>区域环境质量及现状</w:t>
            </w:r>
          </w:p>
          <w:p w14:paraId="7D02CB92">
            <w:pPr>
              <w:pStyle w:val="22"/>
              <w:bidi w:val="0"/>
              <w:rPr>
                <w:rFonts w:hint="default"/>
                <w:color w:val="auto"/>
                <w:lang w:val="en-US" w:eastAsia="zh-CN"/>
              </w:rPr>
            </w:pPr>
            <w:r>
              <w:rPr>
                <w:rFonts w:hint="eastAsia"/>
                <w:color w:val="auto"/>
                <w:lang w:val="en-US" w:eastAsia="zh-CN"/>
              </w:rPr>
              <w:t>（1）</w:t>
            </w:r>
            <w:r>
              <w:rPr>
                <w:rFonts w:hint="eastAsia"/>
                <w:b w:val="0"/>
                <w:bCs/>
                <w:color w:val="auto"/>
                <w:sz w:val="24"/>
                <w:lang w:val="en-US" w:eastAsia="zh-CN"/>
              </w:rPr>
              <w:t>环境空气</w:t>
            </w:r>
            <w:r>
              <w:rPr>
                <w:b w:val="0"/>
                <w:bCs/>
                <w:color w:val="auto"/>
                <w:sz w:val="24"/>
              </w:rPr>
              <w:t>质量现状</w:t>
            </w:r>
          </w:p>
          <w:p w14:paraId="639968C8">
            <w:pPr>
              <w:spacing w:line="360" w:lineRule="auto"/>
              <w:ind w:firstLine="480" w:firstLineChars="200"/>
              <w:rPr>
                <w:color w:val="auto"/>
                <w:sz w:val="24"/>
              </w:rPr>
            </w:pPr>
            <w:r>
              <w:rPr>
                <w:color w:val="auto"/>
                <w:sz w:val="24"/>
                <w:highlight w:val="none"/>
              </w:rPr>
              <w:t>根据</w:t>
            </w:r>
            <w:r>
              <w:rPr>
                <w:rFonts w:hint="eastAsia"/>
                <w:color w:val="auto"/>
                <w:sz w:val="24"/>
                <w:highlight w:val="none"/>
              </w:rPr>
              <w:t>陕西省生态环境厅办公室</w:t>
            </w:r>
            <w:r>
              <w:rPr>
                <w:color w:val="auto"/>
                <w:sz w:val="24"/>
                <w:highlight w:val="none"/>
              </w:rPr>
              <w:t>202</w:t>
            </w:r>
            <w:r>
              <w:rPr>
                <w:rFonts w:hint="eastAsia"/>
                <w:color w:val="auto"/>
                <w:sz w:val="24"/>
                <w:highlight w:val="none"/>
                <w:lang w:val="en-US" w:eastAsia="zh-CN"/>
              </w:rPr>
              <w:t>5</w:t>
            </w:r>
            <w:r>
              <w:rPr>
                <w:color w:val="auto"/>
                <w:sz w:val="24"/>
                <w:highlight w:val="none"/>
              </w:rPr>
              <w:t>年1月</w:t>
            </w:r>
            <w:r>
              <w:rPr>
                <w:rFonts w:hint="eastAsia"/>
                <w:color w:val="auto"/>
                <w:sz w:val="24"/>
                <w:highlight w:val="none"/>
                <w:lang w:val="en-US" w:eastAsia="zh-CN"/>
              </w:rPr>
              <w:t>21</w:t>
            </w:r>
            <w:r>
              <w:rPr>
                <w:color w:val="auto"/>
                <w:sz w:val="24"/>
                <w:highlight w:val="none"/>
              </w:rPr>
              <w:t>日发布的《环保快报》附表</w:t>
            </w:r>
            <w:r>
              <w:rPr>
                <w:rFonts w:hint="eastAsia"/>
                <w:color w:val="auto"/>
                <w:sz w:val="24"/>
                <w:highlight w:val="none"/>
                <w:lang w:val="en-US" w:eastAsia="zh-CN"/>
              </w:rPr>
              <w:t>4</w:t>
            </w:r>
            <w:r>
              <w:rPr>
                <w:color w:val="auto"/>
                <w:sz w:val="24"/>
                <w:highlight w:val="none"/>
              </w:rPr>
              <w:t>：</w:t>
            </w:r>
            <w:r>
              <w:rPr>
                <w:rFonts w:hint="eastAsia" w:cs="Times New Roman"/>
                <w:bCs/>
                <w:color w:val="auto"/>
                <w:kern w:val="2"/>
                <w:sz w:val="24"/>
                <w:szCs w:val="24"/>
                <w:highlight w:val="none"/>
                <w:lang w:val="en-US" w:eastAsia="zh-CN" w:bidi="ar-SA"/>
              </w:rPr>
              <w:t>“</w:t>
            </w:r>
            <w:r>
              <w:rPr>
                <w:rFonts w:hint="eastAsia"/>
                <w:color w:val="auto"/>
                <w:sz w:val="24"/>
              </w:rPr>
              <w:t>202</w:t>
            </w:r>
            <w:r>
              <w:rPr>
                <w:rFonts w:hint="eastAsia"/>
                <w:color w:val="auto"/>
                <w:sz w:val="24"/>
                <w:lang w:val="en-US" w:eastAsia="zh-CN"/>
              </w:rPr>
              <w:t>4</w:t>
            </w:r>
            <w:r>
              <w:rPr>
                <w:rFonts w:hint="eastAsia"/>
                <w:color w:val="auto"/>
                <w:sz w:val="24"/>
              </w:rPr>
              <w:t>年1～12月关中地区6</w:t>
            </w:r>
            <w:r>
              <w:rPr>
                <w:rFonts w:hint="eastAsia"/>
                <w:color w:val="auto"/>
                <w:sz w:val="24"/>
                <w:lang w:val="en-US" w:eastAsia="zh-CN"/>
              </w:rPr>
              <w:t>3</w:t>
            </w:r>
            <w:r>
              <w:rPr>
                <w:rFonts w:hint="eastAsia"/>
                <w:color w:val="auto"/>
                <w:sz w:val="24"/>
              </w:rPr>
              <w:t>个县（区）空气质量状况统计表</w:t>
            </w:r>
            <w:r>
              <w:rPr>
                <w:rFonts w:hint="eastAsia" w:cs="Times New Roman"/>
                <w:bCs/>
                <w:color w:val="auto"/>
                <w:kern w:val="2"/>
                <w:sz w:val="24"/>
                <w:szCs w:val="24"/>
                <w:highlight w:val="none"/>
                <w:lang w:val="en-US" w:eastAsia="zh-CN" w:bidi="ar-SA"/>
              </w:rPr>
              <w:t>“</w:t>
            </w:r>
            <w:r>
              <w:rPr>
                <w:rFonts w:ascii="Times New Roman" w:hAnsi="Times New Roman" w:eastAsia="宋体" w:cs="Times New Roman"/>
                <w:bCs/>
                <w:color w:val="auto"/>
                <w:kern w:val="2"/>
                <w:sz w:val="24"/>
                <w:szCs w:val="24"/>
                <w:highlight w:val="none"/>
                <w:lang w:val="en-US" w:eastAsia="zh-CN" w:bidi="ar-SA"/>
              </w:rPr>
              <w:t>中</w:t>
            </w:r>
            <w:r>
              <w:rPr>
                <w:rFonts w:hint="eastAsia" w:ascii="Times New Roman" w:hAnsi="Times New Roman" w:eastAsia="宋体" w:cs="Times New Roman"/>
                <w:bCs/>
                <w:color w:val="auto"/>
                <w:kern w:val="2"/>
                <w:sz w:val="24"/>
                <w:szCs w:val="24"/>
                <w:highlight w:val="none"/>
                <w:lang w:val="en-US" w:eastAsia="zh-CN" w:bidi="ar-SA"/>
              </w:rPr>
              <w:t>西安市西咸新区环境</w:t>
            </w:r>
            <w:r>
              <w:rPr>
                <w:rFonts w:ascii="Times New Roman" w:hAnsi="Times New Roman" w:eastAsia="宋体" w:cs="Times New Roman"/>
                <w:bCs/>
                <w:color w:val="auto"/>
                <w:kern w:val="2"/>
                <w:sz w:val="24"/>
                <w:szCs w:val="24"/>
                <w:highlight w:val="none"/>
                <w:lang w:val="en-US" w:eastAsia="zh-CN" w:bidi="ar-SA"/>
              </w:rPr>
              <w:t>空气</w:t>
            </w:r>
            <w:r>
              <w:rPr>
                <w:rFonts w:hint="eastAsia" w:ascii="Times New Roman" w:hAnsi="Times New Roman" w:eastAsia="宋体" w:cs="Times New Roman"/>
                <w:bCs/>
                <w:color w:val="auto"/>
                <w:kern w:val="2"/>
                <w:sz w:val="24"/>
                <w:szCs w:val="24"/>
                <w:highlight w:val="none"/>
                <w:lang w:val="en-US" w:eastAsia="zh-CN" w:bidi="ar-SA"/>
              </w:rPr>
              <w:t>质量数据进行评价，评价因子主要有SO</w:t>
            </w:r>
            <w:r>
              <w:rPr>
                <w:rFonts w:hint="eastAsia" w:ascii="Times New Roman" w:hAnsi="Times New Roman" w:eastAsia="宋体" w:cs="Times New Roman"/>
                <w:bCs/>
                <w:color w:val="auto"/>
                <w:kern w:val="2"/>
                <w:sz w:val="24"/>
                <w:szCs w:val="24"/>
                <w:highlight w:val="none"/>
                <w:vertAlign w:val="subscript"/>
                <w:lang w:val="en-US" w:eastAsia="zh-CN" w:bidi="ar-SA"/>
              </w:rPr>
              <w:t>2</w:t>
            </w:r>
            <w:r>
              <w:rPr>
                <w:rFonts w:hint="eastAsia" w:ascii="Times New Roman" w:hAnsi="Times New Roman" w:eastAsia="宋体" w:cs="Times New Roman"/>
                <w:bCs/>
                <w:color w:val="auto"/>
                <w:kern w:val="2"/>
                <w:sz w:val="24"/>
                <w:szCs w:val="24"/>
                <w:highlight w:val="none"/>
                <w:lang w:val="en-US" w:eastAsia="zh-CN" w:bidi="ar-SA"/>
              </w:rPr>
              <w:t>、NO</w:t>
            </w:r>
            <w:r>
              <w:rPr>
                <w:rFonts w:hint="eastAsia" w:ascii="Times New Roman" w:hAnsi="Times New Roman" w:eastAsia="宋体" w:cs="Times New Roman"/>
                <w:bCs/>
                <w:color w:val="auto"/>
                <w:kern w:val="2"/>
                <w:sz w:val="24"/>
                <w:szCs w:val="24"/>
                <w:highlight w:val="none"/>
                <w:vertAlign w:val="subscript"/>
                <w:lang w:val="en-US" w:eastAsia="zh-CN" w:bidi="ar-SA"/>
              </w:rPr>
              <w:t>2</w:t>
            </w:r>
            <w:r>
              <w:rPr>
                <w:rFonts w:hint="eastAsia" w:ascii="Times New Roman" w:hAnsi="Times New Roman" w:eastAsia="宋体" w:cs="Times New Roman"/>
                <w:bCs/>
                <w:color w:val="auto"/>
                <w:kern w:val="2"/>
                <w:sz w:val="24"/>
                <w:szCs w:val="24"/>
                <w:highlight w:val="none"/>
                <w:lang w:val="en-US" w:eastAsia="zh-CN" w:bidi="ar-SA"/>
              </w:rPr>
              <w:t>、PM</w:t>
            </w:r>
            <w:r>
              <w:rPr>
                <w:rFonts w:hint="eastAsia" w:ascii="Times New Roman" w:hAnsi="Times New Roman" w:eastAsia="宋体" w:cs="Times New Roman"/>
                <w:bCs/>
                <w:color w:val="auto"/>
                <w:kern w:val="2"/>
                <w:sz w:val="24"/>
                <w:szCs w:val="24"/>
                <w:highlight w:val="none"/>
                <w:vertAlign w:val="subscript"/>
                <w:lang w:val="en-US" w:eastAsia="zh-CN" w:bidi="ar-SA"/>
              </w:rPr>
              <w:t>10</w:t>
            </w:r>
            <w:r>
              <w:rPr>
                <w:rFonts w:hint="eastAsia" w:ascii="Times New Roman" w:hAnsi="Times New Roman" w:eastAsia="宋体" w:cs="Times New Roman"/>
                <w:bCs/>
                <w:color w:val="auto"/>
                <w:kern w:val="2"/>
                <w:sz w:val="24"/>
                <w:szCs w:val="24"/>
                <w:highlight w:val="none"/>
                <w:lang w:val="en-US" w:eastAsia="zh-CN" w:bidi="ar-SA"/>
              </w:rPr>
              <w:t>、PM</w:t>
            </w:r>
            <w:r>
              <w:rPr>
                <w:rFonts w:hint="eastAsia" w:ascii="Times New Roman" w:hAnsi="Times New Roman" w:eastAsia="宋体" w:cs="Times New Roman"/>
                <w:bCs/>
                <w:color w:val="auto"/>
                <w:kern w:val="2"/>
                <w:sz w:val="24"/>
                <w:szCs w:val="24"/>
                <w:highlight w:val="none"/>
                <w:vertAlign w:val="subscript"/>
                <w:lang w:val="en-US" w:eastAsia="zh-CN" w:bidi="ar-SA"/>
              </w:rPr>
              <w:t>2.5</w:t>
            </w:r>
            <w:r>
              <w:rPr>
                <w:rFonts w:hint="eastAsia" w:ascii="Times New Roman" w:hAnsi="Times New Roman" w:eastAsia="宋体" w:cs="Times New Roman"/>
                <w:bCs/>
                <w:color w:val="auto"/>
                <w:kern w:val="2"/>
                <w:sz w:val="24"/>
                <w:szCs w:val="24"/>
                <w:highlight w:val="none"/>
                <w:lang w:val="en-US" w:eastAsia="zh-CN" w:bidi="ar-SA"/>
              </w:rPr>
              <w:t>、CO、O</w:t>
            </w:r>
            <w:r>
              <w:rPr>
                <w:rFonts w:hint="eastAsia" w:ascii="Times New Roman" w:hAnsi="Times New Roman" w:eastAsia="宋体" w:cs="Times New Roman"/>
                <w:bCs/>
                <w:color w:val="auto"/>
                <w:kern w:val="2"/>
                <w:sz w:val="24"/>
                <w:szCs w:val="24"/>
                <w:highlight w:val="none"/>
                <w:vertAlign w:val="subscript"/>
                <w:lang w:val="en-US" w:eastAsia="zh-CN" w:bidi="ar-SA"/>
              </w:rPr>
              <w:t>3</w:t>
            </w:r>
            <w:r>
              <w:rPr>
                <w:rFonts w:hint="eastAsia" w:ascii="Times New Roman" w:hAnsi="Times New Roman" w:eastAsia="宋体" w:cs="Times New Roman"/>
                <w:bCs/>
                <w:color w:val="auto"/>
                <w:kern w:val="2"/>
                <w:sz w:val="24"/>
                <w:szCs w:val="24"/>
                <w:highlight w:val="none"/>
                <w:lang w:val="en-US" w:eastAsia="zh-CN" w:bidi="ar-SA"/>
              </w:rPr>
              <w:t>六项指标，</w:t>
            </w:r>
            <w:r>
              <w:rPr>
                <w:rFonts w:ascii="Times New Roman" w:hAnsi="Times New Roman" w:eastAsia="宋体" w:cs="Times New Roman"/>
                <w:bCs/>
                <w:color w:val="auto"/>
                <w:kern w:val="2"/>
                <w:sz w:val="24"/>
                <w:szCs w:val="24"/>
                <w:highlight w:val="none"/>
                <w:lang w:val="en-US" w:eastAsia="zh-CN" w:bidi="ar-SA"/>
              </w:rPr>
              <w:t>环境空气质量现状统计结果见下表。</w:t>
            </w:r>
          </w:p>
          <w:p w14:paraId="3B624FA4">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 xml:space="preserve">3-1  </w:t>
            </w:r>
            <w:r>
              <w:rPr>
                <w:rFonts w:hAnsi="Times New Roman" w:cs="Times New Roman"/>
                <w:b/>
                <w:bCs/>
                <w:color w:val="auto"/>
                <w:kern w:val="21"/>
                <w:szCs w:val="24"/>
              </w:rPr>
              <w:t>空气质量状况统计结果</w:t>
            </w:r>
          </w:p>
          <w:tbl>
            <w:tblPr>
              <w:tblStyle w:val="15"/>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78"/>
              <w:gridCol w:w="2162"/>
              <w:gridCol w:w="1328"/>
              <w:gridCol w:w="1148"/>
              <w:gridCol w:w="1333"/>
              <w:gridCol w:w="1169"/>
            </w:tblGrid>
            <w:tr w14:paraId="73376F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02" w:type="pct"/>
                  <w:noWrap w:val="0"/>
                  <w:vAlign w:val="center"/>
                </w:tcPr>
                <w:p w14:paraId="537285E8">
                  <w:pPr>
                    <w:pStyle w:val="14"/>
                    <w:spacing w:after="0"/>
                    <w:ind w:left="0" w:leftChars="0" w:firstLine="0" w:firstLineChars="0"/>
                    <w:jc w:val="center"/>
                    <w:rPr>
                      <w:b/>
                      <w:bCs/>
                      <w:color w:val="auto"/>
                      <w:sz w:val="21"/>
                      <w:szCs w:val="21"/>
                    </w:rPr>
                  </w:pPr>
                  <w:r>
                    <w:rPr>
                      <w:b/>
                      <w:bCs/>
                      <w:color w:val="auto"/>
                      <w:sz w:val="21"/>
                      <w:szCs w:val="21"/>
                    </w:rPr>
                    <w:t>污染物</w:t>
                  </w:r>
                </w:p>
              </w:tc>
              <w:tc>
                <w:tcPr>
                  <w:tcW w:w="1331" w:type="pct"/>
                  <w:noWrap w:val="0"/>
                  <w:vAlign w:val="center"/>
                </w:tcPr>
                <w:p w14:paraId="28AF9627">
                  <w:pPr>
                    <w:pStyle w:val="14"/>
                    <w:spacing w:after="0"/>
                    <w:ind w:left="0" w:leftChars="0" w:firstLine="0" w:firstLineChars="0"/>
                    <w:jc w:val="center"/>
                    <w:rPr>
                      <w:b/>
                      <w:bCs/>
                      <w:color w:val="auto"/>
                      <w:sz w:val="21"/>
                      <w:szCs w:val="21"/>
                    </w:rPr>
                  </w:pPr>
                  <w:r>
                    <w:rPr>
                      <w:b/>
                      <w:bCs/>
                      <w:color w:val="auto"/>
                      <w:sz w:val="21"/>
                      <w:szCs w:val="21"/>
                    </w:rPr>
                    <w:t>年评价指标</w:t>
                  </w:r>
                </w:p>
              </w:tc>
              <w:tc>
                <w:tcPr>
                  <w:tcW w:w="817" w:type="pct"/>
                  <w:noWrap w:val="0"/>
                  <w:vAlign w:val="center"/>
                </w:tcPr>
                <w:p w14:paraId="73654F93">
                  <w:pPr>
                    <w:pStyle w:val="14"/>
                    <w:spacing w:after="0"/>
                    <w:ind w:left="0" w:leftChars="0" w:firstLine="0" w:firstLineChars="0"/>
                    <w:jc w:val="center"/>
                    <w:rPr>
                      <w:b/>
                      <w:bCs/>
                      <w:color w:val="auto"/>
                      <w:sz w:val="21"/>
                      <w:szCs w:val="21"/>
                    </w:rPr>
                  </w:pPr>
                  <w:r>
                    <w:rPr>
                      <w:b/>
                      <w:bCs/>
                      <w:color w:val="auto"/>
                      <w:sz w:val="21"/>
                      <w:szCs w:val="21"/>
                    </w:rPr>
                    <w:t>现状浓度</w:t>
                  </w:r>
                  <w:r>
                    <w:rPr>
                      <w:b/>
                      <w:bCs w:val="0"/>
                      <w:color w:val="auto"/>
                      <w:sz w:val="21"/>
                      <w:szCs w:val="21"/>
                    </w:rPr>
                    <w:t>(μg/m³)</w:t>
                  </w:r>
                </w:p>
              </w:tc>
              <w:tc>
                <w:tcPr>
                  <w:tcW w:w="707" w:type="pct"/>
                  <w:noWrap w:val="0"/>
                  <w:vAlign w:val="center"/>
                </w:tcPr>
                <w:p w14:paraId="7314C1A0">
                  <w:pPr>
                    <w:pStyle w:val="14"/>
                    <w:spacing w:after="0"/>
                    <w:ind w:left="0" w:leftChars="0" w:firstLine="0" w:firstLineChars="0"/>
                    <w:jc w:val="center"/>
                    <w:rPr>
                      <w:b/>
                      <w:bCs/>
                      <w:color w:val="auto"/>
                      <w:sz w:val="21"/>
                      <w:szCs w:val="21"/>
                    </w:rPr>
                  </w:pPr>
                  <w:r>
                    <w:rPr>
                      <w:b/>
                      <w:bCs/>
                      <w:color w:val="auto"/>
                      <w:sz w:val="21"/>
                      <w:szCs w:val="21"/>
                    </w:rPr>
                    <w:t>标准值</w:t>
                  </w:r>
                  <w:r>
                    <w:rPr>
                      <w:b/>
                      <w:bCs w:val="0"/>
                      <w:color w:val="auto"/>
                      <w:sz w:val="21"/>
                      <w:szCs w:val="21"/>
                    </w:rPr>
                    <w:t>(μg/m³)</w:t>
                  </w:r>
                </w:p>
              </w:tc>
              <w:tc>
                <w:tcPr>
                  <w:tcW w:w="821" w:type="pct"/>
                  <w:noWrap w:val="0"/>
                  <w:vAlign w:val="center"/>
                </w:tcPr>
                <w:p w14:paraId="619AC9C8">
                  <w:pPr>
                    <w:pStyle w:val="14"/>
                    <w:spacing w:after="0"/>
                    <w:ind w:left="0" w:leftChars="0" w:firstLine="0" w:firstLineChars="0"/>
                    <w:jc w:val="center"/>
                    <w:rPr>
                      <w:b/>
                      <w:bCs/>
                      <w:color w:val="auto"/>
                      <w:sz w:val="21"/>
                      <w:szCs w:val="21"/>
                    </w:rPr>
                  </w:pPr>
                  <w:r>
                    <w:rPr>
                      <w:rFonts w:hint="eastAsia"/>
                      <w:b/>
                      <w:bCs/>
                      <w:color w:val="auto"/>
                      <w:sz w:val="21"/>
                      <w:szCs w:val="21"/>
                    </w:rPr>
                    <w:t>最大浓度占标率</w:t>
                  </w:r>
                  <w:r>
                    <w:rPr>
                      <w:b/>
                      <w:bCs w:val="0"/>
                      <w:color w:val="auto"/>
                      <w:sz w:val="21"/>
                      <w:szCs w:val="21"/>
                    </w:rPr>
                    <w:t>%</w:t>
                  </w:r>
                </w:p>
              </w:tc>
              <w:tc>
                <w:tcPr>
                  <w:tcW w:w="720" w:type="pct"/>
                  <w:noWrap w:val="0"/>
                  <w:vAlign w:val="center"/>
                </w:tcPr>
                <w:p w14:paraId="59BFC770">
                  <w:pPr>
                    <w:pStyle w:val="14"/>
                    <w:spacing w:after="0"/>
                    <w:ind w:left="0" w:leftChars="0" w:firstLine="0" w:firstLineChars="0"/>
                    <w:jc w:val="center"/>
                    <w:rPr>
                      <w:b/>
                      <w:bCs/>
                      <w:color w:val="auto"/>
                      <w:sz w:val="21"/>
                      <w:szCs w:val="21"/>
                    </w:rPr>
                  </w:pPr>
                  <w:r>
                    <w:rPr>
                      <w:b/>
                      <w:bCs/>
                      <w:color w:val="auto"/>
                      <w:sz w:val="21"/>
                      <w:szCs w:val="21"/>
                    </w:rPr>
                    <w:t>达标情况</w:t>
                  </w:r>
                </w:p>
              </w:tc>
            </w:tr>
            <w:tr w14:paraId="61E397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2" w:type="pct"/>
                  <w:noWrap w:val="0"/>
                  <w:vAlign w:val="center"/>
                </w:tcPr>
                <w:p w14:paraId="379E7482">
                  <w:pPr>
                    <w:adjustRightInd w:val="0"/>
                    <w:snapToGrid w:val="0"/>
                    <w:jc w:val="center"/>
                    <w:rPr>
                      <w:color w:val="auto"/>
                      <w:sz w:val="21"/>
                      <w:szCs w:val="21"/>
                    </w:rPr>
                  </w:pPr>
                  <w:r>
                    <w:rPr>
                      <w:bCs/>
                      <w:color w:val="auto"/>
                      <w:sz w:val="21"/>
                      <w:szCs w:val="21"/>
                    </w:rPr>
                    <w:t>SO</w:t>
                  </w:r>
                  <w:r>
                    <w:rPr>
                      <w:bCs/>
                      <w:color w:val="auto"/>
                      <w:sz w:val="21"/>
                      <w:szCs w:val="21"/>
                      <w:vertAlign w:val="subscript"/>
                    </w:rPr>
                    <w:t>2</w:t>
                  </w:r>
                </w:p>
              </w:tc>
              <w:tc>
                <w:tcPr>
                  <w:tcW w:w="1331" w:type="pct"/>
                  <w:noWrap w:val="0"/>
                  <w:vAlign w:val="center"/>
                </w:tcPr>
                <w:p w14:paraId="529C0D62">
                  <w:pPr>
                    <w:pStyle w:val="14"/>
                    <w:spacing w:after="0"/>
                    <w:ind w:left="0" w:leftChars="0" w:firstLine="0" w:firstLineChars="0"/>
                    <w:jc w:val="center"/>
                    <w:rPr>
                      <w:color w:val="auto"/>
                      <w:sz w:val="21"/>
                      <w:szCs w:val="21"/>
                    </w:rPr>
                  </w:pPr>
                  <w:r>
                    <w:rPr>
                      <w:color w:val="auto"/>
                      <w:sz w:val="21"/>
                      <w:szCs w:val="21"/>
                    </w:rPr>
                    <w:t>年平均质量浓度</w:t>
                  </w:r>
                </w:p>
              </w:tc>
              <w:tc>
                <w:tcPr>
                  <w:tcW w:w="817" w:type="pct"/>
                  <w:shd w:val="clear" w:color="auto" w:fill="auto"/>
                  <w:noWrap w:val="0"/>
                  <w:vAlign w:val="center"/>
                </w:tcPr>
                <w:p w14:paraId="2515EEF6">
                  <w:pPr>
                    <w:pStyle w:val="14"/>
                    <w:spacing w:after="0"/>
                    <w:ind w:left="0" w:leftChars="0" w:firstLine="0" w:firstLineChars="0"/>
                    <w:jc w:val="center"/>
                    <w:rPr>
                      <w:rFonts w:hint="eastAsia" w:ascii="Times New Roman" w:hAnsi="Times New Roman" w:eastAsia="宋体" w:cs="Times New Roman"/>
                      <w:bCs/>
                      <w:color w:val="auto"/>
                      <w:kern w:val="0"/>
                      <w:sz w:val="21"/>
                      <w:szCs w:val="21"/>
                      <w:lang w:val="en-US" w:eastAsia="zh-CN" w:bidi="ar-SA"/>
                    </w:rPr>
                  </w:pPr>
                  <w:r>
                    <w:rPr>
                      <w:rFonts w:hint="eastAsia"/>
                      <w:bCs/>
                      <w:color w:val="auto"/>
                      <w:sz w:val="21"/>
                      <w:szCs w:val="21"/>
                      <w:lang w:val="en-US" w:eastAsia="zh-CN"/>
                    </w:rPr>
                    <w:t>5</w:t>
                  </w:r>
                </w:p>
              </w:tc>
              <w:tc>
                <w:tcPr>
                  <w:tcW w:w="707" w:type="pct"/>
                  <w:shd w:val="clear" w:color="auto" w:fill="auto"/>
                  <w:noWrap w:val="0"/>
                  <w:vAlign w:val="center"/>
                </w:tcPr>
                <w:p w14:paraId="31E1101D">
                  <w:pPr>
                    <w:pStyle w:val="14"/>
                    <w:spacing w:after="0"/>
                    <w:ind w:left="0" w:leftChars="0" w:firstLine="0" w:firstLineChars="0"/>
                    <w:jc w:val="center"/>
                    <w:rPr>
                      <w:rFonts w:ascii="Times New Roman" w:hAnsi="Times New Roman" w:eastAsia="宋体" w:cs="Times New Roman"/>
                      <w:bCs/>
                      <w:color w:val="auto"/>
                      <w:kern w:val="0"/>
                      <w:sz w:val="21"/>
                      <w:szCs w:val="21"/>
                      <w:lang w:val="en-US" w:eastAsia="zh-CN" w:bidi="ar-SA"/>
                    </w:rPr>
                  </w:pPr>
                  <w:r>
                    <w:rPr>
                      <w:bCs/>
                      <w:color w:val="auto"/>
                      <w:sz w:val="21"/>
                      <w:szCs w:val="21"/>
                    </w:rPr>
                    <w:t>60</w:t>
                  </w:r>
                </w:p>
              </w:tc>
              <w:tc>
                <w:tcPr>
                  <w:tcW w:w="821" w:type="pct"/>
                  <w:shd w:val="clear" w:color="auto" w:fill="auto"/>
                  <w:noWrap w:val="0"/>
                  <w:vAlign w:val="center"/>
                </w:tcPr>
                <w:p w14:paraId="602478F4">
                  <w:pPr>
                    <w:pStyle w:val="14"/>
                    <w:spacing w:after="0"/>
                    <w:ind w:left="0" w:leftChars="0" w:firstLine="0" w:firstLineChars="0"/>
                    <w:jc w:val="center"/>
                    <w:rPr>
                      <w:rFonts w:hint="default" w:ascii="Times New Roman" w:hAnsi="Times New Roman" w:eastAsia="宋体" w:cs="Times New Roman"/>
                      <w:bCs/>
                      <w:color w:val="auto"/>
                      <w:kern w:val="0"/>
                      <w:sz w:val="21"/>
                      <w:szCs w:val="21"/>
                      <w:lang w:val="en-US" w:eastAsia="zh-CN" w:bidi="ar-SA"/>
                    </w:rPr>
                  </w:pPr>
                  <w:r>
                    <w:rPr>
                      <w:rFonts w:hint="eastAsia"/>
                      <w:bCs/>
                      <w:color w:val="auto"/>
                      <w:sz w:val="21"/>
                      <w:szCs w:val="21"/>
                      <w:lang w:val="en-US" w:eastAsia="zh-CN"/>
                    </w:rPr>
                    <w:t>8.3</w:t>
                  </w:r>
                </w:p>
              </w:tc>
              <w:tc>
                <w:tcPr>
                  <w:tcW w:w="720" w:type="pct"/>
                  <w:noWrap w:val="0"/>
                  <w:vAlign w:val="center"/>
                </w:tcPr>
                <w:p w14:paraId="6D1C8AF5">
                  <w:pPr>
                    <w:pStyle w:val="14"/>
                    <w:spacing w:after="0"/>
                    <w:ind w:left="0" w:leftChars="0" w:firstLine="0" w:firstLineChars="0"/>
                    <w:jc w:val="center"/>
                    <w:rPr>
                      <w:bCs/>
                      <w:color w:val="auto"/>
                      <w:sz w:val="21"/>
                      <w:szCs w:val="21"/>
                    </w:rPr>
                  </w:pPr>
                  <w:r>
                    <w:rPr>
                      <w:bCs/>
                      <w:color w:val="auto"/>
                      <w:sz w:val="21"/>
                      <w:szCs w:val="21"/>
                    </w:rPr>
                    <w:t>达标</w:t>
                  </w:r>
                </w:p>
              </w:tc>
            </w:tr>
            <w:tr w14:paraId="0604CF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2" w:type="pct"/>
                  <w:noWrap w:val="0"/>
                  <w:vAlign w:val="center"/>
                </w:tcPr>
                <w:p w14:paraId="08459FBC">
                  <w:pPr>
                    <w:adjustRightInd w:val="0"/>
                    <w:snapToGrid w:val="0"/>
                    <w:jc w:val="center"/>
                    <w:rPr>
                      <w:color w:val="auto"/>
                      <w:sz w:val="21"/>
                      <w:szCs w:val="21"/>
                    </w:rPr>
                  </w:pPr>
                  <w:r>
                    <w:rPr>
                      <w:bCs/>
                      <w:color w:val="auto"/>
                      <w:sz w:val="21"/>
                      <w:szCs w:val="21"/>
                    </w:rPr>
                    <w:t>NO</w:t>
                  </w:r>
                  <w:r>
                    <w:rPr>
                      <w:bCs/>
                      <w:color w:val="auto"/>
                      <w:sz w:val="21"/>
                      <w:szCs w:val="21"/>
                      <w:vertAlign w:val="subscript"/>
                    </w:rPr>
                    <w:t>2</w:t>
                  </w:r>
                </w:p>
              </w:tc>
              <w:tc>
                <w:tcPr>
                  <w:tcW w:w="1331" w:type="pct"/>
                  <w:noWrap w:val="0"/>
                  <w:vAlign w:val="center"/>
                </w:tcPr>
                <w:p w14:paraId="1638DFF6">
                  <w:pPr>
                    <w:pStyle w:val="14"/>
                    <w:spacing w:after="0"/>
                    <w:ind w:left="0" w:leftChars="0" w:firstLine="0" w:firstLineChars="0"/>
                    <w:jc w:val="center"/>
                    <w:rPr>
                      <w:color w:val="auto"/>
                      <w:sz w:val="21"/>
                      <w:szCs w:val="21"/>
                    </w:rPr>
                  </w:pPr>
                  <w:r>
                    <w:rPr>
                      <w:color w:val="auto"/>
                      <w:sz w:val="21"/>
                      <w:szCs w:val="21"/>
                    </w:rPr>
                    <w:t>年平均质量浓度</w:t>
                  </w:r>
                </w:p>
              </w:tc>
              <w:tc>
                <w:tcPr>
                  <w:tcW w:w="817" w:type="pct"/>
                  <w:shd w:val="clear" w:color="auto" w:fill="auto"/>
                  <w:noWrap w:val="0"/>
                  <w:vAlign w:val="center"/>
                </w:tcPr>
                <w:p w14:paraId="05122375">
                  <w:pPr>
                    <w:pStyle w:val="14"/>
                    <w:spacing w:after="0"/>
                    <w:ind w:left="0" w:leftChars="0" w:firstLine="0" w:firstLineChars="0"/>
                    <w:jc w:val="center"/>
                    <w:rPr>
                      <w:rFonts w:hint="default" w:ascii="Times New Roman" w:hAnsi="Times New Roman" w:eastAsia="宋体" w:cs="Times New Roman"/>
                      <w:bCs/>
                      <w:color w:val="auto"/>
                      <w:kern w:val="0"/>
                      <w:sz w:val="21"/>
                      <w:szCs w:val="21"/>
                      <w:lang w:val="en-US" w:eastAsia="zh-CN" w:bidi="ar-SA"/>
                    </w:rPr>
                  </w:pPr>
                  <w:r>
                    <w:rPr>
                      <w:rFonts w:hint="eastAsia"/>
                      <w:bCs/>
                      <w:color w:val="auto"/>
                      <w:sz w:val="21"/>
                      <w:szCs w:val="21"/>
                      <w:lang w:val="en-US" w:eastAsia="zh-CN"/>
                    </w:rPr>
                    <w:t>31</w:t>
                  </w:r>
                </w:p>
              </w:tc>
              <w:tc>
                <w:tcPr>
                  <w:tcW w:w="707" w:type="pct"/>
                  <w:shd w:val="clear" w:color="auto" w:fill="auto"/>
                  <w:noWrap w:val="0"/>
                  <w:vAlign w:val="center"/>
                </w:tcPr>
                <w:p w14:paraId="01B5AF34">
                  <w:pPr>
                    <w:pStyle w:val="14"/>
                    <w:spacing w:after="0"/>
                    <w:ind w:left="0" w:leftChars="0" w:firstLine="0" w:firstLineChars="0"/>
                    <w:jc w:val="center"/>
                    <w:rPr>
                      <w:rFonts w:ascii="Times New Roman" w:hAnsi="Times New Roman" w:eastAsia="宋体" w:cs="Times New Roman"/>
                      <w:bCs/>
                      <w:color w:val="auto"/>
                      <w:kern w:val="0"/>
                      <w:sz w:val="21"/>
                      <w:szCs w:val="21"/>
                      <w:lang w:val="en-US" w:eastAsia="zh-CN" w:bidi="ar-SA"/>
                    </w:rPr>
                  </w:pPr>
                  <w:r>
                    <w:rPr>
                      <w:bCs/>
                      <w:color w:val="auto"/>
                      <w:sz w:val="21"/>
                      <w:szCs w:val="21"/>
                    </w:rPr>
                    <w:t>40</w:t>
                  </w:r>
                </w:p>
              </w:tc>
              <w:tc>
                <w:tcPr>
                  <w:tcW w:w="821" w:type="pct"/>
                  <w:shd w:val="clear" w:color="auto" w:fill="auto"/>
                  <w:noWrap w:val="0"/>
                  <w:vAlign w:val="center"/>
                </w:tcPr>
                <w:p w14:paraId="62AFBDC0">
                  <w:pPr>
                    <w:pStyle w:val="14"/>
                    <w:spacing w:after="0"/>
                    <w:ind w:left="0" w:leftChars="0" w:firstLine="0" w:firstLineChars="0"/>
                    <w:jc w:val="center"/>
                    <w:rPr>
                      <w:rFonts w:ascii="Times New Roman" w:hAnsi="Times New Roman" w:eastAsia="宋体" w:cs="Times New Roman"/>
                      <w:bCs/>
                      <w:color w:val="auto"/>
                      <w:kern w:val="0"/>
                      <w:sz w:val="21"/>
                      <w:szCs w:val="21"/>
                      <w:lang w:val="en-US" w:eastAsia="zh-CN" w:bidi="ar-SA"/>
                    </w:rPr>
                  </w:pPr>
                  <w:r>
                    <w:rPr>
                      <w:rFonts w:hint="eastAsia"/>
                      <w:bCs/>
                      <w:color w:val="auto"/>
                      <w:sz w:val="21"/>
                      <w:szCs w:val="21"/>
                      <w:lang w:val="en-US" w:eastAsia="zh-CN"/>
                    </w:rPr>
                    <w:t>77</w:t>
                  </w:r>
                  <w:r>
                    <w:rPr>
                      <w:rFonts w:hint="eastAsia"/>
                      <w:bCs/>
                      <w:color w:val="auto"/>
                      <w:sz w:val="21"/>
                      <w:szCs w:val="21"/>
                    </w:rPr>
                    <w:t>.5</w:t>
                  </w:r>
                </w:p>
              </w:tc>
              <w:tc>
                <w:tcPr>
                  <w:tcW w:w="720" w:type="pct"/>
                  <w:noWrap w:val="0"/>
                  <w:vAlign w:val="center"/>
                </w:tcPr>
                <w:p w14:paraId="666F4B20">
                  <w:pPr>
                    <w:pStyle w:val="14"/>
                    <w:spacing w:after="0"/>
                    <w:ind w:left="0" w:leftChars="0" w:firstLine="0" w:firstLineChars="0"/>
                    <w:jc w:val="center"/>
                    <w:rPr>
                      <w:bCs/>
                      <w:color w:val="auto"/>
                      <w:sz w:val="21"/>
                      <w:szCs w:val="21"/>
                    </w:rPr>
                  </w:pPr>
                  <w:r>
                    <w:rPr>
                      <w:bCs/>
                      <w:color w:val="auto"/>
                      <w:sz w:val="21"/>
                      <w:szCs w:val="21"/>
                    </w:rPr>
                    <w:t>达标</w:t>
                  </w:r>
                </w:p>
              </w:tc>
            </w:tr>
            <w:tr w14:paraId="3B0B81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2" w:type="pct"/>
                  <w:noWrap w:val="0"/>
                  <w:vAlign w:val="center"/>
                </w:tcPr>
                <w:p w14:paraId="087E48FB">
                  <w:pPr>
                    <w:adjustRightInd w:val="0"/>
                    <w:snapToGrid w:val="0"/>
                    <w:jc w:val="center"/>
                    <w:rPr>
                      <w:color w:val="auto"/>
                      <w:sz w:val="21"/>
                      <w:szCs w:val="21"/>
                    </w:rPr>
                  </w:pPr>
                  <w:r>
                    <w:rPr>
                      <w:bCs/>
                      <w:color w:val="auto"/>
                      <w:sz w:val="21"/>
                      <w:szCs w:val="21"/>
                    </w:rPr>
                    <w:t>PM</w:t>
                  </w:r>
                  <w:r>
                    <w:rPr>
                      <w:bCs/>
                      <w:color w:val="auto"/>
                      <w:sz w:val="21"/>
                      <w:szCs w:val="21"/>
                      <w:vertAlign w:val="subscript"/>
                    </w:rPr>
                    <w:t>2.5</w:t>
                  </w:r>
                </w:p>
              </w:tc>
              <w:tc>
                <w:tcPr>
                  <w:tcW w:w="1331" w:type="pct"/>
                  <w:noWrap w:val="0"/>
                  <w:vAlign w:val="center"/>
                </w:tcPr>
                <w:p w14:paraId="63DE6F63">
                  <w:pPr>
                    <w:pStyle w:val="14"/>
                    <w:spacing w:after="0"/>
                    <w:ind w:left="0" w:leftChars="0" w:firstLine="0" w:firstLineChars="0"/>
                    <w:jc w:val="center"/>
                    <w:rPr>
                      <w:color w:val="auto"/>
                      <w:sz w:val="21"/>
                      <w:szCs w:val="21"/>
                    </w:rPr>
                  </w:pPr>
                  <w:r>
                    <w:rPr>
                      <w:color w:val="auto"/>
                      <w:sz w:val="21"/>
                      <w:szCs w:val="21"/>
                    </w:rPr>
                    <w:t>年平均质量浓度</w:t>
                  </w:r>
                </w:p>
              </w:tc>
              <w:tc>
                <w:tcPr>
                  <w:tcW w:w="817" w:type="pct"/>
                  <w:shd w:val="clear" w:color="auto" w:fill="auto"/>
                  <w:noWrap w:val="0"/>
                  <w:vAlign w:val="center"/>
                </w:tcPr>
                <w:p w14:paraId="6DFA3071">
                  <w:pPr>
                    <w:pStyle w:val="14"/>
                    <w:spacing w:after="0"/>
                    <w:ind w:left="0" w:leftChars="0" w:firstLine="0" w:firstLineChars="0"/>
                    <w:jc w:val="center"/>
                    <w:rPr>
                      <w:rFonts w:hint="default" w:ascii="Times New Roman" w:hAnsi="Times New Roman" w:eastAsia="宋体" w:cs="Times New Roman"/>
                      <w:bCs/>
                      <w:color w:val="auto"/>
                      <w:kern w:val="0"/>
                      <w:sz w:val="21"/>
                      <w:szCs w:val="21"/>
                      <w:lang w:val="en-US" w:eastAsia="zh-CN" w:bidi="ar-SA"/>
                    </w:rPr>
                  </w:pPr>
                  <w:r>
                    <w:rPr>
                      <w:rFonts w:hint="eastAsia"/>
                      <w:bCs/>
                      <w:color w:val="auto"/>
                      <w:sz w:val="21"/>
                      <w:szCs w:val="21"/>
                      <w:lang w:val="en-US" w:eastAsia="zh-CN"/>
                    </w:rPr>
                    <w:t>43</w:t>
                  </w:r>
                </w:p>
              </w:tc>
              <w:tc>
                <w:tcPr>
                  <w:tcW w:w="707" w:type="pct"/>
                  <w:shd w:val="clear" w:color="auto" w:fill="auto"/>
                  <w:noWrap w:val="0"/>
                  <w:vAlign w:val="center"/>
                </w:tcPr>
                <w:p w14:paraId="7CFA9AF7">
                  <w:pPr>
                    <w:pStyle w:val="14"/>
                    <w:spacing w:after="0"/>
                    <w:ind w:left="0" w:leftChars="0" w:firstLine="0" w:firstLineChars="0"/>
                    <w:jc w:val="center"/>
                    <w:rPr>
                      <w:rFonts w:ascii="Times New Roman" w:hAnsi="Times New Roman" w:eastAsia="宋体" w:cs="Times New Roman"/>
                      <w:bCs/>
                      <w:color w:val="auto"/>
                      <w:kern w:val="0"/>
                      <w:sz w:val="21"/>
                      <w:szCs w:val="21"/>
                      <w:lang w:val="en-US" w:eastAsia="zh-CN" w:bidi="ar-SA"/>
                    </w:rPr>
                  </w:pPr>
                  <w:r>
                    <w:rPr>
                      <w:bCs/>
                      <w:color w:val="auto"/>
                      <w:sz w:val="21"/>
                      <w:szCs w:val="21"/>
                    </w:rPr>
                    <w:t>35</w:t>
                  </w:r>
                </w:p>
              </w:tc>
              <w:tc>
                <w:tcPr>
                  <w:tcW w:w="821" w:type="pct"/>
                  <w:shd w:val="clear" w:color="auto" w:fill="auto"/>
                  <w:noWrap w:val="0"/>
                  <w:vAlign w:val="center"/>
                </w:tcPr>
                <w:p w14:paraId="5A24D96E">
                  <w:pPr>
                    <w:pStyle w:val="14"/>
                    <w:spacing w:after="0"/>
                    <w:ind w:left="0" w:leftChars="0" w:firstLine="0" w:firstLineChars="0"/>
                    <w:jc w:val="center"/>
                    <w:rPr>
                      <w:rFonts w:hint="default" w:ascii="Times New Roman" w:hAnsi="Times New Roman" w:eastAsia="宋体" w:cs="Times New Roman"/>
                      <w:bCs/>
                      <w:color w:val="auto"/>
                      <w:kern w:val="0"/>
                      <w:sz w:val="21"/>
                      <w:szCs w:val="21"/>
                      <w:lang w:val="en-US" w:eastAsia="zh-CN" w:bidi="ar-SA"/>
                    </w:rPr>
                  </w:pPr>
                  <w:r>
                    <w:rPr>
                      <w:rFonts w:hint="eastAsia"/>
                      <w:bCs/>
                      <w:color w:val="auto"/>
                      <w:sz w:val="21"/>
                      <w:szCs w:val="21"/>
                    </w:rPr>
                    <w:t>1</w:t>
                  </w:r>
                  <w:r>
                    <w:rPr>
                      <w:rFonts w:hint="eastAsia"/>
                      <w:bCs/>
                      <w:color w:val="auto"/>
                      <w:sz w:val="21"/>
                      <w:szCs w:val="21"/>
                      <w:lang w:val="en-US" w:eastAsia="zh-CN"/>
                    </w:rPr>
                    <w:t>22.9</w:t>
                  </w:r>
                </w:p>
              </w:tc>
              <w:tc>
                <w:tcPr>
                  <w:tcW w:w="720" w:type="pct"/>
                  <w:noWrap w:val="0"/>
                  <w:vAlign w:val="center"/>
                </w:tcPr>
                <w:p w14:paraId="03BAA552">
                  <w:pPr>
                    <w:pStyle w:val="14"/>
                    <w:spacing w:after="0"/>
                    <w:ind w:left="0" w:leftChars="0" w:firstLine="0" w:firstLineChars="0"/>
                    <w:jc w:val="center"/>
                    <w:rPr>
                      <w:bCs/>
                      <w:color w:val="auto"/>
                      <w:sz w:val="21"/>
                      <w:szCs w:val="21"/>
                    </w:rPr>
                  </w:pPr>
                  <w:r>
                    <w:rPr>
                      <w:bCs/>
                      <w:color w:val="auto"/>
                      <w:sz w:val="21"/>
                      <w:szCs w:val="21"/>
                    </w:rPr>
                    <w:t>不达标</w:t>
                  </w:r>
                </w:p>
              </w:tc>
            </w:tr>
            <w:tr w14:paraId="0BD06E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2" w:type="pct"/>
                  <w:noWrap w:val="0"/>
                  <w:vAlign w:val="center"/>
                </w:tcPr>
                <w:p w14:paraId="1E83C90C">
                  <w:pPr>
                    <w:adjustRightInd w:val="0"/>
                    <w:snapToGrid w:val="0"/>
                    <w:jc w:val="center"/>
                    <w:rPr>
                      <w:color w:val="auto"/>
                      <w:sz w:val="21"/>
                      <w:szCs w:val="21"/>
                    </w:rPr>
                  </w:pPr>
                  <w:r>
                    <w:rPr>
                      <w:bCs/>
                      <w:color w:val="auto"/>
                      <w:sz w:val="21"/>
                      <w:szCs w:val="21"/>
                    </w:rPr>
                    <w:t>PM</w:t>
                  </w:r>
                  <w:r>
                    <w:rPr>
                      <w:bCs/>
                      <w:color w:val="auto"/>
                      <w:sz w:val="21"/>
                      <w:szCs w:val="21"/>
                      <w:vertAlign w:val="subscript"/>
                    </w:rPr>
                    <w:t>10</w:t>
                  </w:r>
                </w:p>
              </w:tc>
              <w:tc>
                <w:tcPr>
                  <w:tcW w:w="1331" w:type="pct"/>
                  <w:noWrap w:val="0"/>
                  <w:vAlign w:val="center"/>
                </w:tcPr>
                <w:p w14:paraId="623361AB">
                  <w:pPr>
                    <w:pStyle w:val="14"/>
                    <w:spacing w:after="0"/>
                    <w:ind w:left="0" w:leftChars="0" w:firstLine="0" w:firstLineChars="0"/>
                    <w:jc w:val="center"/>
                    <w:rPr>
                      <w:color w:val="auto"/>
                      <w:sz w:val="21"/>
                      <w:szCs w:val="21"/>
                    </w:rPr>
                  </w:pPr>
                  <w:r>
                    <w:rPr>
                      <w:color w:val="auto"/>
                      <w:sz w:val="21"/>
                      <w:szCs w:val="21"/>
                    </w:rPr>
                    <w:t>年平均质量浓度</w:t>
                  </w:r>
                </w:p>
              </w:tc>
              <w:tc>
                <w:tcPr>
                  <w:tcW w:w="817" w:type="pct"/>
                  <w:shd w:val="clear" w:color="auto" w:fill="auto"/>
                  <w:noWrap w:val="0"/>
                  <w:vAlign w:val="center"/>
                </w:tcPr>
                <w:p w14:paraId="68383A1A">
                  <w:pPr>
                    <w:pStyle w:val="14"/>
                    <w:spacing w:after="0"/>
                    <w:ind w:left="0" w:leftChars="0" w:firstLine="0" w:firstLineChars="0"/>
                    <w:jc w:val="center"/>
                    <w:rPr>
                      <w:rFonts w:hint="default" w:ascii="Times New Roman" w:hAnsi="Times New Roman" w:eastAsia="宋体" w:cs="Times New Roman"/>
                      <w:bCs/>
                      <w:color w:val="auto"/>
                      <w:kern w:val="0"/>
                      <w:sz w:val="21"/>
                      <w:szCs w:val="21"/>
                      <w:lang w:val="en-US" w:eastAsia="zh-CN" w:bidi="ar-SA"/>
                    </w:rPr>
                  </w:pPr>
                  <w:r>
                    <w:rPr>
                      <w:rFonts w:hint="eastAsia"/>
                      <w:bCs/>
                      <w:color w:val="auto"/>
                      <w:sz w:val="21"/>
                      <w:szCs w:val="21"/>
                      <w:lang w:val="en-US" w:eastAsia="zh-CN"/>
                    </w:rPr>
                    <w:t>74</w:t>
                  </w:r>
                </w:p>
              </w:tc>
              <w:tc>
                <w:tcPr>
                  <w:tcW w:w="707" w:type="pct"/>
                  <w:shd w:val="clear" w:color="auto" w:fill="auto"/>
                  <w:noWrap w:val="0"/>
                  <w:vAlign w:val="center"/>
                </w:tcPr>
                <w:p w14:paraId="429CB03A">
                  <w:pPr>
                    <w:pStyle w:val="14"/>
                    <w:spacing w:after="0"/>
                    <w:ind w:left="0" w:leftChars="0" w:firstLine="0" w:firstLineChars="0"/>
                    <w:jc w:val="center"/>
                    <w:rPr>
                      <w:rFonts w:ascii="Times New Roman" w:hAnsi="Times New Roman" w:eastAsia="宋体" w:cs="Times New Roman"/>
                      <w:bCs/>
                      <w:color w:val="auto"/>
                      <w:kern w:val="0"/>
                      <w:sz w:val="21"/>
                      <w:szCs w:val="21"/>
                      <w:lang w:val="en-US" w:eastAsia="zh-CN" w:bidi="ar-SA"/>
                    </w:rPr>
                  </w:pPr>
                  <w:r>
                    <w:rPr>
                      <w:bCs/>
                      <w:color w:val="auto"/>
                      <w:sz w:val="21"/>
                      <w:szCs w:val="21"/>
                    </w:rPr>
                    <w:t>70</w:t>
                  </w:r>
                </w:p>
              </w:tc>
              <w:tc>
                <w:tcPr>
                  <w:tcW w:w="821" w:type="pct"/>
                  <w:shd w:val="clear" w:color="auto" w:fill="auto"/>
                  <w:noWrap w:val="0"/>
                  <w:vAlign w:val="center"/>
                </w:tcPr>
                <w:p w14:paraId="7A0F87C6">
                  <w:pPr>
                    <w:pStyle w:val="14"/>
                    <w:spacing w:after="0"/>
                    <w:ind w:left="0" w:leftChars="0" w:firstLine="0" w:firstLineChars="0"/>
                    <w:jc w:val="center"/>
                    <w:rPr>
                      <w:rFonts w:hint="default" w:ascii="Times New Roman" w:hAnsi="Times New Roman" w:eastAsia="宋体" w:cs="Times New Roman"/>
                      <w:bCs/>
                      <w:color w:val="auto"/>
                      <w:kern w:val="0"/>
                      <w:sz w:val="21"/>
                      <w:szCs w:val="21"/>
                      <w:lang w:val="en-US" w:eastAsia="zh-CN" w:bidi="ar-SA"/>
                    </w:rPr>
                  </w:pPr>
                  <w:r>
                    <w:rPr>
                      <w:bCs/>
                      <w:color w:val="auto"/>
                      <w:sz w:val="21"/>
                      <w:szCs w:val="21"/>
                    </w:rPr>
                    <w:t>1</w:t>
                  </w:r>
                  <w:r>
                    <w:rPr>
                      <w:rFonts w:hint="eastAsia"/>
                      <w:bCs/>
                      <w:color w:val="auto"/>
                      <w:sz w:val="21"/>
                      <w:szCs w:val="21"/>
                      <w:lang w:val="en-US" w:eastAsia="zh-CN"/>
                    </w:rPr>
                    <w:t>05.7</w:t>
                  </w:r>
                </w:p>
              </w:tc>
              <w:tc>
                <w:tcPr>
                  <w:tcW w:w="720" w:type="pct"/>
                  <w:noWrap w:val="0"/>
                  <w:vAlign w:val="center"/>
                </w:tcPr>
                <w:p w14:paraId="203FB2C9">
                  <w:pPr>
                    <w:pStyle w:val="14"/>
                    <w:spacing w:after="0"/>
                    <w:ind w:left="0" w:leftChars="0" w:firstLine="0" w:firstLineChars="0"/>
                    <w:jc w:val="center"/>
                    <w:rPr>
                      <w:bCs/>
                      <w:color w:val="auto"/>
                      <w:sz w:val="21"/>
                      <w:szCs w:val="21"/>
                    </w:rPr>
                  </w:pPr>
                  <w:r>
                    <w:rPr>
                      <w:bCs/>
                      <w:color w:val="auto"/>
                      <w:sz w:val="21"/>
                      <w:szCs w:val="21"/>
                    </w:rPr>
                    <w:t>不达标</w:t>
                  </w:r>
                </w:p>
              </w:tc>
            </w:tr>
            <w:tr w14:paraId="132C13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pct"/>
                  <w:noWrap w:val="0"/>
                  <w:vAlign w:val="center"/>
                </w:tcPr>
                <w:p w14:paraId="70ACE12C">
                  <w:pPr>
                    <w:adjustRightInd w:val="0"/>
                    <w:snapToGrid w:val="0"/>
                    <w:jc w:val="center"/>
                    <w:rPr>
                      <w:color w:val="auto"/>
                      <w:sz w:val="21"/>
                      <w:szCs w:val="21"/>
                    </w:rPr>
                  </w:pPr>
                  <w:r>
                    <w:rPr>
                      <w:bCs/>
                      <w:color w:val="auto"/>
                      <w:sz w:val="21"/>
                      <w:szCs w:val="21"/>
                    </w:rPr>
                    <w:t>CO</w:t>
                  </w:r>
                </w:p>
              </w:tc>
              <w:tc>
                <w:tcPr>
                  <w:tcW w:w="1331" w:type="pct"/>
                  <w:noWrap w:val="0"/>
                  <w:vAlign w:val="center"/>
                </w:tcPr>
                <w:p w14:paraId="507635D0">
                  <w:pPr>
                    <w:pStyle w:val="14"/>
                    <w:spacing w:after="0"/>
                    <w:ind w:left="0" w:leftChars="0" w:firstLine="0" w:firstLineChars="0"/>
                    <w:jc w:val="center"/>
                    <w:rPr>
                      <w:color w:val="auto"/>
                      <w:sz w:val="21"/>
                      <w:szCs w:val="21"/>
                    </w:rPr>
                  </w:pPr>
                  <w:r>
                    <w:rPr>
                      <w:color w:val="auto"/>
                      <w:sz w:val="21"/>
                      <w:szCs w:val="21"/>
                    </w:rPr>
                    <w:t>24小时平均</w:t>
                  </w:r>
                  <w:r>
                    <w:rPr>
                      <w:rFonts w:hint="eastAsia"/>
                      <w:color w:val="auto"/>
                      <w:sz w:val="21"/>
                      <w:szCs w:val="21"/>
                    </w:rPr>
                    <w:t>第</w:t>
                  </w:r>
                  <w:r>
                    <w:rPr>
                      <w:color w:val="auto"/>
                      <w:sz w:val="21"/>
                      <w:szCs w:val="21"/>
                    </w:rPr>
                    <w:t>95百分位浓度</w:t>
                  </w:r>
                </w:p>
              </w:tc>
              <w:tc>
                <w:tcPr>
                  <w:tcW w:w="817" w:type="pct"/>
                  <w:shd w:val="clear" w:color="auto" w:fill="auto"/>
                  <w:noWrap w:val="0"/>
                  <w:vAlign w:val="center"/>
                </w:tcPr>
                <w:p w14:paraId="4DB24AF6">
                  <w:pPr>
                    <w:pStyle w:val="14"/>
                    <w:spacing w:after="0"/>
                    <w:ind w:left="0" w:leftChars="0" w:firstLine="0" w:firstLineChars="0"/>
                    <w:jc w:val="center"/>
                    <w:rPr>
                      <w:rFonts w:hint="default" w:ascii="Times New Roman" w:hAnsi="Times New Roman" w:eastAsia="宋体" w:cs="Times New Roman"/>
                      <w:bCs/>
                      <w:color w:val="auto"/>
                      <w:kern w:val="0"/>
                      <w:sz w:val="21"/>
                      <w:szCs w:val="21"/>
                      <w:lang w:val="en-US" w:eastAsia="zh-CN" w:bidi="ar-SA"/>
                    </w:rPr>
                  </w:pPr>
                  <w:r>
                    <w:rPr>
                      <w:rFonts w:hint="eastAsia"/>
                      <w:bCs/>
                      <w:color w:val="auto"/>
                      <w:sz w:val="21"/>
                      <w:szCs w:val="21"/>
                    </w:rPr>
                    <w:t>1</w:t>
                  </w:r>
                  <w:r>
                    <w:rPr>
                      <w:rFonts w:hint="eastAsia"/>
                      <w:bCs/>
                      <w:color w:val="auto"/>
                      <w:sz w:val="21"/>
                      <w:szCs w:val="21"/>
                      <w:lang w:val="en-US" w:eastAsia="zh-CN"/>
                    </w:rPr>
                    <w:t>1</w:t>
                  </w:r>
                  <w:r>
                    <w:rPr>
                      <w:rFonts w:hint="eastAsia"/>
                      <w:bCs/>
                      <w:color w:val="auto"/>
                      <w:sz w:val="21"/>
                      <w:szCs w:val="21"/>
                    </w:rPr>
                    <w:t>00</w:t>
                  </w:r>
                </w:p>
              </w:tc>
              <w:tc>
                <w:tcPr>
                  <w:tcW w:w="707" w:type="pct"/>
                  <w:shd w:val="clear" w:color="auto" w:fill="auto"/>
                  <w:noWrap w:val="0"/>
                  <w:vAlign w:val="center"/>
                </w:tcPr>
                <w:p w14:paraId="4E6F101D">
                  <w:pPr>
                    <w:pStyle w:val="14"/>
                    <w:spacing w:after="0"/>
                    <w:ind w:left="0" w:leftChars="0" w:firstLine="0" w:firstLineChars="0"/>
                    <w:jc w:val="center"/>
                    <w:rPr>
                      <w:rFonts w:hint="default" w:ascii="Times New Roman" w:hAnsi="Times New Roman" w:eastAsia="宋体" w:cs="Times New Roman"/>
                      <w:bCs/>
                      <w:color w:val="auto"/>
                      <w:kern w:val="0"/>
                      <w:sz w:val="21"/>
                      <w:szCs w:val="21"/>
                      <w:lang w:val="en-US" w:eastAsia="zh-CN" w:bidi="ar-SA"/>
                    </w:rPr>
                  </w:pPr>
                  <w:r>
                    <w:rPr>
                      <w:bCs/>
                      <w:color w:val="auto"/>
                      <w:sz w:val="21"/>
                      <w:szCs w:val="21"/>
                    </w:rPr>
                    <w:t>4</w:t>
                  </w:r>
                  <w:r>
                    <w:rPr>
                      <w:rFonts w:hint="eastAsia"/>
                      <w:bCs/>
                      <w:color w:val="auto"/>
                      <w:sz w:val="21"/>
                      <w:szCs w:val="21"/>
                    </w:rPr>
                    <w:t>000</w:t>
                  </w:r>
                </w:p>
              </w:tc>
              <w:tc>
                <w:tcPr>
                  <w:tcW w:w="821" w:type="pct"/>
                  <w:shd w:val="clear" w:color="auto" w:fill="auto"/>
                  <w:noWrap w:val="0"/>
                  <w:vAlign w:val="center"/>
                </w:tcPr>
                <w:p w14:paraId="1513EB8F">
                  <w:pPr>
                    <w:pStyle w:val="14"/>
                    <w:spacing w:after="0"/>
                    <w:ind w:left="0" w:leftChars="0" w:firstLine="0" w:firstLineChars="0"/>
                    <w:jc w:val="center"/>
                    <w:rPr>
                      <w:rFonts w:ascii="Times New Roman" w:hAnsi="Times New Roman" w:eastAsia="宋体" w:cs="Times New Roman"/>
                      <w:bCs/>
                      <w:color w:val="auto"/>
                      <w:kern w:val="0"/>
                      <w:sz w:val="21"/>
                      <w:szCs w:val="21"/>
                      <w:lang w:val="en-US" w:eastAsia="zh-CN" w:bidi="ar-SA"/>
                    </w:rPr>
                  </w:pPr>
                  <w:r>
                    <w:rPr>
                      <w:rFonts w:hint="eastAsia"/>
                      <w:bCs/>
                      <w:color w:val="auto"/>
                      <w:sz w:val="21"/>
                      <w:szCs w:val="21"/>
                      <w:lang w:val="en-US" w:eastAsia="zh-CN"/>
                    </w:rPr>
                    <w:t>27</w:t>
                  </w:r>
                  <w:r>
                    <w:rPr>
                      <w:rFonts w:hint="eastAsia"/>
                      <w:bCs/>
                      <w:color w:val="auto"/>
                      <w:sz w:val="21"/>
                      <w:szCs w:val="21"/>
                    </w:rPr>
                    <w:t>.5</w:t>
                  </w:r>
                </w:p>
              </w:tc>
              <w:tc>
                <w:tcPr>
                  <w:tcW w:w="720" w:type="pct"/>
                  <w:noWrap w:val="0"/>
                  <w:vAlign w:val="center"/>
                </w:tcPr>
                <w:p w14:paraId="05D3A377">
                  <w:pPr>
                    <w:pStyle w:val="14"/>
                    <w:spacing w:after="0"/>
                    <w:ind w:left="0" w:leftChars="0" w:firstLine="0" w:firstLineChars="0"/>
                    <w:jc w:val="center"/>
                    <w:rPr>
                      <w:bCs/>
                      <w:color w:val="auto"/>
                      <w:sz w:val="21"/>
                      <w:szCs w:val="21"/>
                    </w:rPr>
                  </w:pPr>
                  <w:r>
                    <w:rPr>
                      <w:bCs/>
                      <w:color w:val="auto"/>
                      <w:sz w:val="21"/>
                      <w:szCs w:val="21"/>
                    </w:rPr>
                    <w:t>达标</w:t>
                  </w:r>
                </w:p>
              </w:tc>
            </w:tr>
            <w:tr w14:paraId="2A2B5A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02" w:type="pct"/>
                  <w:noWrap w:val="0"/>
                  <w:vAlign w:val="center"/>
                </w:tcPr>
                <w:p w14:paraId="6FF4567C">
                  <w:pPr>
                    <w:pStyle w:val="14"/>
                    <w:spacing w:after="0"/>
                    <w:ind w:left="0" w:leftChars="0" w:firstLine="0" w:firstLineChars="0"/>
                    <w:jc w:val="center"/>
                    <w:rPr>
                      <w:color w:val="auto"/>
                      <w:sz w:val="21"/>
                      <w:szCs w:val="21"/>
                    </w:rPr>
                  </w:pPr>
                  <w:r>
                    <w:rPr>
                      <w:bCs/>
                      <w:color w:val="auto"/>
                      <w:sz w:val="21"/>
                      <w:szCs w:val="21"/>
                    </w:rPr>
                    <w:t>O</w:t>
                  </w:r>
                  <w:r>
                    <w:rPr>
                      <w:bCs/>
                      <w:color w:val="auto"/>
                      <w:sz w:val="21"/>
                      <w:szCs w:val="21"/>
                      <w:vertAlign w:val="subscript"/>
                    </w:rPr>
                    <w:t>3</w:t>
                  </w:r>
                </w:p>
              </w:tc>
              <w:tc>
                <w:tcPr>
                  <w:tcW w:w="1331" w:type="pct"/>
                  <w:noWrap w:val="0"/>
                  <w:vAlign w:val="center"/>
                </w:tcPr>
                <w:p w14:paraId="3FE676A1">
                  <w:pPr>
                    <w:pStyle w:val="14"/>
                    <w:spacing w:after="0"/>
                    <w:ind w:left="0" w:leftChars="0" w:firstLine="0" w:firstLineChars="0"/>
                    <w:jc w:val="center"/>
                    <w:rPr>
                      <w:color w:val="auto"/>
                      <w:sz w:val="21"/>
                      <w:szCs w:val="21"/>
                    </w:rPr>
                  </w:pPr>
                  <w:r>
                    <w:rPr>
                      <w:color w:val="auto"/>
                      <w:sz w:val="21"/>
                      <w:szCs w:val="21"/>
                    </w:rPr>
                    <w:t>日最大8小时平均第90百分位浓度</w:t>
                  </w:r>
                </w:p>
              </w:tc>
              <w:tc>
                <w:tcPr>
                  <w:tcW w:w="817" w:type="pct"/>
                  <w:shd w:val="clear" w:color="auto" w:fill="auto"/>
                  <w:noWrap w:val="0"/>
                  <w:vAlign w:val="center"/>
                </w:tcPr>
                <w:p w14:paraId="5B2EB983">
                  <w:pPr>
                    <w:pStyle w:val="14"/>
                    <w:spacing w:after="0"/>
                    <w:ind w:left="0" w:leftChars="0" w:firstLine="0" w:firstLineChars="0"/>
                    <w:jc w:val="center"/>
                    <w:rPr>
                      <w:rFonts w:hint="eastAsia" w:ascii="Times New Roman" w:hAnsi="Times New Roman" w:eastAsia="宋体" w:cs="Times New Roman"/>
                      <w:bCs/>
                      <w:color w:val="auto"/>
                      <w:kern w:val="0"/>
                      <w:sz w:val="21"/>
                      <w:szCs w:val="21"/>
                      <w:lang w:val="en-US" w:eastAsia="zh-CN" w:bidi="ar-SA"/>
                    </w:rPr>
                  </w:pPr>
                  <w:r>
                    <w:rPr>
                      <w:rFonts w:hint="eastAsia"/>
                      <w:bCs/>
                      <w:color w:val="auto"/>
                      <w:sz w:val="21"/>
                      <w:szCs w:val="21"/>
                    </w:rPr>
                    <w:t>16</w:t>
                  </w:r>
                  <w:r>
                    <w:rPr>
                      <w:rFonts w:hint="eastAsia"/>
                      <w:bCs/>
                      <w:color w:val="auto"/>
                      <w:sz w:val="21"/>
                      <w:szCs w:val="21"/>
                      <w:lang w:val="en-US" w:eastAsia="zh-CN"/>
                    </w:rPr>
                    <w:t>8</w:t>
                  </w:r>
                </w:p>
              </w:tc>
              <w:tc>
                <w:tcPr>
                  <w:tcW w:w="707" w:type="pct"/>
                  <w:shd w:val="clear" w:color="auto" w:fill="auto"/>
                  <w:noWrap w:val="0"/>
                  <w:vAlign w:val="center"/>
                </w:tcPr>
                <w:p w14:paraId="6F352BFC">
                  <w:pPr>
                    <w:pStyle w:val="14"/>
                    <w:spacing w:after="0"/>
                    <w:ind w:left="0" w:leftChars="0" w:firstLine="0" w:firstLineChars="0"/>
                    <w:jc w:val="center"/>
                    <w:rPr>
                      <w:rFonts w:ascii="Times New Roman" w:hAnsi="Times New Roman" w:eastAsia="宋体" w:cs="Times New Roman"/>
                      <w:bCs/>
                      <w:color w:val="auto"/>
                      <w:kern w:val="0"/>
                      <w:sz w:val="21"/>
                      <w:szCs w:val="21"/>
                      <w:lang w:val="en-US" w:eastAsia="zh-CN" w:bidi="ar-SA"/>
                    </w:rPr>
                  </w:pPr>
                  <w:r>
                    <w:rPr>
                      <w:bCs/>
                      <w:color w:val="auto"/>
                      <w:sz w:val="21"/>
                      <w:szCs w:val="21"/>
                    </w:rPr>
                    <w:t>160</w:t>
                  </w:r>
                </w:p>
              </w:tc>
              <w:tc>
                <w:tcPr>
                  <w:tcW w:w="821" w:type="pct"/>
                  <w:shd w:val="clear" w:color="auto" w:fill="auto"/>
                  <w:noWrap w:val="0"/>
                  <w:vAlign w:val="center"/>
                </w:tcPr>
                <w:p w14:paraId="50E202B4">
                  <w:pPr>
                    <w:pStyle w:val="14"/>
                    <w:spacing w:after="0"/>
                    <w:ind w:left="0" w:leftChars="0" w:firstLine="0" w:firstLineChars="0"/>
                    <w:jc w:val="center"/>
                    <w:rPr>
                      <w:rFonts w:hint="eastAsia" w:ascii="Times New Roman" w:hAnsi="Times New Roman" w:eastAsia="宋体" w:cs="Times New Roman"/>
                      <w:bCs/>
                      <w:color w:val="auto"/>
                      <w:kern w:val="0"/>
                      <w:sz w:val="21"/>
                      <w:szCs w:val="21"/>
                      <w:lang w:val="en-US" w:eastAsia="zh-CN" w:bidi="ar-SA"/>
                    </w:rPr>
                  </w:pPr>
                  <w:r>
                    <w:rPr>
                      <w:rFonts w:hint="eastAsia"/>
                      <w:bCs/>
                      <w:color w:val="auto"/>
                      <w:sz w:val="21"/>
                      <w:szCs w:val="21"/>
                    </w:rPr>
                    <w:t>10</w:t>
                  </w:r>
                  <w:r>
                    <w:rPr>
                      <w:rFonts w:hint="eastAsia"/>
                      <w:bCs/>
                      <w:color w:val="auto"/>
                      <w:sz w:val="21"/>
                      <w:szCs w:val="21"/>
                      <w:lang w:val="en-US" w:eastAsia="zh-CN"/>
                    </w:rPr>
                    <w:t>5</w:t>
                  </w:r>
                </w:p>
              </w:tc>
              <w:tc>
                <w:tcPr>
                  <w:tcW w:w="720" w:type="pct"/>
                  <w:noWrap w:val="0"/>
                  <w:vAlign w:val="center"/>
                </w:tcPr>
                <w:p w14:paraId="461C8EDA">
                  <w:pPr>
                    <w:pStyle w:val="14"/>
                    <w:spacing w:after="0"/>
                    <w:ind w:left="0" w:leftChars="0" w:firstLine="0" w:firstLineChars="0"/>
                    <w:jc w:val="center"/>
                    <w:rPr>
                      <w:bCs/>
                      <w:color w:val="auto"/>
                      <w:sz w:val="21"/>
                      <w:szCs w:val="21"/>
                    </w:rPr>
                  </w:pPr>
                  <w:r>
                    <w:rPr>
                      <w:rFonts w:hint="eastAsia"/>
                      <w:bCs/>
                      <w:color w:val="auto"/>
                      <w:sz w:val="21"/>
                      <w:szCs w:val="21"/>
                    </w:rPr>
                    <w:t>不</w:t>
                  </w:r>
                  <w:r>
                    <w:rPr>
                      <w:bCs/>
                      <w:color w:val="auto"/>
                      <w:sz w:val="21"/>
                      <w:szCs w:val="21"/>
                    </w:rPr>
                    <w:t>达标</w:t>
                  </w:r>
                </w:p>
              </w:tc>
            </w:tr>
          </w:tbl>
          <w:p w14:paraId="68A3EB63">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color w:val="auto"/>
                <w:lang w:val="en-US" w:eastAsia="zh-CN"/>
              </w:rPr>
            </w:pPr>
            <w:r>
              <w:rPr>
                <w:color w:val="auto"/>
                <w:sz w:val="24"/>
              </w:rPr>
              <w:t>根据</w:t>
            </w:r>
            <w:r>
              <w:rPr>
                <w:rFonts w:hint="eastAsia"/>
                <w:color w:val="auto"/>
                <w:sz w:val="24"/>
                <w:lang w:val="en-US" w:eastAsia="zh-CN"/>
              </w:rPr>
              <w:t>上表</w:t>
            </w:r>
            <w:r>
              <w:rPr>
                <w:color w:val="auto"/>
                <w:sz w:val="24"/>
              </w:rPr>
              <w:t>可知，</w:t>
            </w:r>
            <w:r>
              <w:rPr>
                <w:rFonts w:hint="eastAsia"/>
                <w:color w:val="auto"/>
                <w:sz w:val="24"/>
              </w:rPr>
              <w:t>项目所在区域SO</w:t>
            </w:r>
            <w:r>
              <w:rPr>
                <w:rFonts w:hint="eastAsia"/>
                <w:color w:val="auto"/>
                <w:sz w:val="24"/>
                <w:vertAlign w:val="subscript"/>
              </w:rPr>
              <w:t>2</w:t>
            </w:r>
            <w:r>
              <w:rPr>
                <w:rFonts w:hint="eastAsia"/>
                <w:color w:val="auto"/>
                <w:sz w:val="24"/>
              </w:rPr>
              <w:t>年平均质量浓度、NO</w:t>
            </w:r>
            <w:r>
              <w:rPr>
                <w:rFonts w:hint="eastAsia"/>
                <w:color w:val="auto"/>
                <w:sz w:val="24"/>
                <w:vertAlign w:val="subscript"/>
              </w:rPr>
              <w:t>2</w:t>
            </w:r>
            <w:r>
              <w:rPr>
                <w:rFonts w:hint="eastAsia"/>
                <w:color w:val="auto"/>
                <w:sz w:val="24"/>
              </w:rPr>
              <w:t>年平均质量浓度</w:t>
            </w:r>
            <w:r>
              <w:rPr>
                <w:rFonts w:hint="eastAsia"/>
                <w:color w:val="auto"/>
                <w:sz w:val="24"/>
                <w:lang w:val="en-US" w:eastAsia="zh-CN"/>
              </w:rPr>
              <w:t>和</w:t>
            </w:r>
            <w:r>
              <w:rPr>
                <w:rFonts w:hint="eastAsia"/>
                <w:color w:val="auto"/>
                <w:sz w:val="24"/>
              </w:rPr>
              <w:t>CO24小时平均第95百分位浓度均满足《环境空气质量标准》（GB3095-2012）中二级标准，O</w:t>
            </w:r>
            <w:r>
              <w:rPr>
                <w:rFonts w:hint="eastAsia"/>
                <w:color w:val="auto"/>
                <w:sz w:val="24"/>
                <w:vertAlign w:val="subscript"/>
              </w:rPr>
              <w:t>3</w:t>
            </w:r>
            <w:r>
              <w:rPr>
                <w:rFonts w:hint="eastAsia" w:ascii="Times New Roman" w:hAnsi="Times New Roman" w:cs="Times New Roman"/>
                <w:color w:val="auto"/>
                <w:sz w:val="24"/>
                <w:szCs w:val="32"/>
              </w:rPr>
              <w:t>日最大8小时平均第90百分位浓度</w:t>
            </w:r>
            <w:r>
              <w:rPr>
                <w:rFonts w:hint="eastAsia"/>
                <w:color w:val="auto"/>
                <w:sz w:val="24"/>
              </w:rPr>
              <w:t>、PM</w:t>
            </w:r>
            <w:r>
              <w:rPr>
                <w:rFonts w:hint="eastAsia"/>
                <w:color w:val="auto"/>
                <w:sz w:val="24"/>
                <w:vertAlign w:val="subscript"/>
              </w:rPr>
              <w:t>2.5</w:t>
            </w:r>
            <w:r>
              <w:rPr>
                <w:rFonts w:hint="eastAsia"/>
                <w:color w:val="auto"/>
                <w:sz w:val="24"/>
              </w:rPr>
              <w:t>年平均质量浓度和PM</w:t>
            </w:r>
            <w:r>
              <w:rPr>
                <w:rFonts w:hint="eastAsia"/>
                <w:color w:val="auto"/>
                <w:sz w:val="24"/>
                <w:vertAlign w:val="subscript"/>
              </w:rPr>
              <w:t>10</w:t>
            </w:r>
            <w:r>
              <w:rPr>
                <w:rFonts w:hint="default" w:ascii="Times New Roman" w:hAnsi="Times New Roman" w:cs="Times New Roman"/>
                <w:color w:val="auto"/>
                <w:sz w:val="24"/>
                <w:szCs w:val="32"/>
              </w:rPr>
              <w:t>年平均质量浓度</w:t>
            </w:r>
            <w:r>
              <w:rPr>
                <w:rFonts w:hint="eastAsia"/>
                <w:color w:val="auto"/>
                <w:sz w:val="24"/>
              </w:rPr>
              <w:t>均不满足《环境空气质量标准》（GB3095-2012）中二级标准，</w:t>
            </w:r>
            <w:r>
              <w:rPr>
                <w:rFonts w:hint="eastAsia"/>
                <w:color w:val="auto"/>
                <w:sz w:val="24"/>
                <w:lang w:val="en-US" w:eastAsia="zh-CN"/>
              </w:rPr>
              <w:t>因此</w:t>
            </w:r>
            <w:r>
              <w:rPr>
                <w:rFonts w:hint="eastAsia"/>
                <w:color w:val="auto"/>
                <w:sz w:val="24"/>
              </w:rPr>
              <w:t>本项目所在</w:t>
            </w:r>
            <w:r>
              <w:rPr>
                <w:rFonts w:hint="eastAsia"/>
                <w:color w:val="auto"/>
                <w:sz w:val="24"/>
                <w:lang w:val="en-US" w:eastAsia="zh-CN"/>
              </w:rPr>
              <w:t>区域为</w:t>
            </w:r>
            <w:r>
              <w:rPr>
                <w:rFonts w:hint="eastAsia"/>
                <w:color w:val="auto"/>
                <w:sz w:val="24"/>
              </w:rPr>
              <w:t>环境空气不达标区。</w:t>
            </w:r>
          </w:p>
          <w:p w14:paraId="62C194C8">
            <w:pPr>
              <w:pStyle w:val="22"/>
              <w:bidi w:val="0"/>
              <w:rPr>
                <w:color w:val="auto"/>
              </w:rPr>
            </w:pPr>
            <w:r>
              <w:rPr>
                <w:rFonts w:hint="eastAsia"/>
                <w:color w:val="auto"/>
                <w:lang w:val="en-US" w:eastAsia="zh-CN"/>
              </w:rPr>
              <w:t>（2）</w:t>
            </w:r>
            <w:r>
              <w:rPr>
                <w:rFonts w:hint="eastAsia"/>
                <w:color w:val="auto"/>
              </w:rPr>
              <w:t>声环境质量现状</w:t>
            </w:r>
          </w:p>
          <w:p w14:paraId="55054E3B">
            <w:pPr>
              <w:pStyle w:val="22"/>
              <w:bidi w:val="0"/>
              <w:rPr>
                <w:rFonts w:hint="default" w:eastAsia="宋体"/>
                <w:color w:val="auto"/>
                <w:lang w:val="en-US" w:eastAsia="zh-CN"/>
              </w:rPr>
            </w:pPr>
            <w:r>
              <w:rPr>
                <w:rFonts w:hint="eastAsia"/>
                <w:color w:val="auto"/>
              </w:rPr>
              <w:t>本项目声环境质量现状监测委托陕西秦研检测技术有限公司进行监测（秦研（声）2</w:t>
            </w:r>
            <w:r>
              <w:rPr>
                <w:rFonts w:hint="eastAsia"/>
                <w:color w:val="auto"/>
                <w:lang w:val="en-US" w:eastAsia="zh-CN"/>
              </w:rPr>
              <w:t>411313</w:t>
            </w:r>
            <w:r>
              <w:rPr>
                <w:rFonts w:hint="eastAsia"/>
                <w:color w:val="auto"/>
              </w:rPr>
              <w:t>号，具体见附件</w:t>
            </w:r>
            <w:r>
              <w:rPr>
                <w:rFonts w:hint="eastAsia"/>
                <w:color w:val="auto"/>
                <w:lang w:val="en-US" w:eastAsia="zh-CN"/>
              </w:rPr>
              <w:t>5</w:t>
            </w:r>
            <w:r>
              <w:rPr>
                <w:rFonts w:hint="eastAsia"/>
                <w:color w:val="auto"/>
              </w:rPr>
              <w:t>）。</w:t>
            </w:r>
            <w:r>
              <w:rPr>
                <w:color w:val="auto"/>
              </w:rPr>
              <w:t>20</w:t>
            </w:r>
            <w:r>
              <w:rPr>
                <w:rFonts w:hint="eastAsia"/>
                <w:color w:val="auto"/>
                <w:lang w:val="en-US" w:eastAsia="zh-CN"/>
              </w:rPr>
              <w:t>24</w:t>
            </w:r>
            <w:r>
              <w:rPr>
                <w:color w:val="auto"/>
              </w:rPr>
              <w:t>年</w:t>
            </w:r>
            <w:r>
              <w:rPr>
                <w:rFonts w:hint="eastAsia"/>
                <w:color w:val="auto"/>
                <w:lang w:val="en-US" w:eastAsia="zh-CN"/>
              </w:rPr>
              <w:t>11</w:t>
            </w:r>
            <w:r>
              <w:rPr>
                <w:color w:val="auto"/>
              </w:rPr>
              <w:t>月</w:t>
            </w:r>
            <w:r>
              <w:rPr>
                <w:rFonts w:hint="eastAsia"/>
                <w:color w:val="auto"/>
                <w:lang w:val="en-US" w:eastAsia="zh-CN"/>
              </w:rPr>
              <w:t>29</w:t>
            </w:r>
            <w:r>
              <w:rPr>
                <w:color w:val="auto"/>
              </w:rPr>
              <w:t>日</w:t>
            </w:r>
            <w:r>
              <w:rPr>
                <w:rFonts w:hint="eastAsia"/>
                <w:color w:val="auto"/>
              </w:rPr>
              <w:t>监测1天，</w:t>
            </w:r>
            <w:r>
              <w:rPr>
                <w:color w:val="auto"/>
              </w:rPr>
              <w:t>昼间和夜间各监测</w:t>
            </w:r>
            <w:r>
              <w:rPr>
                <w:rFonts w:hint="eastAsia"/>
                <w:color w:val="auto"/>
              </w:rPr>
              <w:t>1</w:t>
            </w:r>
            <w:r>
              <w:rPr>
                <w:color w:val="auto"/>
              </w:rPr>
              <w:t>次。</w:t>
            </w:r>
            <w:r>
              <w:rPr>
                <w:rFonts w:hint="eastAsia"/>
                <w:color w:val="auto"/>
              </w:rPr>
              <w:t>本项目所在区域执行</w:t>
            </w:r>
            <w:r>
              <w:rPr>
                <w:color w:val="auto"/>
              </w:rPr>
              <w:t>《声环境质量标准》（GB 3096-2008）2类标准</w:t>
            </w:r>
            <w:r>
              <w:rPr>
                <w:rFonts w:hint="eastAsia"/>
                <w:color w:val="auto"/>
              </w:rPr>
              <w:t>。</w:t>
            </w:r>
            <w:r>
              <w:rPr>
                <w:color w:val="auto"/>
              </w:rPr>
              <w:t>监测结果</w:t>
            </w:r>
            <w:r>
              <w:rPr>
                <w:rFonts w:hint="eastAsia"/>
                <w:color w:val="auto"/>
                <w:lang w:val="en-US" w:eastAsia="zh-CN"/>
              </w:rPr>
              <w:t>见下表：</w:t>
            </w:r>
          </w:p>
          <w:p w14:paraId="5175E631">
            <w:pPr>
              <w:pStyle w:val="2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b/>
                <w:bCs/>
                <w:color w:val="auto"/>
                <w:kern w:val="21"/>
                <w:szCs w:val="24"/>
              </w:rPr>
            </w:pPr>
            <w:r>
              <w:rPr>
                <w:b/>
                <w:bCs/>
                <w:color w:val="auto"/>
              </w:rPr>
              <w:t>表3-</w:t>
            </w:r>
            <w:r>
              <w:rPr>
                <w:rFonts w:hint="eastAsia"/>
                <w:b/>
                <w:bCs/>
                <w:color w:val="auto"/>
              </w:rPr>
              <w:t xml:space="preserve">2 </w:t>
            </w:r>
            <w:r>
              <w:rPr>
                <w:b/>
                <w:bCs/>
                <w:color w:val="auto"/>
              </w:rPr>
              <w:t xml:space="preserve"> 声环境质量现状监测结果</w:t>
            </w:r>
          </w:p>
          <w:tbl>
            <w:tblPr>
              <w:tblStyle w:val="15"/>
              <w:tblW w:w="81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968"/>
              <w:gridCol w:w="1489"/>
              <w:gridCol w:w="1631"/>
              <w:gridCol w:w="2030"/>
            </w:tblGrid>
            <w:tr w14:paraId="36CDC0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8" w:type="pct"/>
                  <w:vMerge w:val="restart"/>
                  <w:noWrap w:val="0"/>
                  <w:vAlign w:val="center"/>
                </w:tcPr>
                <w:p w14:paraId="38904E9B">
                  <w:pPr>
                    <w:adjustRightInd w:val="0"/>
                    <w:snapToGrid w:val="0"/>
                    <w:jc w:val="center"/>
                    <w:rPr>
                      <w:b/>
                      <w:bCs/>
                      <w:color w:val="auto"/>
                      <w:sz w:val="21"/>
                      <w:szCs w:val="21"/>
                    </w:rPr>
                  </w:pPr>
                  <w:r>
                    <w:rPr>
                      <w:b/>
                      <w:bCs/>
                      <w:color w:val="auto"/>
                      <w:sz w:val="21"/>
                      <w:szCs w:val="21"/>
                    </w:rPr>
                    <w:t>监测点位</w:t>
                  </w:r>
                </w:p>
              </w:tc>
              <w:tc>
                <w:tcPr>
                  <w:tcW w:w="1921" w:type="pct"/>
                  <w:gridSpan w:val="2"/>
                  <w:noWrap w:val="0"/>
                  <w:vAlign w:val="center"/>
                </w:tcPr>
                <w:p w14:paraId="1D58FC28">
                  <w:pPr>
                    <w:adjustRightInd w:val="0"/>
                    <w:snapToGrid w:val="0"/>
                    <w:jc w:val="center"/>
                    <w:rPr>
                      <w:b/>
                      <w:bCs/>
                      <w:color w:val="auto"/>
                      <w:sz w:val="21"/>
                      <w:szCs w:val="21"/>
                    </w:rPr>
                  </w:pPr>
                  <w:r>
                    <w:rPr>
                      <w:b/>
                      <w:bCs/>
                      <w:color w:val="auto"/>
                      <w:sz w:val="21"/>
                      <w:szCs w:val="21"/>
                    </w:rPr>
                    <w:t>监测日期</w:t>
                  </w:r>
                  <w:r>
                    <w:rPr>
                      <w:rFonts w:hint="eastAsia"/>
                      <w:b/>
                      <w:bCs/>
                      <w:color w:val="auto"/>
                      <w:sz w:val="21"/>
                      <w:szCs w:val="21"/>
                    </w:rPr>
                    <w:t>202</w:t>
                  </w:r>
                  <w:r>
                    <w:rPr>
                      <w:rFonts w:hint="eastAsia"/>
                      <w:b/>
                      <w:bCs/>
                      <w:color w:val="auto"/>
                      <w:sz w:val="21"/>
                      <w:szCs w:val="21"/>
                      <w:lang w:val="en-US" w:eastAsia="zh-CN"/>
                    </w:rPr>
                    <w:t>4</w:t>
                  </w:r>
                  <w:r>
                    <w:rPr>
                      <w:rFonts w:hint="eastAsia"/>
                      <w:b/>
                      <w:bCs/>
                      <w:color w:val="auto"/>
                      <w:sz w:val="21"/>
                      <w:szCs w:val="21"/>
                    </w:rPr>
                    <w:t>年</w:t>
                  </w:r>
                  <w:r>
                    <w:rPr>
                      <w:rFonts w:hint="eastAsia"/>
                      <w:b/>
                      <w:bCs/>
                      <w:color w:val="auto"/>
                      <w:sz w:val="21"/>
                      <w:szCs w:val="21"/>
                      <w:lang w:val="en-US" w:eastAsia="zh-CN"/>
                    </w:rPr>
                    <w:t>11</w:t>
                  </w:r>
                  <w:r>
                    <w:rPr>
                      <w:rFonts w:hint="eastAsia"/>
                      <w:b/>
                      <w:bCs/>
                      <w:color w:val="auto"/>
                      <w:sz w:val="21"/>
                      <w:szCs w:val="21"/>
                    </w:rPr>
                    <w:t>月</w:t>
                  </w:r>
                  <w:r>
                    <w:rPr>
                      <w:rFonts w:hint="eastAsia"/>
                      <w:b/>
                      <w:bCs/>
                      <w:color w:val="auto"/>
                      <w:sz w:val="21"/>
                      <w:szCs w:val="21"/>
                      <w:lang w:val="en-US" w:eastAsia="zh-CN"/>
                    </w:rPr>
                    <w:t>29</w:t>
                  </w:r>
                  <w:r>
                    <w:rPr>
                      <w:rFonts w:hint="eastAsia"/>
                      <w:b/>
                      <w:bCs/>
                      <w:color w:val="auto"/>
                      <w:sz w:val="21"/>
                      <w:szCs w:val="21"/>
                    </w:rPr>
                    <w:t>日</w:t>
                  </w:r>
                </w:p>
              </w:tc>
              <w:tc>
                <w:tcPr>
                  <w:tcW w:w="1250" w:type="pct"/>
                  <w:vMerge w:val="restart"/>
                  <w:noWrap w:val="0"/>
                  <w:vAlign w:val="center"/>
                </w:tcPr>
                <w:p w14:paraId="2409DA19">
                  <w:pPr>
                    <w:adjustRightInd w:val="0"/>
                    <w:snapToGrid w:val="0"/>
                    <w:jc w:val="center"/>
                    <w:rPr>
                      <w:b/>
                      <w:bCs/>
                      <w:color w:val="auto"/>
                      <w:sz w:val="21"/>
                      <w:szCs w:val="21"/>
                    </w:rPr>
                  </w:pPr>
                  <w:r>
                    <w:rPr>
                      <w:b/>
                      <w:bCs/>
                      <w:color w:val="auto"/>
                      <w:sz w:val="21"/>
                      <w:szCs w:val="21"/>
                    </w:rPr>
                    <w:t>标准限值dB(A)</w:t>
                  </w:r>
                </w:p>
              </w:tc>
            </w:tr>
            <w:tr w14:paraId="2FAC8D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8" w:type="pct"/>
                  <w:vMerge w:val="continue"/>
                  <w:noWrap w:val="0"/>
                  <w:vAlign w:val="center"/>
                </w:tcPr>
                <w:p w14:paraId="01B27DF6">
                  <w:pPr>
                    <w:adjustRightInd w:val="0"/>
                    <w:snapToGrid w:val="0"/>
                    <w:jc w:val="center"/>
                    <w:rPr>
                      <w:b/>
                      <w:bCs/>
                      <w:color w:val="auto"/>
                      <w:sz w:val="21"/>
                      <w:szCs w:val="21"/>
                    </w:rPr>
                  </w:pPr>
                </w:p>
              </w:tc>
              <w:tc>
                <w:tcPr>
                  <w:tcW w:w="917" w:type="pct"/>
                  <w:noWrap w:val="0"/>
                  <w:vAlign w:val="center"/>
                </w:tcPr>
                <w:p w14:paraId="0E6758FB">
                  <w:pPr>
                    <w:adjustRightInd w:val="0"/>
                    <w:snapToGrid w:val="0"/>
                    <w:jc w:val="center"/>
                    <w:rPr>
                      <w:b/>
                      <w:bCs/>
                      <w:color w:val="auto"/>
                      <w:sz w:val="21"/>
                      <w:szCs w:val="21"/>
                    </w:rPr>
                  </w:pPr>
                  <w:r>
                    <w:rPr>
                      <w:b/>
                      <w:bCs/>
                      <w:color w:val="auto"/>
                      <w:sz w:val="21"/>
                      <w:szCs w:val="21"/>
                    </w:rPr>
                    <w:t>昼间</w:t>
                  </w:r>
                </w:p>
              </w:tc>
              <w:tc>
                <w:tcPr>
                  <w:tcW w:w="1004" w:type="pct"/>
                  <w:noWrap w:val="0"/>
                  <w:vAlign w:val="center"/>
                </w:tcPr>
                <w:p w14:paraId="5A8ED910">
                  <w:pPr>
                    <w:adjustRightInd w:val="0"/>
                    <w:snapToGrid w:val="0"/>
                    <w:jc w:val="center"/>
                    <w:rPr>
                      <w:b/>
                      <w:bCs/>
                      <w:color w:val="auto"/>
                      <w:sz w:val="21"/>
                      <w:szCs w:val="21"/>
                    </w:rPr>
                  </w:pPr>
                  <w:r>
                    <w:rPr>
                      <w:b/>
                      <w:bCs/>
                      <w:color w:val="auto"/>
                      <w:sz w:val="21"/>
                      <w:szCs w:val="21"/>
                    </w:rPr>
                    <w:t>夜间</w:t>
                  </w:r>
                </w:p>
              </w:tc>
              <w:tc>
                <w:tcPr>
                  <w:tcW w:w="1250" w:type="pct"/>
                  <w:vMerge w:val="continue"/>
                  <w:noWrap w:val="0"/>
                  <w:vAlign w:val="center"/>
                </w:tcPr>
                <w:p w14:paraId="51FBA943">
                  <w:pPr>
                    <w:adjustRightInd w:val="0"/>
                    <w:snapToGrid w:val="0"/>
                    <w:jc w:val="center"/>
                    <w:rPr>
                      <w:b/>
                      <w:bCs/>
                      <w:color w:val="auto"/>
                      <w:sz w:val="21"/>
                      <w:szCs w:val="21"/>
                    </w:rPr>
                  </w:pPr>
                </w:p>
              </w:tc>
            </w:tr>
            <w:tr w14:paraId="1EDC0C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8" w:type="pct"/>
                  <w:noWrap w:val="0"/>
                  <w:vAlign w:val="center"/>
                </w:tcPr>
                <w:p w14:paraId="2DAF57D4">
                  <w:pPr>
                    <w:adjustRightInd w:val="0"/>
                    <w:snapToGrid w:val="0"/>
                    <w:jc w:val="center"/>
                    <w:rPr>
                      <w:rFonts w:hint="default" w:eastAsia="宋体"/>
                      <w:color w:val="auto"/>
                      <w:sz w:val="21"/>
                      <w:szCs w:val="21"/>
                      <w:lang w:val="en-US" w:eastAsia="zh-CN"/>
                    </w:rPr>
                  </w:pPr>
                  <w:r>
                    <w:rPr>
                      <w:rFonts w:hint="eastAsia"/>
                      <w:color w:val="auto"/>
                      <w:sz w:val="21"/>
                      <w:szCs w:val="21"/>
                    </w:rPr>
                    <w:t>1#</w:t>
                  </w:r>
                  <w:r>
                    <w:rPr>
                      <w:rFonts w:hint="eastAsia"/>
                      <w:color w:val="auto"/>
                      <w:sz w:val="21"/>
                      <w:szCs w:val="21"/>
                      <w:lang w:val="en-US" w:eastAsia="zh-CN"/>
                    </w:rPr>
                    <w:t>紫境城小区12号楼</w:t>
                  </w:r>
                </w:p>
              </w:tc>
              <w:tc>
                <w:tcPr>
                  <w:tcW w:w="917" w:type="pct"/>
                  <w:noWrap w:val="0"/>
                  <w:vAlign w:val="center"/>
                </w:tcPr>
                <w:p w14:paraId="0CBCC392">
                  <w:pPr>
                    <w:adjustRightInd w:val="0"/>
                    <w:snapToGrid w:val="0"/>
                    <w:jc w:val="center"/>
                    <w:rPr>
                      <w:rFonts w:hint="default" w:eastAsia="宋体"/>
                      <w:color w:val="auto"/>
                      <w:sz w:val="21"/>
                      <w:szCs w:val="21"/>
                      <w:lang w:val="en-US" w:eastAsia="zh-CN"/>
                    </w:rPr>
                  </w:pPr>
                  <w:r>
                    <w:rPr>
                      <w:rFonts w:hint="eastAsia" w:eastAsia="宋体"/>
                      <w:color w:val="auto"/>
                      <w:sz w:val="21"/>
                      <w:szCs w:val="21"/>
                      <w:lang w:val="en-US" w:eastAsia="zh-CN"/>
                    </w:rPr>
                    <w:t>53</w:t>
                  </w:r>
                </w:p>
              </w:tc>
              <w:tc>
                <w:tcPr>
                  <w:tcW w:w="1004" w:type="pct"/>
                  <w:noWrap w:val="0"/>
                  <w:vAlign w:val="center"/>
                </w:tcPr>
                <w:p w14:paraId="4B9DE497">
                  <w:pPr>
                    <w:adjustRightInd w:val="0"/>
                    <w:snapToGrid w:val="0"/>
                    <w:jc w:val="center"/>
                    <w:rPr>
                      <w:rFonts w:hint="default" w:eastAsia="宋体"/>
                      <w:color w:val="auto"/>
                      <w:sz w:val="21"/>
                      <w:szCs w:val="21"/>
                      <w:lang w:val="en-US" w:eastAsia="zh-CN"/>
                    </w:rPr>
                  </w:pPr>
                  <w:r>
                    <w:rPr>
                      <w:rFonts w:hint="eastAsia" w:eastAsia="宋体"/>
                      <w:color w:val="auto"/>
                      <w:sz w:val="21"/>
                      <w:szCs w:val="21"/>
                      <w:lang w:val="en-US" w:eastAsia="zh-CN"/>
                    </w:rPr>
                    <w:t>47</w:t>
                  </w:r>
                </w:p>
              </w:tc>
              <w:tc>
                <w:tcPr>
                  <w:tcW w:w="1250" w:type="pct"/>
                  <w:vMerge w:val="restart"/>
                  <w:noWrap w:val="0"/>
                  <w:vAlign w:val="center"/>
                </w:tcPr>
                <w:p w14:paraId="6465D1D8">
                  <w:pPr>
                    <w:adjustRightInd w:val="0"/>
                    <w:snapToGrid w:val="0"/>
                    <w:jc w:val="center"/>
                    <w:rPr>
                      <w:rFonts w:hint="eastAsia"/>
                      <w:color w:val="auto"/>
                      <w:sz w:val="21"/>
                      <w:szCs w:val="21"/>
                    </w:rPr>
                  </w:pPr>
                  <w:r>
                    <w:rPr>
                      <w:color w:val="auto"/>
                      <w:sz w:val="21"/>
                      <w:szCs w:val="21"/>
                    </w:rPr>
                    <w:t>昼间：6</w:t>
                  </w:r>
                  <w:r>
                    <w:rPr>
                      <w:rFonts w:hint="eastAsia"/>
                      <w:color w:val="auto"/>
                      <w:sz w:val="21"/>
                      <w:szCs w:val="21"/>
                    </w:rPr>
                    <w:t>0</w:t>
                  </w:r>
                </w:p>
                <w:p w14:paraId="089708F1">
                  <w:pPr>
                    <w:adjustRightInd w:val="0"/>
                    <w:snapToGrid w:val="0"/>
                    <w:jc w:val="center"/>
                    <w:rPr>
                      <w:rFonts w:hint="eastAsia"/>
                      <w:color w:val="auto"/>
                      <w:sz w:val="21"/>
                      <w:szCs w:val="21"/>
                    </w:rPr>
                  </w:pPr>
                  <w:r>
                    <w:rPr>
                      <w:color w:val="auto"/>
                      <w:sz w:val="21"/>
                      <w:szCs w:val="21"/>
                    </w:rPr>
                    <w:t>夜间：</w:t>
                  </w:r>
                  <w:r>
                    <w:rPr>
                      <w:rFonts w:hint="eastAsia"/>
                      <w:color w:val="auto"/>
                      <w:sz w:val="21"/>
                      <w:szCs w:val="21"/>
                    </w:rPr>
                    <w:t>50</w:t>
                  </w:r>
                </w:p>
              </w:tc>
            </w:tr>
            <w:tr w14:paraId="4FE976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8" w:type="pct"/>
                  <w:noWrap w:val="0"/>
                  <w:vAlign w:val="center"/>
                </w:tcPr>
                <w:p w14:paraId="59D96CE9">
                  <w:pPr>
                    <w:adjustRightInd w:val="0"/>
                    <w:snapToGrid w:val="0"/>
                    <w:jc w:val="center"/>
                    <w:rPr>
                      <w:rFonts w:hint="eastAsia" w:eastAsia="宋体"/>
                      <w:color w:val="auto"/>
                      <w:sz w:val="21"/>
                      <w:szCs w:val="21"/>
                      <w:lang w:val="en-US" w:eastAsia="zh-CN"/>
                    </w:rPr>
                  </w:pPr>
                  <w:r>
                    <w:rPr>
                      <w:rFonts w:hint="eastAsia"/>
                      <w:color w:val="auto"/>
                      <w:sz w:val="21"/>
                      <w:szCs w:val="21"/>
                    </w:rPr>
                    <w:t>1#</w:t>
                  </w:r>
                  <w:r>
                    <w:rPr>
                      <w:rFonts w:hint="eastAsia"/>
                      <w:color w:val="auto"/>
                      <w:sz w:val="21"/>
                      <w:szCs w:val="21"/>
                      <w:lang w:val="en-US" w:eastAsia="zh-CN"/>
                    </w:rPr>
                    <w:t>紫境城小区13号楼</w:t>
                  </w:r>
                </w:p>
              </w:tc>
              <w:tc>
                <w:tcPr>
                  <w:tcW w:w="917" w:type="pct"/>
                  <w:noWrap w:val="0"/>
                  <w:vAlign w:val="center"/>
                </w:tcPr>
                <w:p w14:paraId="6F50A4F8">
                  <w:pPr>
                    <w:adjustRightInd w:val="0"/>
                    <w:snapToGrid w:val="0"/>
                    <w:jc w:val="center"/>
                    <w:rPr>
                      <w:rFonts w:hint="default" w:eastAsia="宋体"/>
                      <w:color w:val="auto"/>
                      <w:sz w:val="21"/>
                      <w:szCs w:val="21"/>
                      <w:lang w:val="en-US" w:eastAsia="zh-CN"/>
                    </w:rPr>
                  </w:pPr>
                  <w:r>
                    <w:rPr>
                      <w:rFonts w:hint="eastAsia" w:eastAsia="宋体"/>
                      <w:color w:val="auto"/>
                      <w:sz w:val="21"/>
                      <w:szCs w:val="21"/>
                      <w:lang w:val="en-US" w:eastAsia="zh-CN"/>
                    </w:rPr>
                    <w:t>53</w:t>
                  </w:r>
                </w:p>
              </w:tc>
              <w:tc>
                <w:tcPr>
                  <w:tcW w:w="1004" w:type="pct"/>
                  <w:noWrap w:val="0"/>
                  <w:vAlign w:val="center"/>
                </w:tcPr>
                <w:p w14:paraId="1D2EE611">
                  <w:pPr>
                    <w:adjustRightInd w:val="0"/>
                    <w:snapToGrid w:val="0"/>
                    <w:jc w:val="center"/>
                    <w:rPr>
                      <w:rFonts w:hint="default" w:eastAsia="宋体"/>
                      <w:color w:val="auto"/>
                      <w:sz w:val="21"/>
                      <w:szCs w:val="21"/>
                      <w:lang w:val="en-US" w:eastAsia="zh-CN"/>
                    </w:rPr>
                  </w:pPr>
                  <w:r>
                    <w:rPr>
                      <w:rFonts w:hint="eastAsia" w:eastAsia="宋体"/>
                      <w:color w:val="auto"/>
                      <w:sz w:val="21"/>
                      <w:szCs w:val="21"/>
                      <w:lang w:val="en-US" w:eastAsia="zh-CN"/>
                    </w:rPr>
                    <w:t>46</w:t>
                  </w:r>
                </w:p>
              </w:tc>
              <w:tc>
                <w:tcPr>
                  <w:tcW w:w="1250" w:type="pct"/>
                  <w:vMerge w:val="continue"/>
                  <w:noWrap w:val="0"/>
                  <w:vAlign w:val="center"/>
                </w:tcPr>
                <w:p w14:paraId="409594CE">
                  <w:pPr>
                    <w:pStyle w:val="19"/>
                    <w:spacing w:before="24" w:after="24"/>
                    <w:rPr>
                      <w:rFonts w:ascii="Times New Roman"/>
                      <w:color w:val="auto"/>
                      <w:sz w:val="21"/>
                      <w:szCs w:val="21"/>
                      <w:lang w:val="en-US" w:eastAsia="zh-CN"/>
                    </w:rPr>
                  </w:pPr>
                </w:p>
              </w:tc>
            </w:tr>
            <w:tr w14:paraId="4AC4F7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8" w:type="pct"/>
                  <w:noWrap w:val="0"/>
                  <w:vAlign w:val="center"/>
                </w:tcPr>
                <w:p w14:paraId="73E22B90">
                  <w:pPr>
                    <w:adjustRightInd w:val="0"/>
                    <w:snapToGrid w:val="0"/>
                    <w:jc w:val="center"/>
                    <w:rPr>
                      <w:rFonts w:hint="eastAsia" w:eastAsia="宋体"/>
                      <w:color w:val="auto"/>
                      <w:sz w:val="21"/>
                      <w:szCs w:val="21"/>
                      <w:lang w:val="en-US" w:eastAsia="zh-CN"/>
                    </w:rPr>
                  </w:pPr>
                  <w:r>
                    <w:rPr>
                      <w:rFonts w:hint="eastAsia"/>
                      <w:color w:val="auto"/>
                      <w:sz w:val="21"/>
                      <w:szCs w:val="21"/>
                    </w:rPr>
                    <w:t>1#</w:t>
                  </w:r>
                  <w:r>
                    <w:rPr>
                      <w:rFonts w:hint="eastAsia"/>
                      <w:color w:val="auto"/>
                      <w:sz w:val="21"/>
                      <w:szCs w:val="21"/>
                      <w:lang w:val="en-US" w:eastAsia="zh-CN"/>
                    </w:rPr>
                    <w:t>紫境城小区24号楼</w:t>
                  </w:r>
                </w:p>
              </w:tc>
              <w:tc>
                <w:tcPr>
                  <w:tcW w:w="917" w:type="pct"/>
                  <w:noWrap w:val="0"/>
                  <w:vAlign w:val="center"/>
                </w:tcPr>
                <w:p w14:paraId="335A0C31">
                  <w:pPr>
                    <w:adjustRightInd w:val="0"/>
                    <w:snapToGrid w:val="0"/>
                    <w:jc w:val="center"/>
                    <w:rPr>
                      <w:rFonts w:hint="default" w:eastAsia="宋体"/>
                      <w:color w:val="auto"/>
                      <w:sz w:val="21"/>
                      <w:szCs w:val="21"/>
                      <w:lang w:val="en-US" w:eastAsia="zh-CN"/>
                    </w:rPr>
                  </w:pPr>
                  <w:r>
                    <w:rPr>
                      <w:rFonts w:hint="eastAsia" w:eastAsia="宋体"/>
                      <w:color w:val="auto"/>
                      <w:sz w:val="21"/>
                      <w:szCs w:val="21"/>
                      <w:lang w:val="en-US" w:eastAsia="zh-CN"/>
                    </w:rPr>
                    <w:t>52</w:t>
                  </w:r>
                </w:p>
              </w:tc>
              <w:tc>
                <w:tcPr>
                  <w:tcW w:w="1004" w:type="pct"/>
                  <w:noWrap w:val="0"/>
                  <w:vAlign w:val="center"/>
                </w:tcPr>
                <w:p w14:paraId="24219655">
                  <w:pPr>
                    <w:adjustRightInd w:val="0"/>
                    <w:snapToGrid w:val="0"/>
                    <w:jc w:val="center"/>
                    <w:rPr>
                      <w:rFonts w:hint="default" w:eastAsia="宋体"/>
                      <w:color w:val="auto"/>
                      <w:sz w:val="21"/>
                      <w:szCs w:val="21"/>
                      <w:lang w:val="en-US" w:eastAsia="zh-CN"/>
                    </w:rPr>
                  </w:pPr>
                  <w:r>
                    <w:rPr>
                      <w:rFonts w:hint="eastAsia" w:eastAsia="宋体"/>
                      <w:color w:val="auto"/>
                      <w:sz w:val="21"/>
                      <w:szCs w:val="21"/>
                      <w:lang w:val="en-US" w:eastAsia="zh-CN"/>
                    </w:rPr>
                    <w:t>45</w:t>
                  </w:r>
                </w:p>
              </w:tc>
              <w:tc>
                <w:tcPr>
                  <w:tcW w:w="1250" w:type="pct"/>
                  <w:vMerge w:val="continue"/>
                  <w:noWrap w:val="0"/>
                  <w:vAlign w:val="center"/>
                </w:tcPr>
                <w:p w14:paraId="3B0CF517">
                  <w:pPr>
                    <w:pStyle w:val="19"/>
                    <w:spacing w:before="24" w:after="24"/>
                    <w:rPr>
                      <w:rFonts w:ascii="Times New Roman"/>
                      <w:color w:val="auto"/>
                      <w:sz w:val="21"/>
                      <w:szCs w:val="21"/>
                      <w:lang w:val="en-US" w:eastAsia="zh-CN"/>
                    </w:rPr>
                  </w:pPr>
                </w:p>
              </w:tc>
            </w:tr>
            <w:tr w14:paraId="061215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8" w:type="pct"/>
                  <w:noWrap w:val="0"/>
                  <w:vAlign w:val="center"/>
                </w:tcPr>
                <w:p w14:paraId="42832614">
                  <w:pPr>
                    <w:adjustRightInd w:val="0"/>
                    <w:snapToGrid w:val="0"/>
                    <w:jc w:val="center"/>
                    <w:rPr>
                      <w:rFonts w:hint="eastAsia" w:eastAsia="宋体"/>
                      <w:color w:val="auto"/>
                      <w:sz w:val="21"/>
                      <w:szCs w:val="21"/>
                      <w:lang w:val="en-US" w:eastAsia="zh-CN"/>
                    </w:rPr>
                  </w:pPr>
                  <w:r>
                    <w:rPr>
                      <w:rFonts w:hint="eastAsia"/>
                      <w:color w:val="auto"/>
                      <w:sz w:val="21"/>
                      <w:szCs w:val="21"/>
                    </w:rPr>
                    <w:t>1#</w:t>
                  </w:r>
                  <w:r>
                    <w:rPr>
                      <w:rFonts w:hint="eastAsia"/>
                      <w:color w:val="auto"/>
                      <w:sz w:val="21"/>
                      <w:szCs w:val="21"/>
                      <w:lang w:val="en-US" w:eastAsia="zh-CN"/>
                    </w:rPr>
                    <w:t>紫境城小区23号楼</w:t>
                  </w:r>
                </w:p>
              </w:tc>
              <w:tc>
                <w:tcPr>
                  <w:tcW w:w="917" w:type="pct"/>
                  <w:noWrap w:val="0"/>
                  <w:vAlign w:val="center"/>
                </w:tcPr>
                <w:p w14:paraId="18ACC2F0">
                  <w:pPr>
                    <w:adjustRightInd w:val="0"/>
                    <w:snapToGrid w:val="0"/>
                    <w:jc w:val="center"/>
                    <w:rPr>
                      <w:rFonts w:hint="default"/>
                      <w:color w:val="auto"/>
                      <w:sz w:val="21"/>
                      <w:szCs w:val="21"/>
                      <w:lang w:val="en-US" w:eastAsia="zh-CN"/>
                    </w:rPr>
                  </w:pPr>
                  <w:r>
                    <w:rPr>
                      <w:rFonts w:hint="eastAsia"/>
                      <w:color w:val="auto"/>
                      <w:sz w:val="21"/>
                      <w:szCs w:val="21"/>
                      <w:lang w:val="en-US" w:eastAsia="zh-CN"/>
                    </w:rPr>
                    <w:t>51</w:t>
                  </w:r>
                </w:p>
              </w:tc>
              <w:tc>
                <w:tcPr>
                  <w:tcW w:w="1004" w:type="pct"/>
                  <w:noWrap w:val="0"/>
                  <w:vAlign w:val="center"/>
                </w:tcPr>
                <w:p w14:paraId="73D3D06D">
                  <w:pPr>
                    <w:adjustRightInd w:val="0"/>
                    <w:snapToGrid w:val="0"/>
                    <w:jc w:val="center"/>
                    <w:rPr>
                      <w:rFonts w:hint="default"/>
                      <w:color w:val="auto"/>
                      <w:sz w:val="21"/>
                      <w:szCs w:val="21"/>
                      <w:lang w:val="en-US" w:eastAsia="zh-CN"/>
                    </w:rPr>
                  </w:pPr>
                  <w:r>
                    <w:rPr>
                      <w:rFonts w:hint="eastAsia"/>
                      <w:color w:val="auto"/>
                      <w:sz w:val="21"/>
                      <w:szCs w:val="21"/>
                      <w:lang w:val="en-US" w:eastAsia="zh-CN"/>
                    </w:rPr>
                    <w:t>45</w:t>
                  </w:r>
                </w:p>
              </w:tc>
              <w:tc>
                <w:tcPr>
                  <w:tcW w:w="1250" w:type="pct"/>
                  <w:vMerge w:val="continue"/>
                  <w:noWrap w:val="0"/>
                  <w:vAlign w:val="center"/>
                </w:tcPr>
                <w:p w14:paraId="03167DB4">
                  <w:pPr>
                    <w:pStyle w:val="19"/>
                    <w:spacing w:before="24" w:after="24"/>
                    <w:rPr>
                      <w:rFonts w:ascii="Times New Roman"/>
                      <w:color w:val="auto"/>
                      <w:sz w:val="21"/>
                      <w:szCs w:val="21"/>
                      <w:lang w:val="en-US" w:eastAsia="zh-CN"/>
                    </w:rPr>
                  </w:pPr>
                </w:p>
              </w:tc>
            </w:tr>
            <w:tr w14:paraId="39981B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8" w:type="pct"/>
                  <w:noWrap w:val="0"/>
                  <w:vAlign w:val="center"/>
                </w:tcPr>
                <w:p w14:paraId="73C17A55">
                  <w:pPr>
                    <w:adjustRightInd w:val="0"/>
                    <w:snapToGrid w:val="0"/>
                    <w:jc w:val="center"/>
                    <w:rPr>
                      <w:rFonts w:hint="eastAsia" w:eastAsia="宋体"/>
                      <w:color w:val="auto"/>
                      <w:sz w:val="21"/>
                      <w:szCs w:val="21"/>
                      <w:lang w:val="en-US" w:eastAsia="zh-CN"/>
                    </w:rPr>
                  </w:pPr>
                  <w:r>
                    <w:rPr>
                      <w:rFonts w:hint="eastAsia"/>
                      <w:color w:val="auto"/>
                      <w:sz w:val="21"/>
                      <w:szCs w:val="21"/>
                    </w:rPr>
                    <w:t>1#</w:t>
                  </w:r>
                  <w:r>
                    <w:rPr>
                      <w:rFonts w:hint="eastAsia"/>
                      <w:color w:val="auto"/>
                      <w:sz w:val="21"/>
                      <w:szCs w:val="21"/>
                      <w:lang w:val="en-US" w:eastAsia="zh-CN"/>
                    </w:rPr>
                    <w:t>紫境城小区22号楼</w:t>
                  </w:r>
                </w:p>
              </w:tc>
              <w:tc>
                <w:tcPr>
                  <w:tcW w:w="917" w:type="pct"/>
                  <w:noWrap w:val="0"/>
                  <w:vAlign w:val="center"/>
                </w:tcPr>
                <w:p w14:paraId="07650905">
                  <w:pPr>
                    <w:adjustRightInd w:val="0"/>
                    <w:snapToGrid w:val="0"/>
                    <w:jc w:val="center"/>
                    <w:rPr>
                      <w:rFonts w:hint="default"/>
                      <w:color w:val="auto"/>
                      <w:sz w:val="21"/>
                      <w:szCs w:val="21"/>
                      <w:lang w:val="en-US" w:eastAsia="zh-CN"/>
                    </w:rPr>
                  </w:pPr>
                  <w:r>
                    <w:rPr>
                      <w:rFonts w:hint="eastAsia"/>
                      <w:color w:val="auto"/>
                      <w:sz w:val="21"/>
                      <w:szCs w:val="21"/>
                      <w:lang w:val="en-US" w:eastAsia="zh-CN"/>
                    </w:rPr>
                    <w:t>52</w:t>
                  </w:r>
                </w:p>
              </w:tc>
              <w:tc>
                <w:tcPr>
                  <w:tcW w:w="1004" w:type="pct"/>
                  <w:noWrap w:val="0"/>
                  <w:vAlign w:val="center"/>
                </w:tcPr>
                <w:p w14:paraId="3252179D">
                  <w:pPr>
                    <w:adjustRightInd w:val="0"/>
                    <w:snapToGrid w:val="0"/>
                    <w:jc w:val="center"/>
                    <w:rPr>
                      <w:rFonts w:hint="default"/>
                      <w:color w:val="auto"/>
                      <w:sz w:val="21"/>
                      <w:szCs w:val="21"/>
                      <w:lang w:val="en-US" w:eastAsia="zh-CN"/>
                    </w:rPr>
                  </w:pPr>
                  <w:r>
                    <w:rPr>
                      <w:rFonts w:hint="eastAsia"/>
                      <w:color w:val="auto"/>
                      <w:sz w:val="21"/>
                      <w:szCs w:val="21"/>
                      <w:lang w:val="en-US" w:eastAsia="zh-CN"/>
                    </w:rPr>
                    <w:t>44</w:t>
                  </w:r>
                </w:p>
              </w:tc>
              <w:tc>
                <w:tcPr>
                  <w:tcW w:w="1250" w:type="pct"/>
                  <w:vMerge w:val="continue"/>
                  <w:noWrap w:val="0"/>
                  <w:vAlign w:val="center"/>
                </w:tcPr>
                <w:p w14:paraId="7A8FA383">
                  <w:pPr>
                    <w:pStyle w:val="19"/>
                    <w:spacing w:before="24" w:after="24"/>
                    <w:rPr>
                      <w:rFonts w:ascii="Times New Roman"/>
                      <w:color w:val="auto"/>
                      <w:sz w:val="21"/>
                      <w:szCs w:val="21"/>
                      <w:lang w:val="en-US" w:eastAsia="zh-CN"/>
                    </w:rPr>
                  </w:pPr>
                </w:p>
              </w:tc>
            </w:tr>
            <w:tr w14:paraId="5E5A99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8" w:type="pct"/>
                  <w:noWrap w:val="0"/>
                  <w:vAlign w:val="center"/>
                </w:tcPr>
                <w:p w14:paraId="7C657193">
                  <w:pPr>
                    <w:adjustRightInd w:val="0"/>
                    <w:snapToGrid w:val="0"/>
                    <w:jc w:val="center"/>
                    <w:rPr>
                      <w:rFonts w:hint="eastAsia" w:eastAsia="宋体"/>
                      <w:color w:val="auto"/>
                      <w:sz w:val="21"/>
                      <w:szCs w:val="21"/>
                      <w:lang w:val="en-US" w:eastAsia="zh-CN"/>
                    </w:rPr>
                  </w:pPr>
                  <w:r>
                    <w:rPr>
                      <w:rFonts w:hint="eastAsia"/>
                      <w:color w:val="auto"/>
                      <w:sz w:val="21"/>
                      <w:szCs w:val="21"/>
                    </w:rPr>
                    <w:t>1#</w:t>
                  </w:r>
                  <w:r>
                    <w:rPr>
                      <w:rFonts w:hint="eastAsia"/>
                      <w:color w:val="auto"/>
                      <w:sz w:val="21"/>
                      <w:szCs w:val="21"/>
                      <w:lang w:val="en-US" w:eastAsia="zh-CN"/>
                    </w:rPr>
                    <w:t>紫境城小区32号楼</w:t>
                  </w:r>
                </w:p>
              </w:tc>
              <w:tc>
                <w:tcPr>
                  <w:tcW w:w="917" w:type="pct"/>
                  <w:noWrap w:val="0"/>
                  <w:vAlign w:val="center"/>
                </w:tcPr>
                <w:p w14:paraId="4FB83ACB">
                  <w:pPr>
                    <w:adjustRightInd w:val="0"/>
                    <w:snapToGrid w:val="0"/>
                    <w:jc w:val="center"/>
                    <w:rPr>
                      <w:rFonts w:hint="default"/>
                      <w:color w:val="auto"/>
                      <w:sz w:val="21"/>
                      <w:szCs w:val="21"/>
                      <w:lang w:val="en-US" w:eastAsia="zh-CN"/>
                    </w:rPr>
                  </w:pPr>
                  <w:r>
                    <w:rPr>
                      <w:rFonts w:hint="eastAsia"/>
                      <w:color w:val="auto"/>
                      <w:sz w:val="21"/>
                      <w:szCs w:val="21"/>
                      <w:lang w:val="en-US" w:eastAsia="zh-CN"/>
                    </w:rPr>
                    <w:t>52</w:t>
                  </w:r>
                </w:p>
              </w:tc>
              <w:tc>
                <w:tcPr>
                  <w:tcW w:w="1004" w:type="pct"/>
                  <w:noWrap w:val="0"/>
                  <w:vAlign w:val="center"/>
                </w:tcPr>
                <w:p w14:paraId="33876DEE">
                  <w:pPr>
                    <w:adjustRightInd w:val="0"/>
                    <w:snapToGrid w:val="0"/>
                    <w:jc w:val="center"/>
                    <w:rPr>
                      <w:rFonts w:hint="default"/>
                      <w:color w:val="auto"/>
                      <w:sz w:val="21"/>
                      <w:szCs w:val="21"/>
                      <w:lang w:val="en-US" w:eastAsia="zh-CN"/>
                    </w:rPr>
                  </w:pPr>
                  <w:r>
                    <w:rPr>
                      <w:rFonts w:hint="eastAsia"/>
                      <w:color w:val="auto"/>
                      <w:sz w:val="21"/>
                      <w:szCs w:val="21"/>
                      <w:lang w:val="en-US" w:eastAsia="zh-CN"/>
                    </w:rPr>
                    <w:t>46</w:t>
                  </w:r>
                </w:p>
              </w:tc>
              <w:tc>
                <w:tcPr>
                  <w:tcW w:w="1250" w:type="pct"/>
                  <w:vMerge w:val="continue"/>
                  <w:noWrap w:val="0"/>
                  <w:vAlign w:val="center"/>
                </w:tcPr>
                <w:p w14:paraId="73D2A888">
                  <w:pPr>
                    <w:pStyle w:val="19"/>
                    <w:spacing w:before="24" w:after="24"/>
                    <w:rPr>
                      <w:rFonts w:ascii="Times New Roman"/>
                      <w:color w:val="auto"/>
                      <w:sz w:val="21"/>
                      <w:szCs w:val="21"/>
                      <w:lang w:val="en-US" w:eastAsia="zh-CN"/>
                    </w:rPr>
                  </w:pPr>
                </w:p>
              </w:tc>
            </w:tr>
            <w:tr w14:paraId="03E97D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8" w:type="pct"/>
                  <w:noWrap w:val="0"/>
                  <w:vAlign w:val="center"/>
                </w:tcPr>
                <w:p w14:paraId="2BC0C44E">
                  <w:pPr>
                    <w:adjustRightInd w:val="0"/>
                    <w:snapToGrid w:val="0"/>
                    <w:jc w:val="center"/>
                    <w:rPr>
                      <w:rFonts w:hint="eastAsia" w:eastAsia="宋体"/>
                      <w:color w:val="auto"/>
                      <w:sz w:val="21"/>
                      <w:szCs w:val="21"/>
                      <w:lang w:val="en-US" w:eastAsia="zh-CN"/>
                    </w:rPr>
                  </w:pPr>
                  <w:r>
                    <w:rPr>
                      <w:rFonts w:hint="eastAsia"/>
                      <w:color w:val="auto"/>
                      <w:sz w:val="21"/>
                      <w:szCs w:val="21"/>
                    </w:rPr>
                    <w:t>1#</w:t>
                  </w:r>
                  <w:r>
                    <w:rPr>
                      <w:rFonts w:hint="eastAsia"/>
                      <w:color w:val="auto"/>
                      <w:sz w:val="21"/>
                      <w:szCs w:val="21"/>
                      <w:lang w:val="en-US" w:eastAsia="zh-CN"/>
                    </w:rPr>
                    <w:t>紫境城小区31号楼</w:t>
                  </w:r>
                </w:p>
              </w:tc>
              <w:tc>
                <w:tcPr>
                  <w:tcW w:w="917" w:type="pct"/>
                  <w:noWrap w:val="0"/>
                  <w:vAlign w:val="center"/>
                </w:tcPr>
                <w:p w14:paraId="41008F47">
                  <w:pPr>
                    <w:adjustRightInd w:val="0"/>
                    <w:snapToGrid w:val="0"/>
                    <w:jc w:val="center"/>
                    <w:rPr>
                      <w:rFonts w:hint="default" w:eastAsia="宋体"/>
                      <w:color w:val="auto"/>
                      <w:sz w:val="21"/>
                      <w:szCs w:val="21"/>
                      <w:lang w:val="en-US" w:eastAsia="zh-CN"/>
                    </w:rPr>
                  </w:pPr>
                  <w:r>
                    <w:rPr>
                      <w:rFonts w:hint="eastAsia" w:eastAsia="宋体"/>
                      <w:color w:val="auto"/>
                      <w:sz w:val="21"/>
                      <w:szCs w:val="21"/>
                      <w:lang w:val="en-US" w:eastAsia="zh-CN"/>
                    </w:rPr>
                    <w:t>52</w:t>
                  </w:r>
                </w:p>
              </w:tc>
              <w:tc>
                <w:tcPr>
                  <w:tcW w:w="1004" w:type="pct"/>
                  <w:noWrap w:val="0"/>
                  <w:vAlign w:val="center"/>
                </w:tcPr>
                <w:p w14:paraId="65463B95">
                  <w:pPr>
                    <w:adjustRightInd w:val="0"/>
                    <w:snapToGrid w:val="0"/>
                    <w:jc w:val="center"/>
                    <w:rPr>
                      <w:rFonts w:hint="default" w:eastAsia="宋体"/>
                      <w:color w:val="auto"/>
                      <w:sz w:val="21"/>
                      <w:szCs w:val="21"/>
                      <w:lang w:val="en-US" w:eastAsia="zh-CN"/>
                    </w:rPr>
                  </w:pPr>
                  <w:r>
                    <w:rPr>
                      <w:rFonts w:hint="eastAsia" w:eastAsia="宋体"/>
                      <w:color w:val="auto"/>
                      <w:sz w:val="21"/>
                      <w:szCs w:val="21"/>
                      <w:lang w:val="en-US" w:eastAsia="zh-CN"/>
                    </w:rPr>
                    <w:t>46</w:t>
                  </w:r>
                </w:p>
              </w:tc>
              <w:tc>
                <w:tcPr>
                  <w:tcW w:w="1250" w:type="pct"/>
                  <w:vMerge w:val="continue"/>
                  <w:noWrap w:val="0"/>
                  <w:vAlign w:val="center"/>
                </w:tcPr>
                <w:p w14:paraId="70E7210D">
                  <w:pPr>
                    <w:pStyle w:val="19"/>
                    <w:spacing w:before="24" w:after="24"/>
                    <w:rPr>
                      <w:rFonts w:ascii="Times New Roman"/>
                      <w:color w:val="auto"/>
                      <w:sz w:val="21"/>
                      <w:szCs w:val="21"/>
                      <w:lang w:val="en-US" w:eastAsia="zh-CN"/>
                    </w:rPr>
                  </w:pPr>
                </w:p>
              </w:tc>
            </w:tr>
          </w:tbl>
          <w:p w14:paraId="5F64FE7E">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color w:val="auto"/>
                <w:sz w:val="24"/>
              </w:rPr>
            </w:pPr>
            <w:r>
              <w:rPr>
                <w:color w:val="auto"/>
                <w:sz w:val="24"/>
              </w:rPr>
              <w:t>由表中监测数据可知，</w:t>
            </w:r>
            <w:bookmarkStart w:id="3" w:name="_Hlk533510394"/>
            <w:r>
              <w:rPr>
                <w:rFonts w:hint="eastAsia"/>
                <w:color w:val="auto"/>
                <w:sz w:val="24"/>
              </w:rPr>
              <w:t>本项目敏感点噪声监测值均</w:t>
            </w:r>
            <w:bookmarkEnd w:id="3"/>
            <w:r>
              <w:rPr>
                <w:rFonts w:hint="eastAsia"/>
                <w:color w:val="auto"/>
                <w:sz w:val="24"/>
                <w:lang w:val="en-US" w:eastAsia="zh-CN"/>
              </w:rPr>
              <w:t>满足</w:t>
            </w:r>
            <w:r>
              <w:rPr>
                <w:color w:val="auto"/>
                <w:sz w:val="24"/>
              </w:rPr>
              <w:t>《声环境质量标准》（GB 3096-2008）2类标准</w:t>
            </w:r>
            <w:r>
              <w:rPr>
                <w:rFonts w:hint="eastAsia"/>
                <w:color w:val="auto"/>
                <w:sz w:val="24"/>
              </w:rPr>
              <w:t>要求。</w:t>
            </w:r>
          </w:p>
          <w:p w14:paraId="37D11FF8">
            <w:pPr>
              <w:pStyle w:val="22"/>
              <w:bidi w:val="0"/>
              <w:rPr>
                <w:color w:val="auto"/>
              </w:rPr>
            </w:pPr>
            <w:r>
              <w:rPr>
                <w:rFonts w:hint="eastAsia"/>
                <w:color w:val="auto"/>
                <w:lang w:val="en-US" w:eastAsia="zh-CN"/>
              </w:rPr>
              <w:t>（3）</w:t>
            </w:r>
            <w:r>
              <w:rPr>
                <w:rFonts w:hint="eastAsia"/>
                <w:color w:val="auto"/>
              </w:rPr>
              <w:t>生态</w:t>
            </w:r>
            <w:r>
              <w:rPr>
                <w:color w:val="auto"/>
              </w:rPr>
              <w:t>环境质量现状</w:t>
            </w:r>
          </w:p>
          <w:p w14:paraId="5DD09CF1">
            <w:pPr>
              <w:pStyle w:val="22"/>
              <w:bidi w:val="0"/>
              <w:rPr>
                <w:rFonts w:hint="eastAsia" w:eastAsia="宋体"/>
                <w:color w:val="auto"/>
                <w:lang w:val="en-US" w:eastAsia="zh-CN"/>
              </w:rPr>
            </w:pPr>
            <w:r>
              <w:rPr>
                <w:rFonts w:hint="eastAsia"/>
                <w:color w:val="auto"/>
              </w:rPr>
              <w:t>根据《建设项目环境影响报告表编制技术指南》，本项目</w:t>
            </w:r>
            <w:r>
              <w:rPr>
                <w:rFonts w:hint="eastAsia"/>
                <w:color w:val="auto"/>
                <w:lang w:val="en-US" w:eastAsia="zh-CN"/>
              </w:rPr>
              <w:t>位于</w:t>
            </w:r>
            <w:r>
              <w:rPr>
                <w:rFonts w:hint="eastAsia"/>
                <w:color w:val="auto"/>
              </w:rPr>
              <w:t>城市建成区内，无新增用地，故不进行生态现状调查。</w:t>
            </w:r>
          </w:p>
        </w:tc>
      </w:tr>
      <w:tr w14:paraId="121E60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25" w:hRule="atLeast"/>
          <w:jc w:val="center"/>
        </w:trPr>
        <w:tc>
          <w:tcPr>
            <w:tcW w:w="904" w:type="dxa"/>
            <w:noWrap w:val="0"/>
            <w:vAlign w:val="center"/>
          </w:tcPr>
          <w:p w14:paraId="31037EB5">
            <w:pPr>
              <w:adjustRightInd w:val="0"/>
              <w:snapToGrid w:val="0"/>
              <w:jc w:val="center"/>
              <w:rPr>
                <w:rFonts w:ascii="宋体" w:hAnsi="宋体" w:cs="宋体"/>
                <w:color w:val="auto"/>
                <w:kern w:val="0"/>
                <w:szCs w:val="21"/>
              </w:rPr>
            </w:pPr>
            <w:r>
              <w:rPr>
                <w:rFonts w:hint="eastAsia" w:ascii="宋体" w:hAnsi="宋体"/>
                <w:bCs/>
                <w:color w:val="auto"/>
                <w:sz w:val="24"/>
                <w:szCs w:val="24"/>
              </w:rPr>
              <w:t>与项目有关的原有环境污染和生态破坏问题</w:t>
            </w:r>
          </w:p>
        </w:tc>
        <w:tc>
          <w:tcPr>
            <w:tcW w:w="8253" w:type="dxa"/>
            <w:noWrap w:val="0"/>
            <w:vAlign w:val="center"/>
          </w:tcPr>
          <w:p w14:paraId="0BBE5C33">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color w:val="auto"/>
                <w:lang w:val="en-US" w:eastAsia="zh-CN"/>
              </w:rPr>
            </w:pPr>
            <w:r>
              <w:rPr>
                <w:rFonts w:hint="eastAsia"/>
                <w:color w:val="auto"/>
                <w:lang w:val="en-US" w:eastAsia="zh-CN"/>
              </w:rPr>
              <w:t>紫境城地热井位于西咸新区沣东新城三桥街办紫境城小区院内，由于市政供暖管网未覆盖到此区域，地热井于小区建设时由开发商建成，未建设回灌井，现建设回灌井、回灌机组及供热机房等用于紫境城小区8.74万m</w:t>
            </w:r>
            <w:r>
              <w:rPr>
                <w:rFonts w:hint="eastAsia"/>
                <w:color w:val="auto"/>
                <w:vertAlign w:val="superscript"/>
                <w:lang w:val="en-US" w:eastAsia="zh-CN"/>
              </w:rPr>
              <w:t>2</w:t>
            </w:r>
            <w:r>
              <w:rPr>
                <w:rFonts w:hint="eastAsia"/>
                <w:color w:val="auto"/>
                <w:lang w:val="en-US" w:eastAsia="zh-CN"/>
              </w:rPr>
              <w:t>住宅冬季供暖，开采水量为14.52万m</w:t>
            </w:r>
            <w:r>
              <w:rPr>
                <w:rFonts w:hint="eastAsia"/>
                <w:color w:val="auto"/>
                <w:vertAlign w:val="superscript"/>
                <w:lang w:val="en-US" w:eastAsia="zh-CN"/>
              </w:rPr>
              <w:t>3</w:t>
            </w:r>
            <w:r>
              <w:rPr>
                <w:rFonts w:hint="eastAsia"/>
                <w:color w:val="auto"/>
                <w:lang w:val="en-US" w:eastAsia="zh-CN"/>
              </w:rPr>
              <w:t>/a。</w:t>
            </w:r>
          </w:p>
          <w:p w14:paraId="0E512877">
            <w:pPr>
              <w:pStyle w:val="22"/>
              <w:bidi w:val="0"/>
              <w:rPr>
                <w:rFonts w:hint="eastAsia"/>
                <w:b/>
                <w:bCs/>
                <w:color w:val="auto"/>
                <w:lang w:val="en-US" w:eastAsia="zh-CN"/>
              </w:rPr>
            </w:pPr>
            <w:r>
              <w:rPr>
                <w:rFonts w:hint="eastAsia"/>
                <w:b/>
                <w:bCs/>
                <w:color w:val="auto"/>
                <w:lang w:val="en-US" w:eastAsia="zh-CN"/>
              </w:rPr>
              <w:t>1、现有项目建设内容</w:t>
            </w:r>
          </w:p>
          <w:p w14:paraId="4B031D02">
            <w:pPr>
              <w:pStyle w:val="22"/>
              <w:bidi w:val="0"/>
              <w:rPr>
                <w:rFonts w:hint="default"/>
                <w:color w:val="auto"/>
                <w:lang w:val="en-US" w:eastAsia="zh-CN"/>
              </w:rPr>
            </w:pPr>
            <w:r>
              <w:rPr>
                <w:rFonts w:hint="eastAsia"/>
                <w:color w:val="auto"/>
                <w:lang w:val="en-US" w:eastAsia="zh-CN"/>
              </w:rPr>
              <w:t>项目位于紫境城小区内，井口坐标：</w:t>
            </w:r>
            <w:r>
              <w:rPr>
                <w:rFonts w:hint="default" w:ascii="Times New Roman" w:hAnsi="Times New Roman" w:cs="Times New Roman"/>
                <w:color w:val="auto"/>
                <w:lang w:eastAsia="zh-CN"/>
              </w:rPr>
              <w:t>E：108°49′38.19″，N：34°18′6.8″</w:t>
            </w:r>
            <w:r>
              <w:rPr>
                <w:rFonts w:hint="eastAsia"/>
                <w:color w:val="auto"/>
                <w:lang w:val="en-US" w:eastAsia="zh-CN"/>
              </w:rPr>
              <w:t>，地面高程H=387m。已建地热井一口，井深2772.2m，该井主要取用蓝田灞河组热储，取水段深度1932.50～2772.20m。</w:t>
            </w:r>
          </w:p>
          <w:p w14:paraId="2CA7AFFD">
            <w:pPr>
              <w:pStyle w:val="22"/>
              <w:bidi w:val="0"/>
              <w:rPr>
                <w:rFonts w:hint="eastAsia"/>
                <w:b/>
                <w:bCs/>
                <w:color w:val="auto"/>
                <w:lang w:val="en-US" w:eastAsia="zh-CN"/>
              </w:rPr>
            </w:pPr>
            <w:r>
              <w:rPr>
                <w:rFonts w:hint="eastAsia"/>
                <w:b/>
                <w:bCs/>
                <w:color w:val="auto"/>
                <w:lang w:val="en-US" w:eastAsia="zh-CN"/>
              </w:rPr>
              <w:t>2、项目现有问题</w:t>
            </w:r>
          </w:p>
          <w:p w14:paraId="3AEB9EAB">
            <w:pPr>
              <w:pStyle w:val="22"/>
              <w:bidi w:val="0"/>
              <w:rPr>
                <w:rFonts w:hint="default" w:ascii="宋体" w:hAnsi="宋体" w:eastAsia="宋体" w:cs="宋体"/>
                <w:color w:val="auto"/>
                <w:kern w:val="0"/>
                <w:szCs w:val="21"/>
                <w:lang w:val="en-US" w:eastAsia="zh-CN"/>
              </w:rPr>
            </w:pPr>
            <w:r>
              <w:rPr>
                <w:rFonts w:hint="eastAsia"/>
                <w:color w:val="auto"/>
                <w:lang w:val="en-US" w:eastAsia="zh-CN"/>
              </w:rPr>
              <w:t>未建设回灌井进行换热尾水回灌。</w:t>
            </w:r>
          </w:p>
        </w:tc>
      </w:tr>
      <w:tr w14:paraId="0D7982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35" w:hRule="atLeast"/>
          <w:jc w:val="center"/>
        </w:trPr>
        <w:tc>
          <w:tcPr>
            <w:tcW w:w="904" w:type="dxa"/>
            <w:noWrap w:val="0"/>
            <w:vAlign w:val="center"/>
          </w:tcPr>
          <w:p w14:paraId="51D9E315">
            <w:pPr>
              <w:adjustRightInd w:val="0"/>
              <w:snapToGrid w:val="0"/>
              <w:jc w:val="center"/>
              <w:rPr>
                <w:rFonts w:ascii="宋体" w:hAnsi="宋体" w:cs="宋体"/>
                <w:color w:val="auto"/>
                <w:kern w:val="0"/>
                <w:sz w:val="24"/>
                <w:szCs w:val="24"/>
              </w:rPr>
            </w:pPr>
            <w:r>
              <w:rPr>
                <w:rFonts w:hint="eastAsia" w:ascii="宋体" w:hAnsi="宋体" w:cs="宋体"/>
                <w:color w:val="auto"/>
                <w:kern w:val="0"/>
                <w:sz w:val="24"/>
                <w:szCs w:val="24"/>
              </w:rPr>
              <w:t>生态环境保护目标</w:t>
            </w:r>
          </w:p>
        </w:tc>
        <w:tc>
          <w:tcPr>
            <w:tcW w:w="8253" w:type="dxa"/>
            <w:noWrap w:val="0"/>
            <w:vAlign w:val="center"/>
          </w:tcPr>
          <w:p w14:paraId="70459892">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color w:val="auto"/>
              </w:rPr>
            </w:pPr>
            <w:r>
              <w:rPr>
                <w:rFonts w:hint="eastAsia"/>
                <w:color w:val="auto"/>
              </w:rPr>
              <w:t>项目运营期无废气产生；换热尾水经处理后全部回灌，软水系统排水及离子交换树脂再生废水属于</w:t>
            </w:r>
            <w:r>
              <w:rPr>
                <w:rFonts w:hint="eastAsia"/>
                <w:color w:val="auto"/>
                <w:lang w:val="en-US" w:eastAsia="zh-CN"/>
              </w:rPr>
              <w:t>清净下水</w:t>
            </w:r>
            <w:r>
              <w:rPr>
                <w:rFonts w:hint="eastAsia"/>
                <w:color w:val="auto"/>
              </w:rPr>
              <w:t>，依托市政污水管网排入</w:t>
            </w:r>
            <w:r>
              <w:rPr>
                <w:rFonts w:hint="eastAsia"/>
                <w:color w:val="auto"/>
                <w:lang w:eastAsia="zh-CN"/>
              </w:rPr>
              <w:t>西安净水处理有限责任公司第六再生水厂</w:t>
            </w:r>
            <w:r>
              <w:rPr>
                <w:rFonts w:hint="eastAsia"/>
                <w:color w:val="auto"/>
              </w:rPr>
              <w:t>深度处理</w:t>
            </w:r>
            <w:r>
              <w:rPr>
                <w:rFonts w:hint="eastAsia"/>
                <w:color w:val="auto"/>
                <w:lang w:eastAsia="zh-CN"/>
              </w:rPr>
              <w:t>；</w:t>
            </w:r>
            <w:r>
              <w:rPr>
                <w:rFonts w:hint="eastAsia"/>
                <w:color w:val="auto"/>
              </w:rPr>
              <w:t>主要噪声影响为回灌站设备噪声影响；通过现场踏查，本工程影响范围内无国家、省、市级自然保护区、风景、名胜、文物等保护目标；根据项目所处地理位置、周围环境关系及特征、运营期排污运行特点，确定与项目相关的主要环境敏感保护目标为项目所在地周边住宅。声环境保护目标见下表：</w:t>
            </w:r>
          </w:p>
          <w:p w14:paraId="70BFB381">
            <w:pPr>
              <w:pStyle w:val="5"/>
              <w:jc w:val="center"/>
              <w:rPr>
                <w:rFonts w:ascii="Times New Roman" w:hAnsi="Times New Roman" w:eastAsia="宋体"/>
                <w:b/>
                <w:color w:val="auto"/>
                <w:sz w:val="24"/>
                <w:highlight w:val="none"/>
              </w:rPr>
            </w:pPr>
            <w:r>
              <w:rPr>
                <w:rFonts w:ascii="Times New Roman" w:hAnsi="Times New Roman" w:eastAsia="宋体"/>
                <w:b/>
                <w:color w:val="auto"/>
                <w:sz w:val="24"/>
                <w:highlight w:val="none"/>
              </w:rPr>
              <w:t>表3-</w:t>
            </w:r>
            <w:r>
              <w:rPr>
                <w:rFonts w:hint="eastAsia" w:ascii="Times New Roman" w:hAnsi="Times New Roman" w:eastAsia="宋体"/>
                <w:b/>
                <w:color w:val="auto"/>
                <w:sz w:val="24"/>
                <w:highlight w:val="none"/>
                <w:lang w:val="en-US" w:eastAsia="zh-CN"/>
              </w:rPr>
              <w:t>3</w:t>
            </w:r>
            <w:r>
              <w:rPr>
                <w:rFonts w:ascii="Times New Roman" w:hAnsi="Times New Roman" w:eastAsia="宋体"/>
                <w:b/>
                <w:color w:val="auto"/>
                <w:sz w:val="24"/>
                <w:highlight w:val="none"/>
              </w:rPr>
              <w:t xml:space="preserve">  主要环境保护目标一览表</w:t>
            </w:r>
          </w:p>
          <w:tbl>
            <w:tblPr>
              <w:tblStyle w:val="15"/>
              <w:tblW w:w="50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391"/>
              <w:gridCol w:w="1241"/>
              <w:gridCol w:w="1991"/>
              <w:gridCol w:w="834"/>
              <w:gridCol w:w="921"/>
              <w:gridCol w:w="1028"/>
            </w:tblGrid>
            <w:tr w14:paraId="54FD0F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7" w:type="pct"/>
                  <w:vMerge w:val="restart"/>
                  <w:noWrap w:val="0"/>
                  <w:vAlign w:val="center"/>
                </w:tcPr>
                <w:p w14:paraId="02FD81D3">
                  <w:pPr>
                    <w:widowControl/>
                    <w:jc w:val="center"/>
                    <w:rPr>
                      <w:b/>
                      <w:color w:val="auto"/>
                      <w:kern w:val="0"/>
                      <w:sz w:val="21"/>
                      <w:szCs w:val="21"/>
                      <w:highlight w:val="none"/>
                    </w:rPr>
                  </w:pPr>
                  <w:r>
                    <w:rPr>
                      <w:b/>
                      <w:color w:val="auto"/>
                      <w:kern w:val="0"/>
                      <w:sz w:val="21"/>
                      <w:szCs w:val="21"/>
                      <w:highlight w:val="none"/>
                    </w:rPr>
                    <w:t>环境要素</w:t>
                  </w:r>
                </w:p>
              </w:tc>
              <w:tc>
                <w:tcPr>
                  <w:tcW w:w="1621" w:type="pct"/>
                  <w:gridSpan w:val="2"/>
                  <w:noWrap w:val="0"/>
                  <w:vAlign w:val="center"/>
                </w:tcPr>
                <w:p w14:paraId="6006DF2A">
                  <w:pPr>
                    <w:widowControl/>
                    <w:jc w:val="center"/>
                    <w:rPr>
                      <w:b/>
                      <w:color w:val="auto"/>
                      <w:kern w:val="0"/>
                      <w:sz w:val="21"/>
                      <w:szCs w:val="21"/>
                      <w:highlight w:val="none"/>
                    </w:rPr>
                  </w:pPr>
                  <w:r>
                    <w:rPr>
                      <w:b/>
                      <w:color w:val="auto"/>
                      <w:kern w:val="0"/>
                      <w:sz w:val="21"/>
                      <w:szCs w:val="21"/>
                      <w:highlight w:val="none"/>
                    </w:rPr>
                    <w:t>坐标/°</w:t>
                  </w:r>
                </w:p>
              </w:tc>
              <w:tc>
                <w:tcPr>
                  <w:tcW w:w="1226" w:type="pct"/>
                  <w:vMerge w:val="restart"/>
                  <w:noWrap w:val="0"/>
                  <w:vAlign w:val="center"/>
                </w:tcPr>
                <w:p w14:paraId="204A558E">
                  <w:pPr>
                    <w:widowControl/>
                    <w:jc w:val="center"/>
                    <w:rPr>
                      <w:b/>
                      <w:color w:val="auto"/>
                      <w:kern w:val="0"/>
                      <w:sz w:val="21"/>
                      <w:szCs w:val="21"/>
                      <w:highlight w:val="none"/>
                    </w:rPr>
                  </w:pPr>
                  <w:r>
                    <w:rPr>
                      <w:b/>
                      <w:color w:val="auto"/>
                      <w:kern w:val="0"/>
                      <w:sz w:val="21"/>
                      <w:szCs w:val="21"/>
                      <w:highlight w:val="none"/>
                    </w:rPr>
                    <w:t>保护对象</w:t>
                  </w:r>
                </w:p>
              </w:tc>
              <w:tc>
                <w:tcPr>
                  <w:tcW w:w="513" w:type="pct"/>
                  <w:vMerge w:val="restart"/>
                  <w:noWrap w:val="0"/>
                  <w:vAlign w:val="center"/>
                </w:tcPr>
                <w:p w14:paraId="3D94F060">
                  <w:pPr>
                    <w:widowControl/>
                    <w:jc w:val="center"/>
                    <w:rPr>
                      <w:b/>
                      <w:color w:val="auto"/>
                      <w:kern w:val="0"/>
                      <w:sz w:val="21"/>
                      <w:szCs w:val="21"/>
                      <w:highlight w:val="none"/>
                    </w:rPr>
                  </w:pPr>
                  <w:r>
                    <w:rPr>
                      <w:b/>
                      <w:color w:val="auto"/>
                      <w:kern w:val="0"/>
                      <w:sz w:val="21"/>
                      <w:szCs w:val="21"/>
                      <w:highlight w:val="none"/>
                    </w:rPr>
                    <w:t>环境功能区</w:t>
                  </w:r>
                </w:p>
              </w:tc>
              <w:tc>
                <w:tcPr>
                  <w:tcW w:w="567" w:type="pct"/>
                  <w:vMerge w:val="restart"/>
                  <w:noWrap w:val="0"/>
                  <w:vAlign w:val="center"/>
                </w:tcPr>
                <w:p w14:paraId="70BACC3D">
                  <w:pPr>
                    <w:widowControl/>
                    <w:jc w:val="center"/>
                    <w:rPr>
                      <w:b/>
                      <w:color w:val="auto"/>
                      <w:kern w:val="0"/>
                      <w:sz w:val="21"/>
                      <w:szCs w:val="21"/>
                      <w:highlight w:val="none"/>
                    </w:rPr>
                  </w:pPr>
                  <w:r>
                    <w:rPr>
                      <w:b/>
                      <w:color w:val="auto"/>
                      <w:kern w:val="0"/>
                      <w:sz w:val="21"/>
                      <w:szCs w:val="21"/>
                      <w:highlight w:val="none"/>
                    </w:rPr>
                    <w:t>相对厂址方位</w:t>
                  </w:r>
                </w:p>
              </w:tc>
              <w:tc>
                <w:tcPr>
                  <w:tcW w:w="633" w:type="pct"/>
                  <w:vMerge w:val="restart"/>
                  <w:noWrap w:val="0"/>
                  <w:vAlign w:val="center"/>
                </w:tcPr>
                <w:p w14:paraId="276E6F1E">
                  <w:pPr>
                    <w:widowControl/>
                    <w:ind w:left="-105" w:leftChars="-50" w:right="-105" w:rightChars="-50"/>
                    <w:jc w:val="center"/>
                    <w:rPr>
                      <w:b/>
                      <w:color w:val="auto"/>
                      <w:kern w:val="0"/>
                      <w:sz w:val="21"/>
                      <w:szCs w:val="21"/>
                      <w:highlight w:val="none"/>
                    </w:rPr>
                  </w:pPr>
                  <w:r>
                    <w:rPr>
                      <w:b/>
                      <w:color w:val="auto"/>
                      <w:kern w:val="0"/>
                      <w:sz w:val="21"/>
                      <w:szCs w:val="21"/>
                      <w:highlight w:val="none"/>
                    </w:rPr>
                    <w:t>相对厂界距离</w:t>
                  </w:r>
                  <w:r>
                    <w:rPr>
                      <w:rFonts w:hint="eastAsia"/>
                      <w:b/>
                      <w:color w:val="auto"/>
                      <w:kern w:val="0"/>
                      <w:sz w:val="21"/>
                      <w:szCs w:val="21"/>
                      <w:highlight w:val="none"/>
                      <w:lang w:val="en-US" w:eastAsia="zh-CN"/>
                    </w:rPr>
                    <w:t>/</w:t>
                  </w:r>
                  <w:r>
                    <w:rPr>
                      <w:b/>
                      <w:color w:val="auto"/>
                      <w:kern w:val="0"/>
                      <w:sz w:val="21"/>
                      <w:szCs w:val="21"/>
                      <w:highlight w:val="none"/>
                    </w:rPr>
                    <w:t>m</w:t>
                  </w:r>
                </w:p>
              </w:tc>
            </w:tr>
            <w:tr w14:paraId="6560A5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7" w:type="pct"/>
                  <w:vMerge w:val="continue"/>
                  <w:noWrap w:val="0"/>
                  <w:vAlign w:val="center"/>
                </w:tcPr>
                <w:p w14:paraId="60E12638">
                  <w:pPr>
                    <w:widowControl/>
                    <w:jc w:val="left"/>
                    <w:rPr>
                      <w:color w:val="auto"/>
                      <w:kern w:val="0"/>
                      <w:sz w:val="21"/>
                      <w:szCs w:val="21"/>
                      <w:highlight w:val="none"/>
                    </w:rPr>
                  </w:pPr>
                </w:p>
              </w:tc>
              <w:tc>
                <w:tcPr>
                  <w:tcW w:w="856" w:type="pct"/>
                  <w:noWrap w:val="0"/>
                  <w:vAlign w:val="center"/>
                </w:tcPr>
                <w:p w14:paraId="5C5D1752">
                  <w:pPr>
                    <w:widowControl/>
                    <w:jc w:val="center"/>
                    <w:rPr>
                      <w:b/>
                      <w:color w:val="auto"/>
                      <w:kern w:val="0"/>
                      <w:sz w:val="21"/>
                      <w:szCs w:val="21"/>
                      <w:highlight w:val="none"/>
                    </w:rPr>
                  </w:pPr>
                  <w:r>
                    <w:rPr>
                      <w:b/>
                      <w:color w:val="auto"/>
                      <w:kern w:val="0"/>
                      <w:sz w:val="21"/>
                      <w:szCs w:val="21"/>
                      <w:highlight w:val="none"/>
                    </w:rPr>
                    <w:t>经度</w:t>
                  </w:r>
                </w:p>
              </w:tc>
              <w:tc>
                <w:tcPr>
                  <w:tcW w:w="764" w:type="pct"/>
                  <w:noWrap w:val="0"/>
                  <w:vAlign w:val="center"/>
                </w:tcPr>
                <w:p w14:paraId="65B5F527">
                  <w:pPr>
                    <w:widowControl/>
                    <w:jc w:val="center"/>
                    <w:rPr>
                      <w:b/>
                      <w:color w:val="auto"/>
                      <w:kern w:val="0"/>
                      <w:sz w:val="21"/>
                      <w:szCs w:val="21"/>
                      <w:highlight w:val="none"/>
                    </w:rPr>
                  </w:pPr>
                  <w:r>
                    <w:rPr>
                      <w:b/>
                      <w:color w:val="auto"/>
                      <w:kern w:val="0"/>
                      <w:sz w:val="21"/>
                      <w:szCs w:val="21"/>
                      <w:highlight w:val="none"/>
                    </w:rPr>
                    <w:t>纬度</w:t>
                  </w:r>
                </w:p>
              </w:tc>
              <w:tc>
                <w:tcPr>
                  <w:tcW w:w="1226" w:type="pct"/>
                  <w:vMerge w:val="continue"/>
                  <w:noWrap w:val="0"/>
                  <w:vAlign w:val="center"/>
                </w:tcPr>
                <w:p w14:paraId="6EC94D64">
                  <w:pPr>
                    <w:widowControl/>
                    <w:jc w:val="left"/>
                    <w:rPr>
                      <w:color w:val="auto"/>
                      <w:kern w:val="0"/>
                      <w:sz w:val="21"/>
                      <w:szCs w:val="21"/>
                      <w:highlight w:val="none"/>
                    </w:rPr>
                  </w:pPr>
                </w:p>
              </w:tc>
              <w:tc>
                <w:tcPr>
                  <w:tcW w:w="513" w:type="pct"/>
                  <w:vMerge w:val="continue"/>
                  <w:noWrap w:val="0"/>
                  <w:vAlign w:val="center"/>
                </w:tcPr>
                <w:p w14:paraId="0EF69282">
                  <w:pPr>
                    <w:widowControl/>
                    <w:jc w:val="left"/>
                    <w:rPr>
                      <w:color w:val="auto"/>
                      <w:kern w:val="0"/>
                      <w:sz w:val="21"/>
                      <w:szCs w:val="21"/>
                      <w:highlight w:val="none"/>
                    </w:rPr>
                  </w:pPr>
                </w:p>
              </w:tc>
              <w:tc>
                <w:tcPr>
                  <w:tcW w:w="567" w:type="pct"/>
                  <w:vMerge w:val="continue"/>
                  <w:noWrap w:val="0"/>
                  <w:vAlign w:val="center"/>
                </w:tcPr>
                <w:p w14:paraId="5514BBC3">
                  <w:pPr>
                    <w:widowControl/>
                    <w:jc w:val="left"/>
                    <w:rPr>
                      <w:color w:val="auto"/>
                      <w:kern w:val="0"/>
                      <w:sz w:val="21"/>
                      <w:szCs w:val="21"/>
                      <w:highlight w:val="none"/>
                    </w:rPr>
                  </w:pPr>
                </w:p>
              </w:tc>
              <w:tc>
                <w:tcPr>
                  <w:tcW w:w="633" w:type="pct"/>
                  <w:vMerge w:val="continue"/>
                  <w:noWrap w:val="0"/>
                  <w:vAlign w:val="center"/>
                </w:tcPr>
                <w:p w14:paraId="68298C51">
                  <w:pPr>
                    <w:widowControl/>
                    <w:jc w:val="left"/>
                    <w:rPr>
                      <w:color w:val="auto"/>
                      <w:kern w:val="0"/>
                      <w:sz w:val="21"/>
                      <w:szCs w:val="21"/>
                      <w:highlight w:val="none"/>
                    </w:rPr>
                  </w:pPr>
                </w:p>
              </w:tc>
            </w:tr>
            <w:tr w14:paraId="6E8D31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7" w:type="pct"/>
                  <w:vMerge w:val="restart"/>
                  <w:noWrap w:val="0"/>
                  <w:vAlign w:val="center"/>
                </w:tcPr>
                <w:p w14:paraId="55C21360">
                  <w:pPr>
                    <w:widowControl/>
                    <w:jc w:val="center"/>
                    <w:rPr>
                      <w:rFonts w:hint="eastAsia" w:eastAsia="宋体"/>
                      <w:color w:val="auto"/>
                      <w:kern w:val="0"/>
                      <w:sz w:val="21"/>
                      <w:szCs w:val="21"/>
                      <w:highlight w:val="none"/>
                      <w:lang w:eastAsia="zh-CN"/>
                    </w:rPr>
                  </w:pPr>
                  <w:r>
                    <w:rPr>
                      <w:rFonts w:hint="eastAsia"/>
                      <w:color w:val="auto"/>
                      <w:kern w:val="0"/>
                      <w:sz w:val="21"/>
                      <w:szCs w:val="21"/>
                      <w:highlight w:val="none"/>
                      <w:lang w:val="en-US" w:eastAsia="zh-CN"/>
                    </w:rPr>
                    <w:t>声环境</w:t>
                  </w:r>
                </w:p>
              </w:tc>
              <w:tc>
                <w:tcPr>
                  <w:tcW w:w="856" w:type="pct"/>
                  <w:noWrap w:val="0"/>
                  <w:vAlign w:val="center"/>
                </w:tcPr>
                <w:p w14:paraId="559CDB1B">
                  <w:pPr>
                    <w:ind w:left="-105" w:leftChars="-50" w:right="-105" w:rightChars="-5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108.82637009</w:t>
                  </w:r>
                </w:p>
              </w:tc>
              <w:tc>
                <w:tcPr>
                  <w:tcW w:w="764" w:type="pct"/>
                  <w:noWrap w:val="0"/>
                  <w:vAlign w:val="center"/>
                </w:tcPr>
                <w:p w14:paraId="6EF93531">
                  <w:pPr>
                    <w:ind w:left="-105" w:leftChars="-50" w:right="-105" w:rightChars="-5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34.30175650</w:t>
                  </w:r>
                </w:p>
              </w:tc>
              <w:tc>
                <w:tcPr>
                  <w:tcW w:w="1226" w:type="pct"/>
                  <w:noWrap w:val="0"/>
                  <w:vAlign w:val="center"/>
                </w:tcPr>
                <w:p w14:paraId="1DC0EDF9">
                  <w:pPr>
                    <w:widowControl/>
                    <w:jc w:val="center"/>
                    <w:rPr>
                      <w:rFonts w:hint="default" w:eastAsia="宋体"/>
                      <w:color w:val="auto"/>
                      <w:kern w:val="0"/>
                      <w:sz w:val="21"/>
                      <w:szCs w:val="21"/>
                      <w:highlight w:val="none"/>
                      <w:lang w:val="en-US" w:eastAsia="zh-CN" w:bidi="ar-SA"/>
                    </w:rPr>
                  </w:pPr>
                  <w:r>
                    <w:rPr>
                      <w:rFonts w:hint="eastAsia" w:eastAsia="宋体"/>
                      <w:color w:val="auto"/>
                      <w:kern w:val="0"/>
                      <w:sz w:val="21"/>
                      <w:szCs w:val="21"/>
                      <w:highlight w:val="none"/>
                      <w:lang w:val="en-US" w:eastAsia="zh-CN" w:bidi="ar-SA"/>
                    </w:rPr>
                    <w:t>紫境城小区13号楼</w:t>
                  </w:r>
                </w:p>
              </w:tc>
              <w:tc>
                <w:tcPr>
                  <w:tcW w:w="513" w:type="pct"/>
                  <w:vMerge w:val="restart"/>
                  <w:noWrap w:val="0"/>
                  <w:vAlign w:val="center"/>
                </w:tcPr>
                <w:p w14:paraId="18ECD66B">
                  <w:pPr>
                    <w:widowControl/>
                    <w:jc w:val="center"/>
                    <w:rPr>
                      <w:color w:val="auto"/>
                      <w:kern w:val="0"/>
                      <w:sz w:val="21"/>
                      <w:szCs w:val="21"/>
                      <w:highlight w:val="none"/>
                    </w:rPr>
                  </w:pPr>
                  <w:r>
                    <w:rPr>
                      <w:rFonts w:hint="eastAsia"/>
                      <w:color w:val="auto"/>
                      <w:kern w:val="0"/>
                      <w:sz w:val="21"/>
                      <w:szCs w:val="21"/>
                      <w:highlight w:val="none"/>
                      <w:lang w:val="en-US" w:eastAsia="zh-CN" w:bidi="ar-SA"/>
                    </w:rPr>
                    <w:t>2类区</w:t>
                  </w:r>
                </w:p>
              </w:tc>
              <w:tc>
                <w:tcPr>
                  <w:tcW w:w="567" w:type="pct"/>
                  <w:noWrap w:val="0"/>
                  <w:vAlign w:val="center"/>
                </w:tcPr>
                <w:p w14:paraId="09F69646">
                  <w:pPr>
                    <w:widowControl/>
                    <w:jc w:val="center"/>
                    <w:rPr>
                      <w:rFonts w:hint="default"/>
                      <w:color w:val="auto"/>
                      <w:kern w:val="0"/>
                      <w:sz w:val="21"/>
                      <w:szCs w:val="21"/>
                      <w:highlight w:val="none"/>
                      <w:lang w:val="en-US" w:eastAsia="zh-CN" w:bidi="ar-SA"/>
                    </w:rPr>
                  </w:pPr>
                  <w:r>
                    <w:rPr>
                      <w:rFonts w:hint="eastAsia"/>
                      <w:color w:val="auto"/>
                      <w:kern w:val="0"/>
                      <w:sz w:val="21"/>
                      <w:szCs w:val="21"/>
                      <w:highlight w:val="none"/>
                      <w:lang w:val="en-US" w:eastAsia="zh-CN" w:bidi="ar-SA"/>
                    </w:rPr>
                    <w:t>东南</w:t>
                  </w:r>
                </w:p>
              </w:tc>
              <w:tc>
                <w:tcPr>
                  <w:tcW w:w="633" w:type="pct"/>
                  <w:noWrap w:val="0"/>
                  <w:vAlign w:val="center"/>
                </w:tcPr>
                <w:p w14:paraId="090677FA">
                  <w:pPr>
                    <w:widowControl/>
                    <w:jc w:val="center"/>
                    <w:rPr>
                      <w:rFonts w:hint="default" w:eastAsia="宋体"/>
                      <w:color w:val="auto"/>
                      <w:kern w:val="0"/>
                      <w:sz w:val="21"/>
                      <w:szCs w:val="21"/>
                      <w:highlight w:val="none"/>
                      <w:lang w:val="en-US" w:eastAsia="zh-CN"/>
                    </w:rPr>
                  </w:pPr>
                  <w:r>
                    <w:rPr>
                      <w:rFonts w:hint="eastAsia" w:eastAsia="宋体"/>
                      <w:color w:val="auto"/>
                      <w:kern w:val="0"/>
                      <w:sz w:val="21"/>
                      <w:szCs w:val="21"/>
                      <w:highlight w:val="none"/>
                      <w:lang w:val="en-US" w:eastAsia="zh-CN"/>
                    </w:rPr>
                    <w:t>25</w:t>
                  </w:r>
                </w:p>
              </w:tc>
            </w:tr>
            <w:tr w14:paraId="2BEE1B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7" w:type="pct"/>
                  <w:vMerge w:val="continue"/>
                  <w:noWrap w:val="0"/>
                  <w:vAlign w:val="center"/>
                </w:tcPr>
                <w:p w14:paraId="3B50DD7D">
                  <w:pPr>
                    <w:widowControl/>
                    <w:jc w:val="center"/>
                    <w:rPr>
                      <w:color w:val="auto"/>
                      <w:kern w:val="0"/>
                      <w:sz w:val="21"/>
                      <w:szCs w:val="21"/>
                      <w:highlight w:val="none"/>
                    </w:rPr>
                  </w:pPr>
                </w:p>
              </w:tc>
              <w:tc>
                <w:tcPr>
                  <w:tcW w:w="856" w:type="pct"/>
                  <w:noWrap w:val="0"/>
                  <w:vAlign w:val="center"/>
                </w:tcPr>
                <w:p w14:paraId="1B06E89A">
                  <w:pPr>
                    <w:ind w:left="-105" w:leftChars="-50" w:right="-105" w:rightChars="-5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108.82658601</w:t>
                  </w:r>
                </w:p>
              </w:tc>
              <w:tc>
                <w:tcPr>
                  <w:tcW w:w="764" w:type="pct"/>
                  <w:noWrap w:val="0"/>
                  <w:vAlign w:val="center"/>
                </w:tcPr>
                <w:p w14:paraId="4E05C361">
                  <w:pPr>
                    <w:ind w:left="-105" w:leftChars="-50" w:right="-105" w:rightChars="-5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34.30173988</w:t>
                  </w:r>
                </w:p>
              </w:tc>
              <w:tc>
                <w:tcPr>
                  <w:tcW w:w="1226" w:type="pct"/>
                  <w:noWrap w:val="0"/>
                  <w:vAlign w:val="center"/>
                </w:tcPr>
                <w:p w14:paraId="0DA5C840">
                  <w:pPr>
                    <w:widowControl/>
                    <w:jc w:val="center"/>
                    <w:rPr>
                      <w:rFonts w:hint="eastAsia" w:eastAsia="宋体"/>
                      <w:color w:val="auto"/>
                      <w:kern w:val="0"/>
                      <w:sz w:val="21"/>
                      <w:szCs w:val="21"/>
                      <w:highlight w:val="none"/>
                      <w:lang w:val="en-US" w:eastAsia="zh-CN" w:bidi="ar-SA"/>
                    </w:rPr>
                  </w:pPr>
                  <w:r>
                    <w:rPr>
                      <w:rFonts w:hint="eastAsia" w:eastAsia="宋体"/>
                      <w:color w:val="auto"/>
                      <w:kern w:val="0"/>
                      <w:sz w:val="21"/>
                      <w:szCs w:val="21"/>
                      <w:highlight w:val="none"/>
                      <w:lang w:val="en-US" w:eastAsia="zh-CN" w:bidi="ar-SA"/>
                    </w:rPr>
                    <w:t>紫境城小区12号楼</w:t>
                  </w:r>
                </w:p>
              </w:tc>
              <w:tc>
                <w:tcPr>
                  <w:tcW w:w="513" w:type="pct"/>
                  <w:vMerge w:val="continue"/>
                  <w:noWrap w:val="0"/>
                  <w:vAlign w:val="center"/>
                </w:tcPr>
                <w:p w14:paraId="167A12E1">
                  <w:pPr>
                    <w:widowControl/>
                    <w:jc w:val="center"/>
                    <w:rPr>
                      <w:rFonts w:hint="eastAsia"/>
                      <w:color w:val="auto"/>
                      <w:kern w:val="0"/>
                      <w:sz w:val="21"/>
                      <w:szCs w:val="21"/>
                      <w:highlight w:val="none"/>
                      <w:lang w:val="en-US" w:eastAsia="zh-CN" w:bidi="ar-SA"/>
                    </w:rPr>
                  </w:pPr>
                </w:p>
              </w:tc>
              <w:tc>
                <w:tcPr>
                  <w:tcW w:w="567" w:type="pct"/>
                  <w:noWrap w:val="0"/>
                  <w:vAlign w:val="center"/>
                </w:tcPr>
                <w:p w14:paraId="4EB656D9">
                  <w:pPr>
                    <w:widowControl/>
                    <w:jc w:val="center"/>
                    <w:rPr>
                      <w:rFonts w:hint="default"/>
                      <w:color w:val="auto"/>
                      <w:kern w:val="0"/>
                      <w:sz w:val="21"/>
                      <w:szCs w:val="21"/>
                      <w:highlight w:val="none"/>
                      <w:lang w:val="en-US" w:eastAsia="zh-CN" w:bidi="ar-SA"/>
                    </w:rPr>
                  </w:pPr>
                  <w:r>
                    <w:rPr>
                      <w:rFonts w:hint="eastAsia"/>
                      <w:color w:val="auto"/>
                      <w:kern w:val="0"/>
                      <w:sz w:val="21"/>
                      <w:szCs w:val="21"/>
                      <w:highlight w:val="none"/>
                      <w:lang w:val="en-US" w:eastAsia="zh-CN" w:bidi="ar-SA"/>
                    </w:rPr>
                    <w:t>南</w:t>
                  </w:r>
                </w:p>
              </w:tc>
              <w:tc>
                <w:tcPr>
                  <w:tcW w:w="633" w:type="pct"/>
                  <w:noWrap w:val="0"/>
                  <w:vAlign w:val="center"/>
                </w:tcPr>
                <w:p w14:paraId="033EA7A0">
                  <w:pPr>
                    <w:widowControl/>
                    <w:jc w:val="center"/>
                    <w:rPr>
                      <w:rFonts w:hint="default" w:eastAsia="宋体"/>
                      <w:color w:val="auto"/>
                      <w:kern w:val="0"/>
                      <w:sz w:val="21"/>
                      <w:szCs w:val="21"/>
                      <w:highlight w:val="none"/>
                      <w:lang w:val="en-US" w:eastAsia="zh-CN"/>
                    </w:rPr>
                  </w:pPr>
                  <w:r>
                    <w:rPr>
                      <w:rFonts w:hint="eastAsia" w:eastAsia="宋体"/>
                      <w:color w:val="auto"/>
                      <w:kern w:val="0"/>
                      <w:sz w:val="21"/>
                      <w:szCs w:val="21"/>
                      <w:highlight w:val="none"/>
                      <w:lang w:val="en-US" w:eastAsia="zh-CN"/>
                    </w:rPr>
                    <w:t>23</w:t>
                  </w:r>
                </w:p>
              </w:tc>
            </w:tr>
            <w:tr w14:paraId="5E5609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7" w:type="pct"/>
                  <w:vMerge w:val="continue"/>
                  <w:noWrap w:val="0"/>
                  <w:vAlign w:val="center"/>
                </w:tcPr>
                <w:p w14:paraId="4A2C838D">
                  <w:pPr>
                    <w:widowControl/>
                    <w:jc w:val="center"/>
                    <w:rPr>
                      <w:color w:val="auto"/>
                      <w:kern w:val="0"/>
                      <w:sz w:val="21"/>
                      <w:szCs w:val="21"/>
                      <w:highlight w:val="none"/>
                    </w:rPr>
                  </w:pPr>
                </w:p>
              </w:tc>
              <w:tc>
                <w:tcPr>
                  <w:tcW w:w="856" w:type="pct"/>
                  <w:noWrap w:val="0"/>
                  <w:vAlign w:val="center"/>
                </w:tcPr>
                <w:p w14:paraId="60C9549B">
                  <w:pPr>
                    <w:ind w:left="-105" w:leftChars="-50" w:right="-105" w:rightChars="-5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108.82626146</w:t>
                  </w:r>
                </w:p>
              </w:tc>
              <w:tc>
                <w:tcPr>
                  <w:tcW w:w="764" w:type="pct"/>
                  <w:noWrap w:val="0"/>
                  <w:vAlign w:val="center"/>
                </w:tcPr>
                <w:p w14:paraId="313CCC11">
                  <w:pPr>
                    <w:ind w:left="-105" w:leftChars="-50" w:right="-105" w:rightChars="-5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34.30227276</w:t>
                  </w:r>
                </w:p>
              </w:tc>
              <w:tc>
                <w:tcPr>
                  <w:tcW w:w="1226" w:type="pct"/>
                  <w:noWrap w:val="0"/>
                  <w:vAlign w:val="center"/>
                </w:tcPr>
                <w:p w14:paraId="69E47DAF">
                  <w:pPr>
                    <w:widowControl/>
                    <w:jc w:val="center"/>
                    <w:rPr>
                      <w:rFonts w:hint="eastAsia" w:eastAsia="宋体"/>
                      <w:color w:val="auto"/>
                      <w:kern w:val="0"/>
                      <w:sz w:val="21"/>
                      <w:szCs w:val="21"/>
                      <w:highlight w:val="none"/>
                      <w:lang w:val="en-US" w:eastAsia="zh-CN" w:bidi="ar-SA"/>
                    </w:rPr>
                  </w:pPr>
                  <w:r>
                    <w:rPr>
                      <w:rFonts w:hint="eastAsia" w:eastAsia="宋体"/>
                      <w:color w:val="auto"/>
                      <w:kern w:val="0"/>
                      <w:sz w:val="21"/>
                      <w:szCs w:val="21"/>
                      <w:highlight w:val="none"/>
                      <w:lang w:val="en-US" w:eastAsia="zh-CN" w:bidi="ar-SA"/>
                    </w:rPr>
                    <w:t>紫境城小区22号楼</w:t>
                  </w:r>
                </w:p>
              </w:tc>
              <w:tc>
                <w:tcPr>
                  <w:tcW w:w="513" w:type="pct"/>
                  <w:vMerge w:val="continue"/>
                  <w:noWrap w:val="0"/>
                  <w:vAlign w:val="center"/>
                </w:tcPr>
                <w:p w14:paraId="546FDD35">
                  <w:pPr>
                    <w:widowControl/>
                    <w:jc w:val="center"/>
                    <w:rPr>
                      <w:rFonts w:hint="eastAsia"/>
                      <w:color w:val="auto"/>
                      <w:kern w:val="0"/>
                      <w:sz w:val="21"/>
                      <w:szCs w:val="21"/>
                      <w:highlight w:val="none"/>
                      <w:lang w:val="en-US" w:eastAsia="zh-CN" w:bidi="ar-SA"/>
                    </w:rPr>
                  </w:pPr>
                </w:p>
              </w:tc>
              <w:tc>
                <w:tcPr>
                  <w:tcW w:w="567" w:type="pct"/>
                  <w:noWrap w:val="0"/>
                  <w:vAlign w:val="center"/>
                </w:tcPr>
                <w:p w14:paraId="46CBCD57">
                  <w:pPr>
                    <w:widowControl/>
                    <w:jc w:val="center"/>
                    <w:rPr>
                      <w:rFonts w:hint="default"/>
                      <w:color w:val="auto"/>
                      <w:kern w:val="0"/>
                      <w:sz w:val="21"/>
                      <w:szCs w:val="21"/>
                      <w:highlight w:val="none"/>
                      <w:lang w:val="en-US" w:eastAsia="zh-CN" w:bidi="ar-SA"/>
                    </w:rPr>
                  </w:pPr>
                  <w:r>
                    <w:rPr>
                      <w:rFonts w:hint="eastAsia"/>
                      <w:color w:val="auto"/>
                      <w:kern w:val="0"/>
                      <w:sz w:val="21"/>
                      <w:szCs w:val="21"/>
                      <w:highlight w:val="none"/>
                      <w:lang w:val="en-US" w:eastAsia="zh-CN" w:bidi="ar-SA"/>
                    </w:rPr>
                    <w:t>西南</w:t>
                  </w:r>
                </w:p>
              </w:tc>
              <w:tc>
                <w:tcPr>
                  <w:tcW w:w="633" w:type="pct"/>
                  <w:noWrap w:val="0"/>
                  <w:vAlign w:val="center"/>
                </w:tcPr>
                <w:p w14:paraId="45B32345">
                  <w:pPr>
                    <w:widowControl/>
                    <w:jc w:val="center"/>
                    <w:rPr>
                      <w:rFonts w:hint="default" w:eastAsia="宋体"/>
                      <w:color w:val="auto"/>
                      <w:kern w:val="0"/>
                      <w:sz w:val="21"/>
                      <w:szCs w:val="21"/>
                      <w:highlight w:val="none"/>
                      <w:lang w:val="en-US" w:eastAsia="zh-CN"/>
                    </w:rPr>
                  </w:pPr>
                  <w:r>
                    <w:rPr>
                      <w:rFonts w:hint="eastAsia" w:eastAsia="宋体"/>
                      <w:color w:val="auto"/>
                      <w:kern w:val="0"/>
                      <w:sz w:val="21"/>
                      <w:szCs w:val="21"/>
                      <w:highlight w:val="none"/>
                      <w:lang w:val="en-US" w:eastAsia="zh-CN"/>
                    </w:rPr>
                    <w:t>22</w:t>
                  </w:r>
                </w:p>
              </w:tc>
            </w:tr>
            <w:tr w14:paraId="3C3593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7" w:type="pct"/>
                  <w:vMerge w:val="continue"/>
                  <w:noWrap w:val="0"/>
                  <w:vAlign w:val="center"/>
                </w:tcPr>
                <w:p w14:paraId="5C91B2C0">
                  <w:pPr>
                    <w:widowControl/>
                    <w:jc w:val="center"/>
                    <w:rPr>
                      <w:color w:val="auto"/>
                      <w:kern w:val="0"/>
                      <w:sz w:val="21"/>
                      <w:szCs w:val="21"/>
                      <w:highlight w:val="none"/>
                    </w:rPr>
                  </w:pPr>
                </w:p>
              </w:tc>
              <w:tc>
                <w:tcPr>
                  <w:tcW w:w="856" w:type="pct"/>
                  <w:noWrap w:val="0"/>
                  <w:vAlign w:val="center"/>
                </w:tcPr>
                <w:p w14:paraId="4FD4A6D7">
                  <w:pPr>
                    <w:ind w:left="-105" w:leftChars="-50" w:right="-105" w:rightChars="-5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108.82692799</w:t>
                  </w:r>
                </w:p>
              </w:tc>
              <w:tc>
                <w:tcPr>
                  <w:tcW w:w="764" w:type="pct"/>
                  <w:noWrap w:val="0"/>
                  <w:vAlign w:val="center"/>
                </w:tcPr>
                <w:p w14:paraId="7F199DAE">
                  <w:pPr>
                    <w:ind w:left="-105" w:leftChars="-50" w:right="-105" w:rightChars="-5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34.30209661</w:t>
                  </w:r>
                </w:p>
              </w:tc>
              <w:tc>
                <w:tcPr>
                  <w:tcW w:w="1226" w:type="pct"/>
                  <w:noWrap w:val="0"/>
                  <w:vAlign w:val="center"/>
                </w:tcPr>
                <w:p w14:paraId="643DEFF6">
                  <w:pPr>
                    <w:widowControl/>
                    <w:jc w:val="center"/>
                    <w:rPr>
                      <w:rFonts w:hint="default" w:eastAsia="宋体"/>
                      <w:color w:val="auto"/>
                      <w:kern w:val="0"/>
                      <w:sz w:val="21"/>
                      <w:szCs w:val="21"/>
                      <w:highlight w:val="none"/>
                      <w:lang w:val="en-US" w:eastAsia="zh-CN" w:bidi="ar-SA"/>
                    </w:rPr>
                  </w:pPr>
                  <w:r>
                    <w:rPr>
                      <w:rFonts w:hint="eastAsia" w:eastAsia="宋体"/>
                      <w:color w:val="auto"/>
                      <w:kern w:val="0"/>
                      <w:sz w:val="21"/>
                      <w:szCs w:val="21"/>
                      <w:highlight w:val="none"/>
                      <w:lang w:val="en-US" w:eastAsia="zh-CN" w:bidi="ar-SA"/>
                    </w:rPr>
                    <w:t>紫境城小区24号楼</w:t>
                  </w:r>
                </w:p>
              </w:tc>
              <w:tc>
                <w:tcPr>
                  <w:tcW w:w="513" w:type="pct"/>
                  <w:vMerge w:val="continue"/>
                  <w:noWrap w:val="0"/>
                  <w:vAlign w:val="center"/>
                </w:tcPr>
                <w:p w14:paraId="6B81BEEE">
                  <w:pPr>
                    <w:widowControl/>
                    <w:jc w:val="center"/>
                    <w:rPr>
                      <w:rFonts w:hint="eastAsia"/>
                      <w:color w:val="auto"/>
                      <w:kern w:val="0"/>
                      <w:sz w:val="21"/>
                      <w:szCs w:val="21"/>
                      <w:highlight w:val="none"/>
                      <w:lang w:val="en-US" w:eastAsia="zh-CN" w:bidi="ar-SA"/>
                    </w:rPr>
                  </w:pPr>
                </w:p>
              </w:tc>
              <w:tc>
                <w:tcPr>
                  <w:tcW w:w="567" w:type="pct"/>
                  <w:noWrap w:val="0"/>
                  <w:vAlign w:val="center"/>
                </w:tcPr>
                <w:p w14:paraId="324079AC">
                  <w:pPr>
                    <w:widowControl/>
                    <w:jc w:val="center"/>
                    <w:rPr>
                      <w:rFonts w:hint="default"/>
                      <w:color w:val="auto"/>
                      <w:kern w:val="0"/>
                      <w:sz w:val="21"/>
                      <w:szCs w:val="21"/>
                      <w:highlight w:val="none"/>
                      <w:lang w:val="en-US" w:eastAsia="zh-CN" w:bidi="ar-SA"/>
                    </w:rPr>
                  </w:pPr>
                  <w:r>
                    <w:rPr>
                      <w:rFonts w:hint="eastAsia"/>
                      <w:color w:val="auto"/>
                      <w:kern w:val="0"/>
                      <w:sz w:val="21"/>
                      <w:szCs w:val="21"/>
                      <w:highlight w:val="none"/>
                      <w:lang w:val="en-US" w:eastAsia="zh-CN" w:bidi="ar-SA"/>
                    </w:rPr>
                    <w:t>东北</w:t>
                  </w:r>
                </w:p>
              </w:tc>
              <w:tc>
                <w:tcPr>
                  <w:tcW w:w="633" w:type="pct"/>
                  <w:noWrap w:val="0"/>
                  <w:vAlign w:val="center"/>
                </w:tcPr>
                <w:p w14:paraId="48AAD993">
                  <w:pPr>
                    <w:widowControl/>
                    <w:jc w:val="center"/>
                    <w:rPr>
                      <w:rFonts w:hint="default" w:eastAsia="宋体"/>
                      <w:color w:val="auto"/>
                      <w:kern w:val="0"/>
                      <w:sz w:val="21"/>
                      <w:szCs w:val="21"/>
                      <w:highlight w:val="none"/>
                      <w:lang w:val="en-US" w:eastAsia="zh-CN" w:bidi="ar-SA"/>
                    </w:rPr>
                  </w:pPr>
                  <w:r>
                    <w:rPr>
                      <w:rFonts w:hint="eastAsia" w:eastAsia="宋体"/>
                      <w:color w:val="auto"/>
                      <w:kern w:val="0"/>
                      <w:sz w:val="21"/>
                      <w:szCs w:val="21"/>
                      <w:highlight w:val="none"/>
                      <w:lang w:val="en-US" w:eastAsia="zh-CN" w:bidi="ar-SA"/>
                    </w:rPr>
                    <w:t>20</w:t>
                  </w:r>
                </w:p>
              </w:tc>
            </w:tr>
            <w:tr w14:paraId="59D23E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7" w:type="pct"/>
                  <w:vMerge w:val="continue"/>
                  <w:noWrap w:val="0"/>
                  <w:vAlign w:val="center"/>
                </w:tcPr>
                <w:p w14:paraId="52EEF2C8">
                  <w:pPr>
                    <w:widowControl/>
                    <w:jc w:val="center"/>
                    <w:rPr>
                      <w:color w:val="auto"/>
                      <w:kern w:val="0"/>
                      <w:sz w:val="21"/>
                      <w:szCs w:val="21"/>
                      <w:highlight w:val="none"/>
                    </w:rPr>
                  </w:pPr>
                </w:p>
              </w:tc>
              <w:tc>
                <w:tcPr>
                  <w:tcW w:w="856" w:type="pct"/>
                  <w:noWrap w:val="0"/>
                  <w:vAlign w:val="center"/>
                </w:tcPr>
                <w:p w14:paraId="3C7BA2D7">
                  <w:pPr>
                    <w:ind w:left="-105" w:leftChars="-50" w:right="-105" w:rightChars="-5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108.82666916</w:t>
                  </w:r>
                </w:p>
              </w:tc>
              <w:tc>
                <w:tcPr>
                  <w:tcW w:w="764" w:type="pct"/>
                  <w:noWrap w:val="0"/>
                  <w:vAlign w:val="center"/>
                </w:tcPr>
                <w:p w14:paraId="03919AEF">
                  <w:pPr>
                    <w:ind w:left="-105" w:leftChars="-50" w:right="-105" w:rightChars="-5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34.30215311</w:t>
                  </w:r>
                </w:p>
              </w:tc>
              <w:tc>
                <w:tcPr>
                  <w:tcW w:w="1226" w:type="pct"/>
                  <w:noWrap w:val="0"/>
                  <w:vAlign w:val="center"/>
                </w:tcPr>
                <w:p w14:paraId="7AF027AE">
                  <w:pPr>
                    <w:widowControl/>
                    <w:jc w:val="center"/>
                    <w:rPr>
                      <w:rFonts w:hint="default" w:eastAsia="宋体"/>
                      <w:color w:val="auto"/>
                      <w:kern w:val="0"/>
                      <w:sz w:val="21"/>
                      <w:szCs w:val="21"/>
                      <w:highlight w:val="none"/>
                      <w:lang w:val="en-US" w:eastAsia="zh-CN" w:bidi="ar-SA"/>
                    </w:rPr>
                  </w:pPr>
                  <w:r>
                    <w:rPr>
                      <w:rFonts w:hint="eastAsia" w:eastAsia="宋体"/>
                      <w:color w:val="auto"/>
                      <w:kern w:val="0"/>
                      <w:sz w:val="21"/>
                      <w:szCs w:val="21"/>
                      <w:highlight w:val="none"/>
                      <w:lang w:val="en-US" w:eastAsia="zh-CN" w:bidi="ar-SA"/>
                    </w:rPr>
                    <w:t>紫境城小区23号楼</w:t>
                  </w:r>
                </w:p>
              </w:tc>
              <w:tc>
                <w:tcPr>
                  <w:tcW w:w="513" w:type="pct"/>
                  <w:vMerge w:val="continue"/>
                  <w:noWrap w:val="0"/>
                  <w:vAlign w:val="center"/>
                </w:tcPr>
                <w:p w14:paraId="3C44DA05">
                  <w:pPr>
                    <w:widowControl/>
                    <w:jc w:val="left"/>
                    <w:rPr>
                      <w:color w:val="auto"/>
                      <w:kern w:val="0"/>
                      <w:sz w:val="21"/>
                      <w:szCs w:val="21"/>
                      <w:highlight w:val="none"/>
                    </w:rPr>
                  </w:pPr>
                </w:p>
              </w:tc>
              <w:tc>
                <w:tcPr>
                  <w:tcW w:w="567" w:type="pct"/>
                  <w:noWrap w:val="0"/>
                  <w:vAlign w:val="center"/>
                </w:tcPr>
                <w:p w14:paraId="209945B2">
                  <w:pPr>
                    <w:widowControl/>
                    <w:jc w:val="center"/>
                    <w:rPr>
                      <w:rFonts w:hint="default"/>
                      <w:color w:val="auto"/>
                      <w:kern w:val="0"/>
                      <w:sz w:val="21"/>
                      <w:szCs w:val="21"/>
                      <w:highlight w:val="none"/>
                      <w:lang w:val="en-US" w:eastAsia="zh-CN" w:bidi="ar-SA"/>
                    </w:rPr>
                  </w:pPr>
                  <w:r>
                    <w:rPr>
                      <w:rFonts w:hint="eastAsia"/>
                      <w:color w:val="auto"/>
                      <w:kern w:val="0"/>
                      <w:sz w:val="21"/>
                      <w:szCs w:val="21"/>
                      <w:highlight w:val="none"/>
                      <w:lang w:val="en-US" w:eastAsia="zh-CN" w:bidi="ar-SA"/>
                    </w:rPr>
                    <w:t>北</w:t>
                  </w:r>
                </w:p>
              </w:tc>
              <w:tc>
                <w:tcPr>
                  <w:tcW w:w="633" w:type="pct"/>
                  <w:noWrap w:val="0"/>
                  <w:vAlign w:val="center"/>
                </w:tcPr>
                <w:p w14:paraId="0CF23E03">
                  <w:pPr>
                    <w:widowControl/>
                    <w:jc w:val="center"/>
                    <w:rPr>
                      <w:rFonts w:hint="default"/>
                      <w:color w:val="auto"/>
                      <w:kern w:val="0"/>
                      <w:sz w:val="21"/>
                      <w:szCs w:val="21"/>
                      <w:highlight w:val="none"/>
                      <w:lang w:val="en-US" w:eastAsia="zh-CN"/>
                    </w:rPr>
                  </w:pPr>
                  <w:r>
                    <w:rPr>
                      <w:rFonts w:hint="eastAsia"/>
                      <w:color w:val="auto"/>
                      <w:kern w:val="0"/>
                      <w:sz w:val="21"/>
                      <w:szCs w:val="21"/>
                      <w:highlight w:val="none"/>
                      <w:lang w:val="en-US" w:eastAsia="zh-CN"/>
                    </w:rPr>
                    <w:t>15</w:t>
                  </w:r>
                </w:p>
              </w:tc>
            </w:tr>
          </w:tbl>
          <w:p w14:paraId="7305A22F">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ascii="宋体" w:hAnsi="宋体" w:eastAsia="宋体" w:cs="宋体"/>
                <w:color w:val="auto"/>
                <w:kern w:val="0"/>
                <w:szCs w:val="21"/>
                <w:lang w:val="en-US" w:eastAsia="zh-CN"/>
              </w:rPr>
            </w:pPr>
          </w:p>
        </w:tc>
      </w:tr>
      <w:tr w14:paraId="5E5A17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904" w:type="dxa"/>
            <w:noWrap w:val="0"/>
            <w:vAlign w:val="center"/>
          </w:tcPr>
          <w:p w14:paraId="33A333AD">
            <w:pPr>
              <w:adjustRightInd w:val="0"/>
              <w:snapToGrid w:val="0"/>
              <w:jc w:val="center"/>
              <w:rPr>
                <w:rFonts w:ascii="宋体" w:hAnsi="宋体" w:cs="宋体"/>
                <w:color w:val="auto"/>
                <w:kern w:val="0"/>
                <w:sz w:val="24"/>
                <w:szCs w:val="24"/>
              </w:rPr>
            </w:pPr>
            <w:r>
              <w:rPr>
                <w:rFonts w:hint="eastAsia" w:ascii="宋体" w:hAnsi="宋体" w:cs="宋体"/>
                <w:color w:val="auto"/>
                <w:kern w:val="0"/>
                <w:sz w:val="24"/>
                <w:szCs w:val="24"/>
              </w:rPr>
              <w:t>评价标准</w:t>
            </w:r>
          </w:p>
        </w:tc>
        <w:tc>
          <w:tcPr>
            <w:tcW w:w="8253" w:type="dxa"/>
            <w:noWrap w:val="0"/>
            <w:vAlign w:val="center"/>
          </w:tcPr>
          <w:p w14:paraId="10D7197C">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b/>
                <w:bCs/>
                <w:color w:val="auto"/>
                <w:lang w:val="en-US" w:eastAsia="zh-CN"/>
              </w:rPr>
            </w:pPr>
            <w:r>
              <w:rPr>
                <w:rFonts w:hint="eastAsia"/>
                <w:b/>
                <w:bCs/>
                <w:color w:val="auto"/>
                <w:lang w:val="en-US" w:eastAsia="zh-CN"/>
              </w:rPr>
              <w:t>1、环境质量标准</w:t>
            </w:r>
          </w:p>
          <w:p w14:paraId="7F1BF6AE">
            <w:pPr>
              <w:pStyle w:val="22"/>
              <w:bidi w:val="0"/>
              <w:rPr>
                <w:rFonts w:hint="default"/>
                <w:color w:val="auto"/>
                <w:lang w:val="en-US" w:eastAsia="zh-CN"/>
              </w:rPr>
            </w:pPr>
            <w:r>
              <w:rPr>
                <w:rFonts w:hint="eastAsia"/>
                <w:color w:val="auto"/>
                <w:lang w:val="en-US" w:eastAsia="zh-CN"/>
              </w:rPr>
              <w:t>（1）环境空气</w:t>
            </w:r>
          </w:p>
          <w:p w14:paraId="73FE2ACE">
            <w:pPr>
              <w:pStyle w:val="22"/>
              <w:bidi w:val="0"/>
              <w:rPr>
                <w:rFonts w:hint="eastAsia"/>
                <w:color w:val="auto"/>
                <w:lang w:val="en-US" w:eastAsia="zh-CN"/>
              </w:rPr>
            </w:pPr>
            <w:r>
              <w:rPr>
                <w:rFonts w:hint="eastAsia"/>
                <w:color w:val="auto"/>
                <w:lang w:val="en-US" w:eastAsia="zh-CN"/>
              </w:rPr>
              <w:t>项目所在区环境空气质量执行国家《环境空气质量标准》（GB3095-2012）中二级标准，标准值如下表：</w:t>
            </w:r>
          </w:p>
          <w:p w14:paraId="625782E7">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hAnsi="Times New Roman" w:eastAsia="宋体" w:cs="Times New Roman"/>
                <w:b/>
                <w:bCs/>
                <w:color w:val="auto"/>
                <w:kern w:val="21"/>
                <w:szCs w:val="24"/>
                <w:lang w:val="en-US" w:eastAsia="zh-CN"/>
              </w:rPr>
            </w:pPr>
            <w:r>
              <w:rPr>
                <w:rFonts w:hAnsi="Times New Roman" w:cs="Times New Roman"/>
                <w:b/>
                <w:bCs/>
                <w:color w:val="auto"/>
                <w:kern w:val="21"/>
                <w:szCs w:val="24"/>
              </w:rPr>
              <w:t>表</w:t>
            </w:r>
            <w:r>
              <w:rPr>
                <w:rFonts w:hint="eastAsia" w:hAnsi="Times New Roman" w:cs="Times New Roman"/>
                <w:b/>
                <w:bCs/>
                <w:color w:val="auto"/>
                <w:kern w:val="21"/>
                <w:szCs w:val="24"/>
              </w:rPr>
              <w:t>3-</w:t>
            </w:r>
            <w:r>
              <w:rPr>
                <w:rFonts w:hint="eastAsia" w:hAnsi="Times New Roman" w:cs="Times New Roman"/>
                <w:b/>
                <w:bCs/>
                <w:color w:val="auto"/>
                <w:kern w:val="21"/>
                <w:szCs w:val="24"/>
                <w:lang w:val="en-US" w:eastAsia="zh-CN"/>
              </w:rPr>
              <w:t>4</w:t>
            </w:r>
            <w:r>
              <w:rPr>
                <w:rFonts w:hint="eastAsia" w:hAnsi="Times New Roman" w:cs="Times New Roman"/>
                <w:b/>
                <w:bCs/>
                <w:color w:val="auto"/>
                <w:kern w:val="21"/>
                <w:szCs w:val="24"/>
              </w:rPr>
              <w:t xml:space="preserve">  </w:t>
            </w:r>
            <w:r>
              <w:rPr>
                <w:rFonts w:hint="eastAsia" w:hAnsi="Times New Roman" w:cs="Times New Roman"/>
                <w:b/>
                <w:bCs/>
                <w:color w:val="auto"/>
                <w:kern w:val="21"/>
                <w:szCs w:val="24"/>
                <w:lang w:val="en-US" w:eastAsia="zh-CN"/>
              </w:rPr>
              <w:t>环境空气质量标准</w:t>
            </w:r>
          </w:p>
          <w:tbl>
            <w:tblPr>
              <w:tblStyle w:val="15"/>
              <w:tblW w:w="811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737"/>
              <w:gridCol w:w="908"/>
              <w:gridCol w:w="1193"/>
              <w:gridCol w:w="1896"/>
              <w:gridCol w:w="1363"/>
              <w:gridCol w:w="874"/>
            </w:tblGrid>
            <w:tr w14:paraId="3917BA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5" w:type="pct"/>
                  <w:vMerge w:val="restart"/>
                  <w:noWrap w:val="0"/>
                  <w:vAlign w:val="center"/>
                </w:tcPr>
                <w:p w14:paraId="14F32FB9">
                  <w:pPr>
                    <w:pStyle w:val="14"/>
                    <w:spacing w:after="0"/>
                    <w:ind w:left="0" w:leftChars="0" w:firstLine="0" w:firstLineChars="0"/>
                    <w:jc w:val="center"/>
                    <w:rPr>
                      <w:rFonts w:hint="default" w:eastAsia="宋体"/>
                      <w:b/>
                      <w:bCs/>
                      <w:color w:val="auto"/>
                      <w:kern w:val="2"/>
                      <w:sz w:val="21"/>
                      <w:szCs w:val="21"/>
                      <w:lang w:val="en-US" w:eastAsia="zh-CN" w:bidi="ar-SA"/>
                    </w:rPr>
                  </w:pPr>
                  <w:r>
                    <w:rPr>
                      <w:rFonts w:hint="eastAsia"/>
                      <w:b/>
                      <w:bCs/>
                      <w:color w:val="auto"/>
                      <w:sz w:val="21"/>
                      <w:szCs w:val="21"/>
                      <w:lang w:val="en-US" w:eastAsia="zh-CN"/>
                    </w:rPr>
                    <w:t>执行标准</w:t>
                  </w:r>
                </w:p>
              </w:tc>
              <w:tc>
                <w:tcPr>
                  <w:tcW w:w="453" w:type="pct"/>
                  <w:vMerge w:val="restart"/>
                  <w:noWrap w:val="0"/>
                  <w:vAlign w:val="center"/>
                </w:tcPr>
                <w:p w14:paraId="68F505B4">
                  <w:pPr>
                    <w:pStyle w:val="14"/>
                    <w:spacing w:after="0"/>
                    <w:ind w:left="0" w:leftChars="0" w:firstLine="0" w:firstLineChars="0"/>
                    <w:jc w:val="center"/>
                    <w:rPr>
                      <w:b/>
                      <w:bCs/>
                      <w:color w:val="auto"/>
                      <w:sz w:val="21"/>
                      <w:szCs w:val="21"/>
                    </w:rPr>
                  </w:pPr>
                  <w:r>
                    <w:rPr>
                      <w:rFonts w:hint="eastAsia"/>
                      <w:b/>
                      <w:bCs/>
                      <w:color w:val="auto"/>
                      <w:sz w:val="21"/>
                      <w:szCs w:val="21"/>
                      <w:lang w:val="en-US" w:eastAsia="zh-CN"/>
                    </w:rPr>
                    <w:t>级别</w:t>
                  </w:r>
                </w:p>
              </w:tc>
              <w:tc>
                <w:tcPr>
                  <w:tcW w:w="559" w:type="pct"/>
                  <w:vMerge w:val="restart"/>
                  <w:noWrap w:val="0"/>
                  <w:vAlign w:val="center"/>
                </w:tcPr>
                <w:p w14:paraId="3735A140">
                  <w:pPr>
                    <w:pStyle w:val="14"/>
                    <w:spacing w:after="0"/>
                    <w:ind w:left="0" w:leftChars="0" w:firstLine="0" w:firstLineChars="0"/>
                    <w:jc w:val="center"/>
                    <w:rPr>
                      <w:rFonts w:hint="eastAsia"/>
                      <w:b/>
                      <w:bCs/>
                      <w:color w:val="auto"/>
                      <w:kern w:val="2"/>
                      <w:sz w:val="21"/>
                      <w:szCs w:val="21"/>
                      <w:lang w:val="en-US" w:eastAsia="zh-CN" w:bidi="ar-SA"/>
                    </w:rPr>
                  </w:pPr>
                  <w:r>
                    <w:rPr>
                      <w:b/>
                      <w:bCs/>
                      <w:color w:val="auto"/>
                      <w:sz w:val="21"/>
                      <w:szCs w:val="21"/>
                    </w:rPr>
                    <w:t>污染物</w:t>
                  </w:r>
                </w:p>
              </w:tc>
              <w:tc>
                <w:tcPr>
                  <w:tcW w:w="3280" w:type="pct"/>
                  <w:gridSpan w:val="4"/>
                  <w:noWrap w:val="0"/>
                  <w:vAlign w:val="center"/>
                </w:tcPr>
                <w:p w14:paraId="7E1F4D09">
                  <w:pPr>
                    <w:pStyle w:val="14"/>
                    <w:spacing w:after="0"/>
                    <w:ind w:left="0" w:leftChars="0" w:firstLine="0" w:firstLineChars="0"/>
                    <w:jc w:val="center"/>
                    <w:rPr>
                      <w:b/>
                      <w:bCs/>
                      <w:color w:val="auto"/>
                      <w:sz w:val="21"/>
                      <w:szCs w:val="21"/>
                    </w:rPr>
                  </w:pPr>
                  <w:r>
                    <w:rPr>
                      <w:b/>
                      <w:bCs/>
                      <w:color w:val="auto"/>
                      <w:sz w:val="21"/>
                      <w:szCs w:val="21"/>
                    </w:rPr>
                    <w:t>标准</w:t>
                  </w:r>
                  <w:r>
                    <w:rPr>
                      <w:rFonts w:hint="eastAsia"/>
                      <w:b/>
                      <w:bCs/>
                      <w:color w:val="auto"/>
                      <w:sz w:val="21"/>
                      <w:szCs w:val="21"/>
                      <w:lang w:val="en-US" w:eastAsia="zh-CN"/>
                    </w:rPr>
                    <w:t>限</w:t>
                  </w:r>
                  <w:r>
                    <w:rPr>
                      <w:b/>
                      <w:bCs/>
                      <w:color w:val="auto"/>
                      <w:sz w:val="21"/>
                      <w:szCs w:val="21"/>
                    </w:rPr>
                    <w:t>值</w:t>
                  </w:r>
                  <w:r>
                    <w:rPr>
                      <w:rFonts w:hint="eastAsia"/>
                      <w:b/>
                      <w:bCs/>
                      <w:color w:val="auto"/>
                      <w:sz w:val="21"/>
                      <w:szCs w:val="21"/>
                      <w:lang w:eastAsia="zh-CN"/>
                    </w:rPr>
                    <w:t>（</w:t>
                  </w:r>
                  <w:r>
                    <w:rPr>
                      <w:b/>
                      <w:bCs w:val="0"/>
                      <w:color w:val="auto"/>
                      <w:sz w:val="21"/>
                      <w:szCs w:val="21"/>
                    </w:rPr>
                    <w:t>μg/m³</w:t>
                  </w:r>
                  <w:r>
                    <w:rPr>
                      <w:rFonts w:hint="eastAsia"/>
                      <w:b/>
                      <w:bCs w:val="0"/>
                      <w:color w:val="auto"/>
                      <w:sz w:val="21"/>
                      <w:szCs w:val="21"/>
                      <w:lang w:eastAsia="zh-CN"/>
                    </w:rPr>
                    <w:t>）</w:t>
                  </w:r>
                </w:p>
              </w:tc>
            </w:tr>
            <w:tr w14:paraId="4579FA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5" w:type="pct"/>
                  <w:vMerge w:val="continue"/>
                  <w:noWrap w:val="0"/>
                  <w:vAlign w:val="center"/>
                </w:tcPr>
                <w:p w14:paraId="79DA8AC9">
                  <w:pPr>
                    <w:pStyle w:val="14"/>
                    <w:spacing w:after="0"/>
                    <w:ind w:left="0" w:leftChars="0" w:firstLine="0" w:firstLineChars="0"/>
                    <w:jc w:val="center"/>
                    <w:rPr>
                      <w:b/>
                      <w:bCs/>
                      <w:color w:val="auto"/>
                      <w:kern w:val="2"/>
                      <w:sz w:val="21"/>
                      <w:szCs w:val="21"/>
                      <w:lang w:val="en-US" w:eastAsia="zh-CN" w:bidi="ar-SA"/>
                    </w:rPr>
                  </w:pPr>
                </w:p>
              </w:tc>
              <w:tc>
                <w:tcPr>
                  <w:tcW w:w="453" w:type="pct"/>
                  <w:vMerge w:val="continue"/>
                  <w:noWrap w:val="0"/>
                  <w:vAlign w:val="center"/>
                </w:tcPr>
                <w:p w14:paraId="39FD619A">
                  <w:pPr>
                    <w:pStyle w:val="14"/>
                    <w:spacing w:after="0"/>
                    <w:ind w:left="0" w:leftChars="0" w:firstLine="0" w:firstLineChars="0"/>
                    <w:jc w:val="center"/>
                    <w:rPr>
                      <w:b/>
                      <w:bCs/>
                      <w:color w:val="auto"/>
                      <w:sz w:val="21"/>
                      <w:szCs w:val="21"/>
                    </w:rPr>
                  </w:pPr>
                </w:p>
              </w:tc>
              <w:tc>
                <w:tcPr>
                  <w:tcW w:w="559" w:type="pct"/>
                  <w:vMerge w:val="continue"/>
                  <w:noWrap w:val="0"/>
                  <w:vAlign w:val="center"/>
                </w:tcPr>
                <w:p w14:paraId="27BF4386">
                  <w:pPr>
                    <w:pStyle w:val="14"/>
                    <w:spacing w:after="0"/>
                    <w:ind w:left="0" w:leftChars="0" w:firstLine="0" w:firstLineChars="0"/>
                    <w:jc w:val="center"/>
                    <w:rPr>
                      <w:b/>
                      <w:bCs/>
                      <w:color w:val="auto"/>
                      <w:kern w:val="2"/>
                      <w:sz w:val="21"/>
                      <w:szCs w:val="21"/>
                      <w:lang w:val="en-US" w:eastAsia="zh-CN" w:bidi="ar-SA"/>
                    </w:rPr>
                  </w:pPr>
                </w:p>
              </w:tc>
              <w:tc>
                <w:tcPr>
                  <w:tcW w:w="734" w:type="pct"/>
                  <w:noWrap w:val="0"/>
                  <w:vAlign w:val="center"/>
                </w:tcPr>
                <w:p w14:paraId="1B9D02E2">
                  <w:pPr>
                    <w:pStyle w:val="14"/>
                    <w:spacing w:after="0"/>
                    <w:ind w:left="0" w:leftChars="0" w:firstLine="0" w:firstLineChars="0"/>
                    <w:jc w:val="center"/>
                    <w:rPr>
                      <w:rFonts w:hint="default" w:eastAsia="宋体"/>
                      <w:b/>
                      <w:bCs/>
                      <w:color w:val="auto"/>
                      <w:sz w:val="21"/>
                      <w:szCs w:val="21"/>
                      <w:lang w:val="en-US" w:eastAsia="zh-CN"/>
                    </w:rPr>
                  </w:pPr>
                  <w:r>
                    <w:rPr>
                      <w:rFonts w:hint="eastAsia"/>
                      <w:b/>
                      <w:bCs/>
                      <w:color w:val="auto"/>
                      <w:sz w:val="21"/>
                      <w:szCs w:val="21"/>
                      <w:lang w:val="en-US" w:eastAsia="zh-CN"/>
                    </w:rPr>
                    <w:t>1小时平均</w:t>
                  </w:r>
                </w:p>
              </w:tc>
              <w:tc>
                <w:tcPr>
                  <w:tcW w:w="1167" w:type="pct"/>
                  <w:noWrap w:val="0"/>
                  <w:vAlign w:val="center"/>
                </w:tcPr>
                <w:p w14:paraId="4F46F10F">
                  <w:pPr>
                    <w:pStyle w:val="14"/>
                    <w:spacing w:after="0"/>
                    <w:ind w:left="0" w:leftChars="0" w:firstLine="0" w:firstLineChars="0"/>
                    <w:jc w:val="center"/>
                    <w:rPr>
                      <w:rFonts w:hint="default" w:eastAsia="宋体"/>
                      <w:b/>
                      <w:bCs/>
                      <w:color w:val="auto"/>
                      <w:sz w:val="21"/>
                      <w:szCs w:val="21"/>
                      <w:lang w:val="en-US" w:eastAsia="zh-CN"/>
                    </w:rPr>
                  </w:pPr>
                  <w:r>
                    <w:rPr>
                      <w:rFonts w:hint="eastAsia"/>
                      <w:b/>
                      <w:bCs/>
                      <w:color w:val="auto"/>
                      <w:sz w:val="21"/>
                      <w:szCs w:val="21"/>
                      <w:lang w:val="en-US" w:eastAsia="zh-CN"/>
                    </w:rPr>
                    <w:t>日最大8小时平均</w:t>
                  </w:r>
                </w:p>
              </w:tc>
              <w:tc>
                <w:tcPr>
                  <w:tcW w:w="839" w:type="pct"/>
                  <w:noWrap w:val="0"/>
                  <w:vAlign w:val="center"/>
                </w:tcPr>
                <w:p w14:paraId="0F2B3616">
                  <w:pPr>
                    <w:pStyle w:val="14"/>
                    <w:spacing w:after="0"/>
                    <w:ind w:left="0" w:leftChars="0" w:firstLine="0" w:firstLineChars="0"/>
                    <w:jc w:val="center"/>
                    <w:rPr>
                      <w:rFonts w:hint="default" w:eastAsia="宋体"/>
                      <w:b/>
                      <w:bCs/>
                      <w:color w:val="auto"/>
                      <w:sz w:val="21"/>
                      <w:szCs w:val="21"/>
                      <w:lang w:val="en-US" w:eastAsia="zh-CN"/>
                    </w:rPr>
                  </w:pPr>
                  <w:r>
                    <w:rPr>
                      <w:rFonts w:hint="eastAsia"/>
                      <w:b/>
                      <w:bCs/>
                      <w:color w:val="auto"/>
                      <w:sz w:val="21"/>
                      <w:szCs w:val="21"/>
                      <w:lang w:val="en-US" w:eastAsia="zh-CN"/>
                    </w:rPr>
                    <w:t>24小时平均</w:t>
                  </w:r>
                </w:p>
              </w:tc>
              <w:tc>
                <w:tcPr>
                  <w:tcW w:w="538" w:type="pct"/>
                  <w:noWrap w:val="0"/>
                  <w:vAlign w:val="center"/>
                </w:tcPr>
                <w:p w14:paraId="307CAF5F">
                  <w:pPr>
                    <w:pStyle w:val="14"/>
                    <w:spacing w:after="0"/>
                    <w:ind w:left="0" w:leftChars="0" w:firstLine="0" w:firstLineChars="0"/>
                    <w:jc w:val="center"/>
                    <w:rPr>
                      <w:rFonts w:hint="default" w:eastAsia="宋体"/>
                      <w:b/>
                      <w:bCs/>
                      <w:color w:val="auto"/>
                      <w:sz w:val="21"/>
                      <w:szCs w:val="21"/>
                      <w:lang w:val="en-US" w:eastAsia="zh-CN"/>
                    </w:rPr>
                  </w:pPr>
                  <w:r>
                    <w:rPr>
                      <w:rFonts w:hint="eastAsia"/>
                      <w:b/>
                      <w:bCs/>
                      <w:color w:val="auto"/>
                      <w:sz w:val="21"/>
                      <w:szCs w:val="21"/>
                      <w:lang w:val="en-US" w:eastAsia="zh-CN"/>
                    </w:rPr>
                    <w:t>年平均</w:t>
                  </w:r>
                </w:p>
              </w:tc>
            </w:tr>
            <w:tr w14:paraId="38E812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5" w:type="pct"/>
                  <w:vMerge w:val="restart"/>
                  <w:noWrap w:val="0"/>
                  <w:vAlign w:val="center"/>
                </w:tcPr>
                <w:p w14:paraId="50ED143A">
                  <w:pPr>
                    <w:pStyle w:val="14"/>
                    <w:spacing w:after="0"/>
                    <w:ind w:left="0" w:leftChars="0" w:firstLine="0" w:firstLineChars="0"/>
                    <w:jc w:val="center"/>
                    <w:rPr>
                      <w:color w:val="auto"/>
                      <w:kern w:val="2"/>
                      <w:sz w:val="21"/>
                      <w:szCs w:val="21"/>
                      <w:lang w:val="en-US" w:eastAsia="zh-CN" w:bidi="ar-SA"/>
                    </w:rPr>
                  </w:pPr>
                  <w:r>
                    <w:rPr>
                      <w:rFonts w:hint="eastAsia"/>
                      <w:color w:val="auto"/>
                      <w:kern w:val="2"/>
                      <w:sz w:val="21"/>
                      <w:szCs w:val="21"/>
                      <w:lang w:val="en-US" w:eastAsia="zh-CN" w:bidi="ar-SA"/>
                    </w:rPr>
                    <w:t>《环境空气质量标准》（GB3095-2012）</w:t>
                  </w:r>
                </w:p>
              </w:tc>
              <w:tc>
                <w:tcPr>
                  <w:tcW w:w="453" w:type="pct"/>
                  <w:vMerge w:val="restart"/>
                  <w:noWrap w:val="0"/>
                  <w:vAlign w:val="center"/>
                </w:tcPr>
                <w:p w14:paraId="25267C2A">
                  <w:pPr>
                    <w:pStyle w:val="14"/>
                    <w:spacing w:after="0"/>
                    <w:ind w:left="0" w:leftChars="0" w:firstLine="0" w:firstLineChars="0"/>
                    <w:jc w:val="center"/>
                    <w:rPr>
                      <w:rFonts w:hint="eastAsia" w:eastAsia="宋体"/>
                      <w:bCs/>
                      <w:color w:val="auto"/>
                      <w:kern w:val="2"/>
                      <w:sz w:val="21"/>
                      <w:szCs w:val="21"/>
                      <w:lang w:val="en-US" w:eastAsia="zh-CN" w:bidi="ar-SA"/>
                    </w:rPr>
                  </w:pPr>
                  <w:r>
                    <w:rPr>
                      <w:rFonts w:hint="eastAsia"/>
                      <w:bCs/>
                      <w:color w:val="auto"/>
                      <w:sz w:val="21"/>
                      <w:szCs w:val="21"/>
                      <w:lang w:val="en-US" w:eastAsia="zh-CN"/>
                    </w:rPr>
                    <w:t>二级</w:t>
                  </w:r>
                </w:p>
              </w:tc>
              <w:tc>
                <w:tcPr>
                  <w:tcW w:w="559" w:type="pct"/>
                  <w:noWrap w:val="0"/>
                  <w:vAlign w:val="center"/>
                </w:tcPr>
                <w:p w14:paraId="29255504">
                  <w:pPr>
                    <w:adjustRightInd w:val="0"/>
                    <w:snapToGrid w:val="0"/>
                    <w:jc w:val="center"/>
                    <w:rPr>
                      <w:rFonts w:hint="eastAsia"/>
                      <w:color w:val="auto"/>
                      <w:kern w:val="2"/>
                      <w:sz w:val="21"/>
                      <w:szCs w:val="21"/>
                      <w:lang w:val="en-US" w:eastAsia="zh-CN" w:bidi="ar-SA"/>
                    </w:rPr>
                  </w:pPr>
                  <w:r>
                    <w:rPr>
                      <w:bCs/>
                      <w:color w:val="auto"/>
                      <w:sz w:val="21"/>
                      <w:szCs w:val="21"/>
                    </w:rPr>
                    <w:t>SO</w:t>
                  </w:r>
                  <w:r>
                    <w:rPr>
                      <w:bCs/>
                      <w:color w:val="auto"/>
                      <w:sz w:val="21"/>
                      <w:szCs w:val="21"/>
                      <w:vertAlign w:val="subscript"/>
                    </w:rPr>
                    <w:t>2</w:t>
                  </w:r>
                </w:p>
              </w:tc>
              <w:tc>
                <w:tcPr>
                  <w:tcW w:w="734" w:type="pct"/>
                  <w:noWrap w:val="0"/>
                  <w:vAlign w:val="center"/>
                </w:tcPr>
                <w:p w14:paraId="68D4F325">
                  <w:pPr>
                    <w:pStyle w:val="14"/>
                    <w:spacing w:after="0"/>
                    <w:ind w:left="0" w:leftChars="0" w:firstLine="0" w:firstLineChars="0"/>
                    <w:jc w:val="center"/>
                    <w:rPr>
                      <w:rFonts w:hint="default" w:eastAsia="宋体"/>
                      <w:bCs/>
                      <w:color w:val="auto"/>
                      <w:sz w:val="21"/>
                      <w:szCs w:val="21"/>
                      <w:lang w:val="en-US" w:eastAsia="zh-CN"/>
                    </w:rPr>
                  </w:pPr>
                  <w:r>
                    <w:rPr>
                      <w:rFonts w:hint="eastAsia"/>
                      <w:bCs/>
                      <w:color w:val="auto"/>
                      <w:sz w:val="21"/>
                      <w:szCs w:val="21"/>
                      <w:lang w:val="en-US" w:eastAsia="zh-CN"/>
                    </w:rPr>
                    <w:t>500</w:t>
                  </w:r>
                </w:p>
              </w:tc>
              <w:tc>
                <w:tcPr>
                  <w:tcW w:w="1167" w:type="pct"/>
                  <w:noWrap w:val="0"/>
                  <w:vAlign w:val="center"/>
                </w:tcPr>
                <w:p w14:paraId="1BF81A98">
                  <w:pPr>
                    <w:pStyle w:val="14"/>
                    <w:spacing w:after="0"/>
                    <w:ind w:left="0" w:leftChars="0" w:firstLine="0" w:firstLineChars="0"/>
                    <w:jc w:val="center"/>
                    <w:rPr>
                      <w:rFonts w:hint="default" w:eastAsia="宋体"/>
                      <w:bCs/>
                      <w:color w:val="auto"/>
                      <w:sz w:val="21"/>
                      <w:szCs w:val="21"/>
                      <w:lang w:val="en-US" w:eastAsia="zh-CN"/>
                    </w:rPr>
                  </w:pPr>
                  <w:r>
                    <w:rPr>
                      <w:rFonts w:hint="eastAsia"/>
                      <w:bCs/>
                      <w:color w:val="auto"/>
                      <w:sz w:val="21"/>
                      <w:szCs w:val="21"/>
                      <w:lang w:val="en-US" w:eastAsia="zh-CN"/>
                    </w:rPr>
                    <w:t>/</w:t>
                  </w:r>
                </w:p>
              </w:tc>
              <w:tc>
                <w:tcPr>
                  <w:tcW w:w="839" w:type="pct"/>
                  <w:noWrap w:val="0"/>
                  <w:vAlign w:val="center"/>
                </w:tcPr>
                <w:p w14:paraId="122A21E1">
                  <w:pPr>
                    <w:pStyle w:val="14"/>
                    <w:spacing w:after="0"/>
                    <w:ind w:left="0" w:leftChars="0" w:firstLine="0" w:firstLineChars="0"/>
                    <w:jc w:val="center"/>
                    <w:rPr>
                      <w:rFonts w:hint="default" w:eastAsia="宋体"/>
                      <w:bCs/>
                      <w:color w:val="auto"/>
                      <w:sz w:val="21"/>
                      <w:szCs w:val="21"/>
                      <w:lang w:val="en-US" w:eastAsia="zh-CN"/>
                    </w:rPr>
                  </w:pPr>
                  <w:r>
                    <w:rPr>
                      <w:rFonts w:hint="eastAsia"/>
                      <w:bCs/>
                      <w:color w:val="auto"/>
                      <w:sz w:val="21"/>
                      <w:szCs w:val="21"/>
                      <w:lang w:val="en-US" w:eastAsia="zh-CN"/>
                    </w:rPr>
                    <w:t>150</w:t>
                  </w:r>
                </w:p>
              </w:tc>
              <w:tc>
                <w:tcPr>
                  <w:tcW w:w="538" w:type="pct"/>
                  <w:noWrap w:val="0"/>
                  <w:vAlign w:val="center"/>
                </w:tcPr>
                <w:p w14:paraId="3F7C86A5">
                  <w:pPr>
                    <w:pStyle w:val="14"/>
                    <w:spacing w:after="0"/>
                    <w:ind w:left="0" w:leftChars="0" w:firstLine="0" w:firstLineChars="0"/>
                    <w:jc w:val="center"/>
                    <w:rPr>
                      <w:bCs/>
                      <w:color w:val="auto"/>
                      <w:sz w:val="21"/>
                      <w:szCs w:val="21"/>
                    </w:rPr>
                  </w:pPr>
                  <w:r>
                    <w:rPr>
                      <w:bCs/>
                      <w:color w:val="auto"/>
                      <w:sz w:val="21"/>
                      <w:szCs w:val="21"/>
                    </w:rPr>
                    <w:t>60</w:t>
                  </w:r>
                </w:p>
              </w:tc>
            </w:tr>
            <w:tr w14:paraId="7F8318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5" w:type="pct"/>
                  <w:vMerge w:val="continue"/>
                  <w:noWrap w:val="0"/>
                  <w:vAlign w:val="center"/>
                </w:tcPr>
                <w:p w14:paraId="374BC72C">
                  <w:pPr>
                    <w:pStyle w:val="14"/>
                    <w:spacing w:after="0"/>
                    <w:ind w:left="0" w:leftChars="0" w:firstLine="0" w:firstLineChars="0"/>
                    <w:jc w:val="center"/>
                    <w:rPr>
                      <w:color w:val="auto"/>
                      <w:kern w:val="2"/>
                      <w:sz w:val="21"/>
                      <w:szCs w:val="21"/>
                      <w:lang w:val="en-US" w:eastAsia="zh-CN" w:bidi="ar-SA"/>
                    </w:rPr>
                  </w:pPr>
                </w:p>
              </w:tc>
              <w:tc>
                <w:tcPr>
                  <w:tcW w:w="453" w:type="pct"/>
                  <w:vMerge w:val="continue"/>
                  <w:noWrap w:val="0"/>
                  <w:vAlign w:val="center"/>
                </w:tcPr>
                <w:p w14:paraId="68D2A005">
                  <w:pPr>
                    <w:adjustRightInd w:val="0"/>
                    <w:snapToGrid w:val="0"/>
                    <w:jc w:val="center"/>
                    <w:rPr>
                      <w:color w:val="auto"/>
                      <w:sz w:val="21"/>
                      <w:szCs w:val="21"/>
                    </w:rPr>
                  </w:pPr>
                </w:p>
              </w:tc>
              <w:tc>
                <w:tcPr>
                  <w:tcW w:w="559" w:type="pct"/>
                  <w:noWrap w:val="0"/>
                  <w:vAlign w:val="center"/>
                </w:tcPr>
                <w:p w14:paraId="5FBA15FB">
                  <w:pPr>
                    <w:adjustRightInd w:val="0"/>
                    <w:snapToGrid w:val="0"/>
                    <w:jc w:val="center"/>
                    <w:rPr>
                      <w:rFonts w:hint="default"/>
                      <w:color w:val="auto"/>
                      <w:kern w:val="2"/>
                      <w:sz w:val="21"/>
                      <w:szCs w:val="21"/>
                      <w:lang w:val="en-US" w:eastAsia="zh-CN" w:bidi="ar-SA"/>
                    </w:rPr>
                  </w:pPr>
                  <w:r>
                    <w:rPr>
                      <w:bCs/>
                      <w:color w:val="auto"/>
                      <w:sz w:val="21"/>
                      <w:szCs w:val="21"/>
                    </w:rPr>
                    <w:t>NO</w:t>
                  </w:r>
                  <w:r>
                    <w:rPr>
                      <w:bCs/>
                      <w:color w:val="auto"/>
                      <w:sz w:val="21"/>
                      <w:szCs w:val="21"/>
                      <w:vertAlign w:val="subscript"/>
                    </w:rPr>
                    <w:t>2</w:t>
                  </w:r>
                </w:p>
              </w:tc>
              <w:tc>
                <w:tcPr>
                  <w:tcW w:w="734" w:type="pct"/>
                  <w:noWrap w:val="0"/>
                  <w:vAlign w:val="center"/>
                </w:tcPr>
                <w:p w14:paraId="4D46AC71">
                  <w:pPr>
                    <w:pStyle w:val="14"/>
                    <w:spacing w:after="0"/>
                    <w:ind w:left="0" w:leftChars="0" w:firstLine="0" w:firstLineChars="0"/>
                    <w:jc w:val="center"/>
                    <w:rPr>
                      <w:rFonts w:hint="default" w:eastAsia="宋体"/>
                      <w:bCs/>
                      <w:color w:val="auto"/>
                      <w:sz w:val="21"/>
                      <w:szCs w:val="21"/>
                      <w:lang w:val="en-US" w:eastAsia="zh-CN"/>
                    </w:rPr>
                  </w:pPr>
                  <w:r>
                    <w:rPr>
                      <w:rFonts w:hint="eastAsia"/>
                      <w:bCs/>
                      <w:color w:val="auto"/>
                      <w:sz w:val="21"/>
                      <w:szCs w:val="21"/>
                      <w:lang w:val="en-US" w:eastAsia="zh-CN"/>
                    </w:rPr>
                    <w:t>200</w:t>
                  </w:r>
                </w:p>
              </w:tc>
              <w:tc>
                <w:tcPr>
                  <w:tcW w:w="1167" w:type="pct"/>
                  <w:noWrap w:val="0"/>
                  <w:vAlign w:val="center"/>
                </w:tcPr>
                <w:p w14:paraId="19F3A64B">
                  <w:pPr>
                    <w:pStyle w:val="14"/>
                    <w:spacing w:after="0"/>
                    <w:ind w:left="0" w:leftChars="0" w:firstLine="0" w:firstLineChars="0"/>
                    <w:jc w:val="center"/>
                    <w:rPr>
                      <w:rFonts w:hint="eastAsia" w:eastAsia="宋体"/>
                      <w:bCs/>
                      <w:color w:val="auto"/>
                      <w:sz w:val="21"/>
                      <w:szCs w:val="21"/>
                      <w:lang w:val="en-US" w:eastAsia="zh-CN"/>
                    </w:rPr>
                  </w:pPr>
                  <w:r>
                    <w:rPr>
                      <w:rFonts w:hint="eastAsia"/>
                      <w:bCs/>
                      <w:color w:val="auto"/>
                      <w:sz w:val="21"/>
                      <w:szCs w:val="21"/>
                      <w:lang w:val="en-US" w:eastAsia="zh-CN"/>
                    </w:rPr>
                    <w:t>/</w:t>
                  </w:r>
                </w:p>
              </w:tc>
              <w:tc>
                <w:tcPr>
                  <w:tcW w:w="839" w:type="pct"/>
                  <w:noWrap w:val="0"/>
                  <w:vAlign w:val="center"/>
                </w:tcPr>
                <w:p w14:paraId="6BC2EAA9">
                  <w:pPr>
                    <w:pStyle w:val="14"/>
                    <w:spacing w:after="0"/>
                    <w:ind w:left="0" w:leftChars="0" w:firstLine="0" w:firstLineChars="0"/>
                    <w:jc w:val="center"/>
                    <w:rPr>
                      <w:rFonts w:hint="default" w:eastAsia="宋体"/>
                      <w:bCs/>
                      <w:color w:val="auto"/>
                      <w:sz w:val="21"/>
                      <w:szCs w:val="21"/>
                      <w:lang w:val="en-US" w:eastAsia="zh-CN"/>
                    </w:rPr>
                  </w:pPr>
                  <w:r>
                    <w:rPr>
                      <w:rFonts w:hint="eastAsia"/>
                      <w:bCs/>
                      <w:color w:val="auto"/>
                      <w:sz w:val="21"/>
                      <w:szCs w:val="21"/>
                      <w:lang w:val="en-US" w:eastAsia="zh-CN"/>
                    </w:rPr>
                    <w:t>80</w:t>
                  </w:r>
                </w:p>
              </w:tc>
              <w:tc>
                <w:tcPr>
                  <w:tcW w:w="538" w:type="pct"/>
                  <w:noWrap w:val="0"/>
                  <w:vAlign w:val="center"/>
                </w:tcPr>
                <w:p w14:paraId="6CC8E5E5">
                  <w:pPr>
                    <w:pStyle w:val="14"/>
                    <w:spacing w:after="0"/>
                    <w:ind w:left="0" w:leftChars="0" w:firstLine="0" w:firstLineChars="0"/>
                    <w:jc w:val="center"/>
                    <w:rPr>
                      <w:rFonts w:hint="default" w:eastAsia="宋体"/>
                      <w:bCs/>
                      <w:color w:val="auto"/>
                      <w:sz w:val="21"/>
                      <w:szCs w:val="21"/>
                      <w:lang w:val="en-US" w:eastAsia="zh-CN"/>
                    </w:rPr>
                  </w:pPr>
                  <w:r>
                    <w:rPr>
                      <w:rFonts w:hint="eastAsia"/>
                      <w:bCs/>
                      <w:color w:val="auto"/>
                      <w:sz w:val="21"/>
                      <w:szCs w:val="21"/>
                      <w:lang w:val="en-US" w:eastAsia="zh-CN"/>
                    </w:rPr>
                    <w:t>40</w:t>
                  </w:r>
                </w:p>
              </w:tc>
            </w:tr>
            <w:tr w14:paraId="54A598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5" w:type="pct"/>
                  <w:vMerge w:val="continue"/>
                  <w:noWrap w:val="0"/>
                  <w:vAlign w:val="center"/>
                </w:tcPr>
                <w:p w14:paraId="335822F3">
                  <w:pPr>
                    <w:pStyle w:val="14"/>
                    <w:spacing w:after="0"/>
                    <w:ind w:left="0" w:leftChars="0" w:firstLine="0" w:firstLineChars="0"/>
                    <w:jc w:val="center"/>
                    <w:rPr>
                      <w:color w:val="auto"/>
                      <w:kern w:val="2"/>
                      <w:sz w:val="21"/>
                      <w:szCs w:val="21"/>
                      <w:lang w:val="en-US" w:eastAsia="zh-CN" w:bidi="ar-SA"/>
                    </w:rPr>
                  </w:pPr>
                </w:p>
              </w:tc>
              <w:tc>
                <w:tcPr>
                  <w:tcW w:w="453" w:type="pct"/>
                  <w:vMerge w:val="continue"/>
                  <w:noWrap w:val="0"/>
                  <w:vAlign w:val="center"/>
                </w:tcPr>
                <w:p w14:paraId="05E083C8">
                  <w:pPr>
                    <w:adjustRightInd w:val="0"/>
                    <w:snapToGrid w:val="0"/>
                    <w:jc w:val="center"/>
                    <w:rPr>
                      <w:color w:val="auto"/>
                      <w:sz w:val="21"/>
                      <w:szCs w:val="21"/>
                    </w:rPr>
                  </w:pPr>
                </w:p>
              </w:tc>
              <w:tc>
                <w:tcPr>
                  <w:tcW w:w="559" w:type="pct"/>
                  <w:noWrap w:val="0"/>
                  <w:vAlign w:val="center"/>
                </w:tcPr>
                <w:p w14:paraId="446FC068">
                  <w:pPr>
                    <w:adjustRightInd w:val="0"/>
                    <w:snapToGrid w:val="0"/>
                    <w:jc w:val="center"/>
                    <w:rPr>
                      <w:color w:val="auto"/>
                      <w:kern w:val="2"/>
                      <w:sz w:val="21"/>
                      <w:szCs w:val="21"/>
                      <w:lang w:val="en-US" w:eastAsia="zh-CN" w:bidi="ar-SA"/>
                    </w:rPr>
                  </w:pPr>
                  <w:r>
                    <w:rPr>
                      <w:bCs/>
                      <w:color w:val="auto"/>
                      <w:sz w:val="21"/>
                      <w:szCs w:val="21"/>
                    </w:rPr>
                    <w:t>PM</w:t>
                  </w:r>
                  <w:r>
                    <w:rPr>
                      <w:bCs/>
                      <w:color w:val="auto"/>
                      <w:sz w:val="21"/>
                      <w:szCs w:val="21"/>
                      <w:vertAlign w:val="subscript"/>
                    </w:rPr>
                    <w:t>2.5</w:t>
                  </w:r>
                </w:p>
              </w:tc>
              <w:tc>
                <w:tcPr>
                  <w:tcW w:w="734" w:type="pct"/>
                  <w:noWrap w:val="0"/>
                  <w:vAlign w:val="center"/>
                </w:tcPr>
                <w:p w14:paraId="4FF57DB5">
                  <w:pPr>
                    <w:pStyle w:val="14"/>
                    <w:spacing w:after="0"/>
                    <w:ind w:left="0" w:leftChars="0" w:firstLine="0" w:firstLineChars="0"/>
                    <w:jc w:val="center"/>
                    <w:rPr>
                      <w:rFonts w:hint="eastAsia" w:eastAsia="宋体"/>
                      <w:bCs/>
                      <w:color w:val="auto"/>
                      <w:sz w:val="21"/>
                      <w:szCs w:val="21"/>
                      <w:lang w:val="en-US" w:eastAsia="zh-CN"/>
                    </w:rPr>
                  </w:pPr>
                  <w:r>
                    <w:rPr>
                      <w:rFonts w:hint="eastAsia"/>
                      <w:bCs/>
                      <w:color w:val="auto"/>
                      <w:sz w:val="21"/>
                      <w:szCs w:val="21"/>
                      <w:lang w:val="en-US" w:eastAsia="zh-CN"/>
                    </w:rPr>
                    <w:t>/</w:t>
                  </w:r>
                </w:p>
              </w:tc>
              <w:tc>
                <w:tcPr>
                  <w:tcW w:w="1167" w:type="pct"/>
                  <w:noWrap w:val="0"/>
                  <w:vAlign w:val="center"/>
                </w:tcPr>
                <w:p w14:paraId="4CC17BCE">
                  <w:pPr>
                    <w:pStyle w:val="14"/>
                    <w:spacing w:after="0"/>
                    <w:ind w:left="0" w:leftChars="0" w:firstLine="0" w:firstLineChars="0"/>
                    <w:jc w:val="center"/>
                    <w:rPr>
                      <w:rFonts w:hint="eastAsia" w:eastAsia="宋体"/>
                      <w:bCs/>
                      <w:color w:val="auto"/>
                      <w:sz w:val="21"/>
                      <w:szCs w:val="21"/>
                      <w:lang w:val="en-US" w:eastAsia="zh-CN"/>
                    </w:rPr>
                  </w:pPr>
                  <w:r>
                    <w:rPr>
                      <w:rFonts w:hint="eastAsia"/>
                      <w:bCs/>
                      <w:color w:val="auto"/>
                      <w:sz w:val="21"/>
                      <w:szCs w:val="21"/>
                      <w:lang w:val="en-US" w:eastAsia="zh-CN"/>
                    </w:rPr>
                    <w:t>/</w:t>
                  </w:r>
                </w:p>
              </w:tc>
              <w:tc>
                <w:tcPr>
                  <w:tcW w:w="839" w:type="pct"/>
                  <w:noWrap w:val="0"/>
                  <w:vAlign w:val="center"/>
                </w:tcPr>
                <w:p w14:paraId="37B3F4DD">
                  <w:pPr>
                    <w:pStyle w:val="14"/>
                    <w:spacing w:after="0"/>
                    <w:ind w:left="0" w:leftChars="0" w:firstLine="0" w:firstLineChars="0"/>
                    <w:jc w:val="center"/>
                    <w:rPr>
                      <w:rFonts w:hint="default" w:eastAsia="宋体"/>
                      <w:bCs/>
                      <w:color w:val="auto"/>
                      <w:sz w:val="21"/>
                      <w:szCs w:val="21"/>
                      <w:lang w:val="en-US" w:eastAsia="zh-CN"/>
                    </w:rPr>
                  </w:pPr>
                  <w:r>
                    <w:rPr>
                      <w:rFonts w:hint="eastAsia"/>
                      <w:bCs/>
                      <w:color w:val="auto"/>
                      <w:sz w:val="21"/>
                      <w:szCs w:val="21"/>
                      <w:lang w:val="en-US" w:eastAsia="zh-CN"/>
                    </w:rPr>
                    <w:t>75</w:t>
                  </w:r>
                </w:p>
              </w:tc>
              <w:tc>
                <w:tcPr>
                  <w:tcW w:w="538" w:type="pct"/>
                  <w:noWrap w:val="0"/>
                  <w:vAlign w:val="center"/>
                </w:tcPr>
                <w:p w14:paraId="299FDA04">
                  <w:pPr>
                    <w:pStyle w:val="14"/>
                    <w:spacing w:after="0"/>
                    <w:ind w:left="0" w:leftChars="0" w:firstLine="0" w:firstLineChars="0"/>
                    <w:jc w:val="center"/>
                    <w:rPr>
                      <w:bCs/>
                      <w:color w:val="auto"/>
                      <w:kern w:val="2"/>
                      <w:sz w:val="21"/>
                      <w:szCs w:val="21"/>
                      <w:lang w:val="en-US" w:eastAsia="zh-CN" w:bidi="ar-SA"/>
                    </w:rPr>
                  </w:pPr>
                  <w:r>
                    <w:rPr>
                      <w:bCs/>
                      <w:color w:val="auto"/>
                      <w:sz w:val="21"/>
                      <w:szCs w:val="21"/>
                    </w:rPr>
                    <w:t>35</w:t>
                  </w:r>
                </w:p>
              </w:tc>
            </w:tr>
            <w:tr w14:paraId="63DCD9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5" w:type="pct"/>
                  <w:vMerge w:val="continue"/>
                  <w:noWrap w:val="0"/>
                  <w:vAlign w:val="center"/>
                </w:tcPr>
                <w:p w14:paraId="10319221">
                  <w:pPr>
                    <w:pStyle w:val="14"/>
                    <w:spacing w:after="0"/>
                    <w:ind w:left="0" w:leftChars="0" w:firstLine="0" w:firstLineChars="0"/>
                    <w:jc w:val="center"/>
                    <w:rPr>
                      <w:color w:val="auto"/>
                      <w:kern w:val="2"/>
                      <w:sz w:val="21"/>
                      <w:szCs w:val="21"/>
                      <w:lang w:val="en-US" w:eastAsia="zh-CN" w:bidi="ar-SA"/>
                    </w:rPr>
                  </w:pPr>
                </w:p>
              </w:tc>
              <w:tc>
                <w:tcPr>
                  <w:tcW w:w="453" w:type="pct"/>
                  <w:vMerge w:val="continue"/>
                  <w:noWrap w:val="0"/>
                  <w:vAlign w:val="center"/>
                </w:tcPr>
                <w:p w14:paraId="673133C9">
                  <w:pPr>
                    <w:adjustRightInd w:val="0"/>
                    <w:snapToGrid w:val="0"/>
                    <w:jc w:val="center"/>
                    <w:rPr>
                      <w:color w:val="auto"/>
                      <w:sz w:val="21"/>
                      <w:szCs w:val="21"/>
                    </w:rPr>
                  </w:pPr>
                </w:p>
              </w:tc>
              <w:tc>
                <w:tcPr>
                  <w:tcW w:w="559" w:type="pct"/>
                  <w:noWrap w:val="0"/>
                  <w:vAlign w:val="center"/>
                </w:tcPr>
                <w:p w14:paraId="57AB0E7B">
                  <w:pPr>
                    <w:adjustRightInd w:val="0"/>
                    <w:snapToGrid w:val="0"/>
                    <w:jc w:val="center"/>
                    <w:rPr>
                      <w:rFonts w:hint="default"/>
                      <w:color w:val="auto"/>
                      <w:kern w:val="2"/>
                      <w:sz w:val="21"/>
                      <w:szCs w:val="21"/>
                      <w:lang w:val="en-US" w:eastAsia="zh-CN" w:bidi="ar-SA"/>
                    </w:rPr>
                  </w:pPr>
                  <w:r>
                    <w:rPr>
                      <w:bCs/>
                      <w:color w:val="auto"/>
                      <w:sz w:val="21"/>
                      <w:szCs w:val="21"/>
                    </w:rPr>
                    <w:t>PM</w:t>
                  </w:r>
                  <w:r>
                    <w:rPr>
                      <w:bCs/>
                      <w:color w:val="auto"/>
                      <w:sz w:val="21"/>
                      <w:szCs w:val="21"/>
                      <w:vertAlign w:val="subscript"/>
                    </w:rPr>
                    <w:t>10</w:t>
                  </w:r>
                </w:p>
              </w:tc>
              <w:tc>
                <w:tcPr>
                  <w:tcW w:w="734" w:type="pct"/>
                  <w:noWrap w:val="0"/>
                  <w:vAlign w:val="center"/>
                </w:tcPr>
                <w:p w14:paraId="678E8D05">
                  <w:pPr>
                    <w:pStyle w:val="14"/>
                    <w:spacing w:after="0"/>
                    <w:ind w:left="0" w:leftChars="0" w:firstLine="0" w:firstLineChars="0"/>
                    <w:jc w:val="center"/>
                    <w:rPr>
                      <w:rFonts w:hint="eastAsia" w:eastAsia="宋体"/>
                      <w:bCs/>
                      <w:color w:val="auto"/>
                      <w:sz w:val="21"/>
                      <w:szCs w:val="21"/>
                      <w:lang w:val="en-US" w:eastAsia="zh-CN"/>
                    </w:rPr>
                  </w:pPr>
                  <w:r>
                    <w:rPr>
                      <w:rFonts w:hint="eastAsia"/>
                      <w:bCs/>
                      <w:color w:val="auto"/>
                      <w:sz w:val="21"/>
                      <w:szCs w:val="21"/>
                      <w:lang w:val="en-US" w:eastAsia="zh-CN"/>
                    </w:rPr>
                    <w:t>/</w:t>
                  </w:r>
                </w:p>
              </w:tc>
              <w:tc>
                <w:tcPr>
                  <w:tcW w:w="1167" w:type="pct"/>
                  <w:noWrap w:val="0"/>
                  <w:vAlign w:val="center"/>
                </w:tcPr>
                <w:p w14:paraId="1496740E">
                  <w:pPr>
                    <w:pStyle w:val="14"/>
                    <w:spacing w:after="0"/>
                    <w:ind w:left="0" w:leftChars="0" w:firstLine="0" w:firstLineChars="0"/>
                    <w:jc w:val="center"/>
                    <w:rPr>
                      <w:rFonts w:hint="eastAsia" w:eastAsia="宋体"/>
                      <w:bCs/>
                      <w:color w:val="auto"/>
                      <w:sz w:val="21"/>
                      <w:szCs w:val="21"/>
                      <w:lang w:val="en-US" w:eastAsia="zh-CN"/>
                    </w:rPr>
                  </w:pPr>
                  <w:r>
                    <w:rPr>
                      <w:rFonts w:hint="eastAsia"/>
                      <w:bCs/>
                      <w:color w:val="auto"/>
                      <w:sz w:val="21"/>
                      <w:szCs w:val="21"/>
                      <w:lang w:val="en-US" w:eastAsia="zh-CN"/>
                    </w:rPr>
                    <w:t>/</w:t>
                  </w:r>
                </w:p>
              </w:tc>
              <w:tc>
                <w:tcPr>
                  <w:tcW w:w="839" w:type="pct"/>
                  <w:noWrap w:val="0"/>
                  <w:vAlign w:val="center"/>
                </w:tcPr>
                <w:p w14:paraId="6BC608FF">
                  <w:pPr>
                    <w:pStyle w:val="14"/>
                    <w:spacing w:after="0"/>
                    <w:ind w:left="0" w:leftChars="0" w:firstLine="0" w:firstLineChars="0"/>
                    <w:jc w:val="center"/>
                    <w:rPr>
                      <w:rFonts w:hint="default" w:eastAsia="宋体"/>
                      <w:bCs/>
                      <w:color w:val="auto"/>
                      <w:sz w:val="21"/>
                      <w:szCs w:val="21"/>
                      <w:lang w:val="en-US" w:eastAsia="zh-CN"/>
                    </w:rPr>
                  </w:pPr>
                  <w:r>
                    <w:rPr>
                      <w:rFonts w:hint="eastAsia"/>
                      <w:bCs/>
                      <w:color w:val="auto"/>
                      <w:sz w:val="21"/>
                      <w:szCs w:val="21"/>
                      <w:lang w:val="en-US" w:eastAsia="zh-CN"/>
                    </w:rPr>
                    <w:t>150</w:t>
                  </w:r>
                </w:p>
              </w:tc>
              <w:tc>
                <w:tcPr>
                  <w:tcW w:w="538" w:type="pct"/>
                  <w:noWrap w:val="0"/>
                  <w:vAlign w:val="center"/>
                </w:tcPr>
                <w:p w14:paraId="04D158E1">
                  <w:pPr>
                    <w:pStyle w:val="14"/>
                    <w:spacing w:after="0"/>
                    <w:ind w:left="0" w:leftChars="0" w:firstLine="0" w:firstLineChars="0"/>
                    <w:jc w:val="center"/>
                    <w:rPr>
                      <w:bCs/>
                      <w:color w:val="auto"/>
                      <w:kern w:val="2"/>
                      <w:sz w:val="21"/>
                      <w:szCs w:val="21"/>
                      <w:lang w:val="en-US" w:eastAsia="zh-CN" w:bidi="ar-SA"/>
                    </w:rPr>
                  </w:pPr>
                  <w:r>
                    <w:rPr>
                      <w:bCs/>
                      <w:color w:val="auto"/>
                      <w:sz w:val="21"/>
                      <w:szCs w:val="21"/>
                    </w:rPr>
                    <w:t>70</w:t>
                  </w:r>
                </w:p>
              </w:tc>
            </w:tr>
            <w:tr w14:paraId="7AE4BC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5" w:type="pct"/>
                  <w:vMerge w:val="continue"/>
                  <w:noWrap w:val="0"/>
                  <w:vAlign w:val="center"/>
                </w:tcPr>
                <w:p w14:paraId="4A092D86">
                  <w:pPr>
                    <w:pStyle w:val="14"/>
                    <w:spacing w:after="0"/>
                    <w:ind w:left="0" w:leftChars="0" w:firstLine="0" w:firstLineChars="0"/>
                    <w:jc w:val="center"/>
                    <w:rPr>
                      <w:color w:val="auto"/>
                      <w:kern w:val="2"/>
                      <w:sz w:val="21"/>
                      <w:szCs w:val="21"/>
                      <w:lang w:val="en-US" w:eastAsia="zh-CN" w:bidi="ar-SA"/>
                    </w:rPr>
                  </w:pPr>
                </w:p>
              </w:tc>
              <w:tc>
                <w:tcPr>
                  <w:tcW w:w="453" w:type="pct"/>
                  <w:vMerge w:val="continue"/>
                  <w:noWrap w:val="0"/>
                  <w:vAlign w:val="center"/>
                </w:tcPr>
                <w:p w14:paraId="703CC015">
                  <w:pPr>
                    <w:adjustRightInd w:val="0"/>
                    <w:snapToGrid w:val="0"/>
                    <w:jc w:val="center"/>
                    <w:rPr>
                      <w:color w:val="auto"/>
                      <w:sz w:val="21"/>
                      <w:szCs w:val="21"/>
                    </w:rPr>
                  </w:pPr>
                </w:p>
              </w:tc>
              <w:tc>
                <w:tcPr>
                  <w:tcW w:w="559" w:type="pct"/>
                  <w:noWrap w:val="0"/>
                  <w:vAlign w:val="center"/>
                </w:tcPr>
                <w:p w14:paraId="2C17865E">
                  <w:pPr>
                    <w:adjustRightInd w:val="0"/>
                    <w:snapToGrid w:val="0"/>
                    <w:jc w:val="center"/>
                    <w:rPr>
                      <w:rFonts w:hint="default"/>
                      <w:color w:val="auto"/>
                      <w:kern w:val="2"/>
                      <w:sz w:val="21"/>
                      <w:szCs w:val="21"/>
                      <w:lang w:val="en-US" w:eastAsia="zh-CN" w:bidi="ar-SA"/>
                    </w:rPr>
                  </w:pPr>
                  <w:r>
                    <w:rPr>
                      <w:bCs/>
                      <w:color w:val="auto"/>
                      <w:sz w:val="21"/>
                      <w:szCs w:val="21"/>
                    </w:rPr>
                    <w:t>CO</w:t>
                  </w:r>
                </w:p>
              </w:tc>
              <w:tc>
                <w:tcPr>
                  <w:tcW w:w="734" w:type="pct"/>
                  <w:noWrap w:val="0"/>
                  <w:vAlign w:val="center"/>
                </w:tcPr>
                <w:p w14:paraId="71E0FEF2">
                  <w:pPr>
                    <w:pStyle w:val="14"/>
                    <w:spacing w:after="0"/>
                    <w:ind w:left="0" w:leftChars="0" w:firstLine="0" w:firstLineChars="0"/>
                    <w:jc w:val="center"/>
                    <w:rPr>
                      <w:rFonts w:hint="default" w:eastAsia="宋体"/>
                      <w:bCs/>
                      <w:color w:val="auto"/>
                      <w:sz w:val="21"/>
                      <w:szCs w:val="21"/>
                      <w:lang w:val="en-US" w:eastAsia="zh-CN"/>
                    </w:rPr>
                  </w:pPr>
                  <w:r>
                    <w:rPr>
                      <w:rFonts w:hint="eastAsia" w:eastAsia="宋体"/>
                      <w:bCs/>
                      <w:color w:val="auto"/>
                      <w:sz w:val="21"/>
                      <w:szCs w:val="21"/>
                      <w:lang w:val="en-US" w:eastAsia="zh-CN"/>
                    </w:rPr>
                    <w:t>10000</w:t>
                  </w:r>
                </w:p>
              </w:tc>
              <w:tc>
                <w:tcPr>
                  <w:tcW w:w="1167" w:type="pct"/>
                  <w:noWrap w:val="0"/>
                  <w:vAlign w:val="center"/>
                </w:tcPr>
                <w:p w14:paraId="2DEA965B">
                  <w:pPr>
                    <w:pStyle w:val="14"/>
                    <w:spacing w:after="0"/>
                    <w:ind w:left="0" w:leftChars="0" w:firstLine="0" w:firstLineChars="0"/>
                    <w:jc w:val="center"/>
                    <w:rPr>
                      <w:rFonts w:hint="eastAsia" w:eastAsia="宋体"/>
                      <w:bCs/>
                      <w:color w:val="auto"/>
                      <w:sz w:val="21"/>
                      <w:szCs w:val="21"/>
                      <w:lang w:val="en-US" w:eastAsia="zh-CN"/>
                    </w:rPr>
                  </w:pPr>
                  <w:r>
                    <w:rPr>
                      <w:rFonts w:hint="eastAsia"/>
                      <w:bCs/>
                      <w:color w:val="auto"/>
                      <w:sz w:val="21"/>
                      <w:szCs w:val="21"/>
                      <w:lang w:val="en-US" w:eastAsia="zh-CN"/>
                    </w:rPr>
                    <w:t>/</w:t>
                  </w:r>
                </w:p>
              </w:tc>
              <w:tc>
                <w:tcPr>
                  <w:tcW w:w="839" w:type="pct"/>
                  <w:noWrap w:val="0"/>
                  <w:vAlign w:val="center"/>
                </w:tcPr>
                <w:p w14:paraId="520EF3BF">
                  <w:pPr>
                    <w:pStyle w:val="14"/>
                    <w:spacing w:after="0"/>
                    <w:ind w:left="0" w:leftChars="0" w:firstLine="0" w:firstLineChars="0"/>
                    <w:jc w:val="center"/>
                    <w:rPr>
                      <w:bCs/>
                      <w:color w:val="auto"/>
                      <w:sz w:val="21"/>
                      <w:szCs w:val="21"/>
                    </w:rPr>
                  </w:pPr>
                  <w:r>
                    <w:rPr>
                      <w:bCs/>
                      <w:color w:val="auto"/>
                      <w:sz w:val="21"/>
                      <w:szCs w:val="21"/>
                    </w:rPr>
                    <w:t>4</w:t>
                  </w:r>
                  <w:r>
                    <w:rPr>
                      <w:rFonts w:hint="eastAsia"/>
                      <w:bCs/>
                      <w:color w:val="auto"/>
                      <w:sz w:val="21"/>
                      <w:szCs w:val="21"/>
                      <w:lang w:val="en-US" w:eastAsia="zh-CN"/>
                    </w:rPr>
                    <w:t>000</w:t>
                  </w:r>
                </w:p>
              </w:tc>
              <w:tc>
                <w:tcPr>
                  <w:tcW w:w="538" w:type="pct"/>
                  <w:noWrap w:val="0"/>
                  <w:vAlign w:val="center"/>
                </w:tcPr>
                <w:p w14:paraId="22665396">
                  <w:pPr>
                    <w:pStyle w:val="14"/>
                    <w:spacing w:after="0"/>
                    <w:ind w:left="0" w:leftChars="0" w:firstLine="0" w:firstLineChars="0"/>
                    <w:jc w:val="center"/>
                    <w:rPr>
                      <w:rFonts w:hint="default" w:eastAsia="宋体"/>
                      <w:bCs/>
                      <w:color w:val="auto"/>
                      <w:kern w:val="2"/>
                      <w:sz w:val="21"/>
                      <w:szCs w:val="21"/>
                      <w:lang w:val="en-US" w:eastAsia="zh-CN" w:bidi="ar-SA"/>
                    </w:rPr>
                  </w:pPr>
                  <w:r>
                    <w:rPr>
                      <w:rFonts w:hint="eastAsia" w:eastAsia="宋体"/>
                      <w:bCs/>
                      <w:color w:val="auto"/>
                      <w:kern w:val="2"/>
                      <w:sz w:val="21"/>
                      <w:szCs w:val="21"/>
                      <w:lang w:val="en-US" w:eastAsia="zh-CN" w:bidi="ar-SA"/>
                    </w:rPr>
                    <w:t>/</w:t>
                  </w:r>
                </w:p>
              </w:tc>
            </w:tr>
            <w:tr w14:paraId="7D0286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5" w:type="pct"/>
                  <w:vMerge w:val="continue"/>
                  <w:noWrap w:val="0"/>
                  <w:vAlign w:val="center"/>
                </w:tcPr>
                <w:p w14:paraId="57A1E331">
                  <w:pPr>
                    <w:pStyle w:val="14"/>
                    <w:spacing w:after="0"/>
                    <w:ind w:left="0" w:leftChars="0" w:firstLine="0" w:firstLineChars="0"/>
                    <w:jc w:val="center"/>
                    <w:rPr>
                      <w:color w:val="auto"/>
                      <w:kern w:val="2"/>
                      <w:sz w:val="21"/>
                      <w:szCs w:val="21"/>
                      <w:lang w:val="en-US" w:eastAsia="zh-CN" w:bidi="ar-SA"/>
                    </w:rPr>
                  </w:pPr>
                </w:p>
              </w:tc>
              <w:tc>
                <w:tcPr>
                  <w:tcW w:w="453" w:type="pct"/>
                  <w:vMerge w:val="continue"/>
                  <w:noWrap w:val="0"/>
                  <w:vAlign w:val="center"/>
                </w:tcPr>
                <w:p w14:paraId="2B2F29F9">
                  <w:pPr>
                    <w:pStyle w:val="14"/>
                    <w:spacing w:after="0"/>
                    <w:ind w:left="0" w:leftChars="0" w:firstLine="0" w:firstLineChars="0"/>
                    <w:jc w:val="center"/>
                    <w:rPr>
                      <w:color w:val="auto"/>
                      <w:sz w:val="21"/>
                      <w:szCs w:val="21"/>
                    </w:rPr>
                  </w:pPr>
                </w:p>
              </w:tc>
              <w:tc>
                <w:tcPr>
                  <w:tcW w:w="559" w:type="pct"/>
                  <w:noWrap w:val="0"/>
                  <w:vAlign w:val="center"/>
                </w:tcPr>
                <w:p w14:paraId="66B69928">
                  <w:pPr>
                    <w:pStyle w:val="14"/>
                    <w:spacing w:after="0"/>
                    <w:ind w:left="0" w:leftChars="0" w:firstLine="0" w:firstLineChars="0"/>
                    <w:jc w:val="center"/>
                    <w:rPr>
                      <w:rFonts w:hint="eastAsia"/>
                      <w:color w:val="auto"/>
                      <w:kern w:val="2"/>
                      <w:sz w:val="21"/>
                      <w:szCs w:val="21"/>
                      <w:lang w:val="en-US" w:eastAsia="zh-CN" w:bidi="ar-SA"/>
                    </w:rPr>
                  </w:pPr>
                  <w:r>
                    <w:rPr>
                      <w:bCs/>
                      <w:color w:val="auto"/>
                      <w:sz w:val="21"/>
                      <w:szCs w:val="21"/>
                    </w:rPr>
                    <w:t>O</w:t>
                  </w:r>
                  <w:r>
                    <w:rPr>
                      <w:bCs/>
                      <w:color w:val="auto"/>
                      <w:sz w:val="21"/>
                      <w:szCs w:val="21"/>
                      <w:vertAlign w:val="subscript"/>
                    </w:rPr>
                    <w:t>3</w:t>
                  </w:r>
                </w:p>
              </w:tc>
              <w:tc>
                <w:tcPr>
                  <w:tcW w:w="734" w:type="pct"/>
                  <w:noWrap w:val="0"/>
                  <w:vAlign w:val="center"/>
                </w:tcPr>
                <w:p w14:paraId="002F4EE1">
                  <w:pPr>
                    <w:pStyle w:val="14"/>
                    <w:spacing w:after="0"/>
                    <w:ind w:left="0" w:leftChars="0" w:firstLine="0" w:firstLineChars="0"/>
                    <w:jc w:val="center"/>
                    <w:rPr>
                      <w:bCs/>
                      <w:color w:val="auto"/>
                      <w:sz w:val="21"/>
                      <w:szCs w:val="21"/>
                    </w:rPr>
                  </w:pPr>
                  <w:r>
                    <w:rPr>
                      <w:rFonts w:hint="eastAsia"/>
                      <w:bCs/>
                      <w:color w:val="auto"/>
                      <w:sz w:val="21"/>
                      <w:szCs w:val="21"/>
                      <w:lang w:val="en-US" w:eastAsia="zh-CN"/>
                    </w:rPr>
                    <w:t>20</w:t>
                  </w:r>
                  <w:r>
                    <w:rPr>
                      <w:bCs/>
                      <w:color w:val="auto"/>
                      <w:sz w:val="21"/>
                      <w:szCs w:val="21"/>
                    </w:rPr>
                    <w:t>0</w:t>
                  </w:r>
                </w:p>
              </w:tc>
              <w:tc>
                <w:tcPr>
                  <w:tcW w:w="1167" w:type="pct"/>
                  <w:noWrap w:val="0"/>
                  <w:vAlign w:val="center"/>
                </w:tcPr>
                <w:p w14:paraId="5117A1EF">
                  <w:pPr>
                    <w:pStyle w:val="14"/>
                    <w:spacing w:after="0"/>
                    <w:ind w:left="0" w:leftChars="0" w:firstLine="0" w:firstLineChars="0"/>
                    <w:jc w:val="center"/>
                    <w:rPr>
                      <w:rFonts w:hint="default" w:eastAsia="宋体"/>
                      <w:bCs/>
                      <w:color w:val="auto"/>
                      <w:sz w:val="21"/>
                      <w:szCs w:val="21"/>
                      <w:lang w:val="en-US" w:eastAsia="zh-CN"/>
                    </w:rPr>
                  </w:pPr>
                  <w:r>
                    <w:rPr>
                      <w:rFonts w:hint="eastAsia"/>
                      <w:bCs/>
                      <w:color w:val="auto"/>
                      <w:sz w:val="21"/>
                      <w:szCs w:val="21"/>
                      <w:lang w:val="en-US" w:eastAsia="zh-CN"/>
                    </w:rPr>
                    <w:t>160</w:t>
                  </w:r>
                </w:p>
              </w:tc>
              <w:tc>
                <w:tcPr>
                  <w:tcW w:w="839" w:type="pct"/>
                  <w:noWrap w:val="0"/>
                  <w:vAlign w:val="center"/>
                </w:tcPr>
                <w:p w14:paraId="7FD3E5F0">
                  <w:pPr>
                    <w:pStyle w:val="14"/>
                    <w:spacing w:after="0"/>
                    <w:ind w:left="0" w:leftChars="0" w:firstLine="0" w:firstLineChars="0"/>
                    <w:jc w:val="center"/>
                    <w:rPr>
                      <w:rFonts w:hint="eastAsia" w:eastAsia="宋体"/>
                      <w:bCs/>
                      <w:color w:val="auto"/>
                      <w:sz w:val="21"/>
                      <w:szCs w:val="21"/>
                      <w:lang w:val="en-US" w:eastAsia="zh-CN"/>
                    </w:rPr>
                  </w:pPr>
                  <w:r>
                    <w:rPr>
                      <w:rFonts w:hint="eastAsia"/>
                      <w:bCs/>
                      <w:color w:val="auto"/>
                      <w:sz w:val="21"/>
                      <w:szCs w:val="21"/>
                      <w:lang w:val="en-US" w:eastAsia="zh-CN"/>
                    </w:rPr>
                    <w:t>/</w:t>
                  </w:r>
                </w:p>
              </w:tc>
              <w:tc>
                <w:tcPr>
                  <w:tcW w:w="538" w:type="pct"/>
                  <w:noWrap w:val="0"/>
                  <w:vAlign w:val="center"/>
                </w:tcPr>
                <w:p w14:paraId="33B621A3">
                  <w:pPr>
                    <w:pStyle w:val="14"/>
                    <w:spacing w:after="0"/>
                    <w:ind w:left="0" w:leftChars="0" w:firstLine="0" w:firstLineChars="0"/>
                    <w:jc w:val="center"/>
                    <w:rPr>
                      <w:rFonts w:hint="default"/>
                      <w:bCs/>
                      <w:color w:val="auto"/>
                      <w:kern w:val="2"/>
                      <w:sz w:val="21"/>
                      <w:szCs w:val="21"/>
                      <w:lang w:val="en-US" w:eastAsia="zh-CN" w:bidi="ar-SA"/>
                    </w:rPr>
                  </w:pPr>
                  <w:r>
                    <w:rPr>
                      <w:rFonts w:hint="eastAsia"/>
                      <w:bCs/>
                      <w:color w:val="auto"/>
                      <w:kern w:val="2"/>
                      <w:sz w:val="21"/>
                      <w:szCs w:val="21"/>
                      <w:lang w:val="en-US" w:eastAsia="zh-CN" w:bidi="ar-SA"/>
                    </w:rPr>
                    <w:t>/</w:t>
                  </w:r>
                </w:p>
              </w:tc>
            </w:tr>
          </w:tbl>
          <w:p w14:paraId="422FE498">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color w:val="auto"/>
                <w:lang w:val="en-US" w:eastAsia="zh-CN"/>
              </w:rPr>
            </w:pPr>
            <w:r>
              <w:rPr>
                <w:rFonts w:hint="eastAsia"/>
                <w:color w:val="auto"/>
                <w:lang w:val="en-US" w:eastAsia="zh-CN"/>
              </w:rPr>
              <w:t>（2）地下水环境</w:t>
            </w:r>
          </w:p>
          <w:p w14:paraId="76992D5A">
            <w:pPr>
              <w:pStyle w:val="22"/>
              <w:bidi w:val="0"/>
              <w:rPr>
                <w:rFonts w:hint="eastAsia"/>
                <w:color w:val="auto"/>
                <w:lang w:val="en-US" w:eastAsia="zh-CN"/>
              </w:rPr>
            </w:pPr>
            <w:r>
              <w:rPr>
                <w:rFonts w:hint="eastAsia"/>
                <w:color w:val="auto"/>
                <w:lang w:val="en-US" w:eastAsia="zh-CN"/>
              </w:rPr>
              <w:t>地下水水质执行《地下水质量标准》（GB/T14848-2017）</w:t>
            </w:r>
            <w:r>
              <w:rPr>
                <w:rFonts w:hint="default" w:ascii="Times New Roman" w:hAnsi="Times New Roman" w:cs="Times New Roman"/>
                <w:color w:val="auto"/>
                <w:lang w:val="en-US" w:eastAsia="zh-CN"/>
              </w:rPr>
              <w:t>Ⅲ</w:t>
            </w:r>
            <w:r>
              <w:rPr>
                <w:rFonts w:hint="eastAsia"/>
                <w:color w:val="auto"/>
                <w:lang w:val="en-US" w:eastAsia="zh-CN"/>
              </w:rPr>
              <w:t>类标准。</w:t>
            </w:r>
          </w:p>
          <w:p w14:paraId="3E33535D">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hAnsi="Times New Roman" w:eastAsia="宋体" w:cs="Times New Roman"/>
                <w:b/>
                <w:bCs/>
                <w:color w:val="auto"/>
                <w:kern w:val="21"/>
                <w:szCs w:val="24"/>
                <w:lang w:val="en-US" w:eastAsia="zh-CN"/>
              </w:rPr>
            </w:pPr>
            <w:r>
              <w:rPr>
                <w:rFonts w:hAnsi="Times New Roman" w:cs="Times New Roman"/>
                <w:b/>
                <w:bCs/>
                <w:color w:val="auto"/>
                <w:kern w:val="21"/>
                <w:szCs w:val="24"/>
              </w:rPr>
              <w:t>表</w:t>
            </w:r>
            <w:r>
              <w:rPr>
                <w:rFonts w:hint="eastAsia" w:hAnsi="Times New Roman" w:cs="Times New Roman"/>
                <w:b/>
                <w:bCs/>
                <w:color w:val="auto"/>
                <w:kern w:val="21"/>
                <w:szCs w:val="24"/>
              </w:rPr>
              <w:t>3-</w:t>
            </w:r>
            <w:r>
              <w:rPr>
                <w:rFonts w:hint="eastAsia" w:hAnsi="Times New Roman" w:cs="Times New Roman"/>
                <w:b/>
                <w:bCs/>
                <w:color w:val="auto"/>
                <w:kern w:val="21"/>
                <w:szCs w:val="24"/>
                <w:lang w:val="en-US" w:eastAsia="zh-CN"/>
              </w:rPr>
              <w:t>5</w:t>
            </w:r>
            <w:r>
              <w:rPr>
                <w:rFonts w:hint="eastAsia" w:hAnsi="Times New Roman" w:cs="Times New Roman"/>
                <w:b/>
                <w:bCs/>
                <w:color w:val="auto"/>
                <w:kern w:val="21"/>
                <w:szCs w:val="24"/>
              </w:rPr>
              <w:t xml:space="preserve">  </w:t>
            </w:r>
            <w:r>
              <w:rPr>
                <w:rFonts w:hint="eastAsia" w:hAnsi="Times New Roman" w:cs="Times New Roman"/>
                <w:b/>
                <w:bCs/>
                <w:color w:val="auto"/>
                <w:kern w:val="21"/>
                <w:szCs w:val="24"/>
                <w:lang w:val="en-US" w:eastAsia="zh-CN"/>
              </w:rPr>
              <w:t>地下水环境质量标准      mg/L</w:t>
            </w:r>
          </w:p>
          <w:tbl>
            <w:tblPr>
              <w:tblStyle w:val="15"/>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05"/>
              <w:gridCol w:w="1014"/>
              <w:gridCol w:w="1015"/>
              <w:gridCol w:w="1274"/>
              <w:gridCol w:w="1412"/>
              <w:gridCol w:w="1098"/>
              <w:gridCol w:w="1099"/>
            </w:tblGrid>
            <w:tr w14:paraId="667CB4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2" w:type="pct"/>
                  <w:noWrap w:val="0"/>
                  <w:vAlign w:val="center"/>
                </w:tcPr>
                <w:p w14:paraId="557500AB">
                  <w:pPr>
                    <w:pStyle w:val="1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eastAsia="宋体"/>
                      <w:b/>
                      <w:bCs/>
                      <w:color w:val="auto"/>
                      <w:kern w:val="2"/>
                      <w:sz w:val="21"/>
                      <w:szCs w:val="21"/>
                      <w:lang w:val="en-US" w:eastAsia="zh-CN" w:bidi="ar-SA"/>
                    </w:rPr>
                  </w:pPr>
                  <w:r>
                    <w:rPr>
                      <w:rFonts w:hint="eastAsia"/>
                      <w:b/>
                      <w:bCs/>
                      <w:color w:val="auto"/>
                      <w:sz w:val="21"/>
                      <w:szCs w:val="21"/>
                      <w:lang w:val="en-US" w:eastAsia="zh-CN"/>
                    </w:rPr>
                    <w:t>项目</w:t>
                  </w:r>
                </w:p>
              </w:tc>
              <w:tc>
                <w:tcPr>
                  <w:tcW w:w="624" w:type="pct"/>
                  <w:noWrap w:val="0"/>
                  <w:vAlign w:val="center"/>
                </w:tcPr>
                <w:p w14:paraId="697D22AB">
                  <w:pPr>
                    <w:pStyle w:val="14"/>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b/>
                      <w:bCs/>
                      <w:color w:val="auto"/>
                      <w:sz w:val="21"/>
                      <w:szCs w:val="21"/>
                      <w:lang w:val="en-US" w:eastAsia="zh-CN"/>
                    </w:rPr>
                  </w:pPr>
                  <w:r>
                    <w:rPr>
                      <w:rFonts w:ascii="Times New Roman" w:hAnsi="Times New Roman" w:eastAsia="Times New Roman" w:cs="Times New Roman"/>
                      <w:b/>
                      <w:bCs/>
                      <w:color w:val="auto"/>
                      <w:sz w:val="21"/>
                      <w:szCs w:val="21"/>
                    </w:rPr>
                    <w:t>pH</w:t>
                  </w:r>
                  <w:r>
                    <w:rPr>
                      <w:b/>
                      <w:bCs/>
                      <w:color w:val="auto"/>
                      <w:spacing w:val="5"/>
                      <w:sz w:val="21"/>
                      <w:szCs w:val="21"/>
                    </w:rPr>
                    <w:t>值</w:t>
                  </w:r>
                </w:p>
              </w:tc>
              <w:tc>
                <w:tcPr>
                  <w:tcW w:w="625" w:type="pct"/>
                  <w:noWrap w:val="0"/>
                  <w:vAlign w:val="center"/>
                </w:tcPr>
                <w:p w14:paraId="58429FC1">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ascii="Times New Roman" w:hAnsi="Times New Roman" w:eastAsia="Times New Roman" w:cs="Times New Roman"/>
                      <w:color w:val="auto"/>
                      <w:kern w:val="2"/>
                      <w:sz w:val="21"/>
                      <w:szCs w:val="21"/>
                      <w:lang w:val="en-US" w:eastAsia="zh-CN" w:bidi="ar-SA"/>
                    </w:rPr>
                  </w:pPr>
                  <w:r>
                    <w:rPr>
                      <w:rFonts w:ascii="Times New Roman" w:hAnsi="Times New Roman" w:eastAsia="Times New Roman" w:cs="Times New Roman"/>
                      <w:b/>
                      <w:bCs/>
                      <w:color w:val="auto"/>
                      <w:sz w:val="21"/>
                      <w:szCs w:val="21"/>
                    </w:rPr>
                    <w:t>NH</w:t>
                  </w:r>
                  <w:r>
                    <w:rPr>
                      <w:rFonts w:ascii="Times New Roman" w:hAnsi="Times New Roman" w:eastAsia="Times New Roman" w:cs="Times New Roman"/>
                      <w:b/>
                      <w:bCs/>
                      <w:color w:val="auto"/>
                      <w:spacing w:val="8"/>
                      <w:sz w:val="21"/>
                      <w:szCs w:val="21"/>
                      <w:vertAlign w:val="subscript"/>
                    </w:rPr>
                    <w:t>3</w:t>
                  </w:r>
                  <w:r>
                    <w:rPr>
                      <w:rFonts w:ascii="Times New Roman" w:hAnsi="Times New Roman" w:eastAsia="Times New Roman" w:cs="Times New Roman"/>
                      <w:b/>
                      <w:bCs/>
                      <w:color w:val="auto"/>
                      <w:spacing w:val="8"/>
                      <w:sz w:val="21"/>
                      <w:szCs w:val="21"/>
                    </w:rPr>
                    <w:t>-N</w:t>
                  </w:r>
                </w:p>
              </w:tc>
              <w:tc>
                <w:tcPr>
                  <w:tcW w:w="784" w:type="pct"/>
                  <w:noWrap w:val="0"/>
                  <w:vAlign w:val="center"/>
                </w:tcPr>
                <w:p w14:paraId="05475B7F">
                  <w:pPr>
                    <w:pStyle w:val="14"/>
                    <w:spacing w:after="0"/>
                    <w:ind w:left="0" w:leftChars="0" w:firstLine="0" w:firstLineChars="0"/>
                    <w:jc w:val="center"/>
                    <w:rPr>
                      <w:rFonts w:hint="default"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氯化物</w:t>
                  </w:r>
                </w:p>
              </w:tc>
              <w:tc>
                <w:tcPr>
                  <w:tcW w:w="869" w:type="pct"/>
                  <w:noWrap w:val="0"/>
                  <w:vAlign w:val="center"/>
                </w:tcPr>
                <w:p w14:paraId="6D8ABA47">
                  <w:pPr>
                    <w:pStyle w:val="14"/>
                    <w:spacing w:after="0"/>
                    <w:ind w:left="0" w:leftChars="0" w:firstLine="0" w:firstLineChars="0"/>
                    <w:jc w:val="center"/>
                    <w:rPr>
                      <w:rFonts w:hint="default"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氟化物</w:t>
                  </w:r>
                </w:p>
              </w:tc>
              <w:tc>
                <w:tcPr>
                  <w:tcW w:w="676" w:type="pct"/>
                  <w:noWrap w:val="0"/>
                  <w:vAlign w:val="center"/>
                </w:tcPr>
                <w:p w14:paraId="1273C82A">
                  <w:pPr>
                    <w:pStyle w:val="14"/>
                    <w:spacing w:after="0"/>
                    <w:ind w:left="0" w:leftChars="0" w:firstLine="0" w:firstLineChars="0"/>
                    <w:jc w:val="center"/>
                    <w:rPr>
                      <w:rFonts w:hint="eastAsia" w:ascii="Times New Roman" w:hAnsi="Times New Roman" w:eastAsia="宋体" w:cs="Times New Roman"/>
                      <w:b/>
                      <w:bCs w:val="0"/>
                      <w:color w:val="auto"/>
                      <w:kern w:val="2"/>
                      <w:sz w:val="21"/>
                      <w:szCs w:val="21"/>
                      <w:lang w:val="en-US" w:eastAsia="zh-CN" w:bidi="ar-SA"/>
                    </w:rPr>
                  </w:pPr>
                  <w:r>
                    <w:rPr>
                      <w:rFonts w:hint="eastAsia" w:ascii="Times New Roman" w:hAnsi="Times New Roman" w:eastAsia="宋体" w:cs="Times New Roman"/>
                      <w:b/>
                      <w:bCs w:val="0"/>
                      <w:color w:val="auto"/>
                      <w:sz w:val="21"/>
                      <w:szCs w:val="21"/>
                      <w:lang w:val="en-US" w:eastAsia="zh-CN"/>
                    </w:rPr>
                    <w:t>总硬度</w:t>
                  </w:r>
                </w:p>
              </w:tc>
              <w:tc>
                <w:tcPr>
                  <w:tcW w:w="676" w:type="pct"/>
                  <w:noWrap w:val="0"/>
                  <w:vAlign w:val="center"/>
                </w:tcPr>
                <w:p w14:paraId="6B4AE11E">
                  <w:pPr>
                    <w:pStyle w:val="14"/>
                    <w:spacing w:after="0"/>
                    <w:ind w:left="0" w:leftChars="0" w:firstLine="0" w:firstLineChars="0"/>
                    <w:jc w:val="center"/>
                    <w:rPr>
                      <w:rFonts w:hint="default" w:ascii="Times New Roman" w:hAnsi="Times New Roman" w:eastAsia="宋体" w:cs="Times New Roman"/>
                      <w:b/>
                      <w:bCs w:val="0"/>
                      <w:color w:val="auto"/>
                      <w:sz w:val="21"/>
                      <w:szCs w:val="21"/>
                      <w:lang w:val="en-US" w:eastAsia="zh-CN"/>
                    </w:rPr>
                  </w:pPr>
                  <w:r>
                    <w:rPr>
                      <w:rFonts w:hint="eastAsia" w:ascii="Times New Roman" w:hAnsi="Times New Roman" w:eastAsia="宋体" w:cs="Times New Roman"/>
                      <w:b/>
                      <w:bCs w:val="0"/>
                      <w:color w:val="auto"/>
                      <w:sz w:val="21"/>
                      <w:szCs w:val="21"/>
                      <w:lang w:val="en-US" w:eastAsia="zh-CN"/>
                    </w:rPr>
                    <w:t>硫酸盐</w:t>
                  </w:r>
                </w:p>
              </w:tc>
            </w:tr>
            <w:tr w14:paraId="40E7B8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pct"/>
                  <w:noWrap w:val="0"/>
                  <w:vAlign w:val="center"/>
                </w:tcPr>
                <w:p w14:paraId="0D965C23">
                  <w:pPr>
                    <w:adjustRightInd w:val="0"/>
                    <w:snapToGrid w:val="0"/>
                    <w:jc w:val="center"/>
                    <w:rPr>
                      <w:rFonts w:hint="default" w:eastAsia="宋体"/>
                      <w:color w:val="auto"/>
                      <w:kern w:val="2"/>
                      <w:sz w:val="21"/>
                      <w:szCs w:val="21"/>
                      <w:lang w:val="en-US" w:eastAsia="zh-CN" w:bidi="ar-SA"/>
                    </w:rPr>
                  </w:pPr>
                  <w:r>
                    <w:rPr>
                      <w:rFonts w:hint="default" w:ascii="Times New Roman" w:hAnsi="Times New Roman" w:cs="Times New Roman"/>
                      <w:bCs/>
                      <w:color w:val="auto"/>
                      <w:sz w:val="21"/>
                      <w:szCs w:val="21"/>
                    </w:rPr>
                    <w:t>Ⅲ</w:t>
                  </w:r>
                  <w:r>
                    <w:rPr>
                      <w:rFonts w:hint="default" w:ascii="Times New Roman" w:hAnsi="Times New Roman" w:cs="Times New Roman"/>
                      <w:bCs/>
                      <w:color w:val="auto"/>
                      <w:sz w:val="21"/>
                      <w:szCs w:val="21"/>
                      <w:lang w:val="en-US" w:eastAsia="zh-CN"/>
                    </w:rPr>
                    <w:t>类</w:t>
                  </w:r>
                  <w:r>
                    <w:rPr>
                      <w:rFonts w:hint="eastAsia"/>
                      <w:bCs/>
                      <w:color w:val="auto"/>
                      <w:sz w:val="21"/>
                      <w:szCs w:val="21"/>
                      <w:lang w:val="en-US" w:eastAsia="zh-CN"/>
                    </w:rPr>
                    <w:t>标准</w:t>
                  </w:r>
                </w:p>
              </w:tc>
              <w:tc>
                <w:tcPr>
                  <w:tcW w:w="624" w:type="pct"/>
                  <w:noWrap w:val="0"/>
                  <w:vAlign w:val="center"/>
                </w:tcPr>
                <w:p w14:paraId="2D81DA85">
                  <w:pPr>
                    <w:pStyle w:val="14"/>
                    <w:spacing w:after="0"/>
                    <w:ind w:left="0" w:leftChars="0" w:firstLine="0" w:firstLineChars="0"/>
                    <w:jc w:val="center"/>
                    <w:rPr>
                      <w:rFonts w:hint="default" w:ascii="Times New Roman" w:hAnsi="Times New Roman" w:eastAsia="宋体" w:cs="Times New Roman"/>
                      <w:bCs/>
                      <w:color w:val="auto"/>
                      <w:sz w:val="21"/>
                      <w:szCs w:val="21"/>
                      <w:lang w:val="en-US" w:eastAsia="en-US"/>
                    </w:rPr>
                  </w:pPr>
                  <w:r>
                    <w:rPr>
                      <w:rFonts w:hint="eastAsia" w:ascii="Times New Roman" w:hAnsi="Times New Roman" w:eastAsia="宋体" w:cs="Times New Roman"/>
                      <w:bCs/>
                      <w:color w:val="auto"/>
                      <w:sz w:val="21"/>
                      <w:szCs w:val="21"/>
                      <w:lang w:val="en-US" w:eastAsia="zh-CN"/>
                    </w:rPr>
                    <w:t>6.5～8.5</w:t>
                  </w:r>
                </w:p>
              </w:tc>
              <w:tc>
                <w:tcPr>
                  <w:tcW w:w="625" w:type="pct"/>
                  <w:noWrap w:val="0"/>
                  <w:vAlign w:val="center"/>
                </w:tcPr>
                <w:p w14:paraId="21BC3FB6">
                  <w:pPr>
                    <w:pStyle w:val="14"/>
                    <w:spacing w:after="0"/>
                    <w:ind w:left="0" w:leftChars="0" w:firstLine="0" w:firstLineChars="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≦0.5</w:t>
                  </w:r>
                </w:p>
              </w:tc>
              <w:tc>
                <w:tcPr>
                  <w:tcW w:w="784" w:type="pct"/>
                  <w:noWrap w:val="0"/>
                  <w:vAlign w:val="center"/>
                </w:tcPr>
                <w:p w14:paraId="69E7DF26">
                  <w:pPr>
                    <w:pStyle w:val="14"/>
                    <w:spacing w:after="0"/>
                    <w:ind w:left="0" w:leftChars="0" w:firstLine="0" w:firstLineChars="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≦250</w:t>
                  </w:r>
                </w:p>
              </w:tc>
              <w:tc>
                <w:tcPr>
                  <w:tcW w:w="869" w:type="pct"/>
                  <w:noWrap w:val="0"/>
                  <w:vAlign w:val="center"/>
                </w:tcPr>
                <w:p w14:paraId="4243FCA3">
                  <w:pPr>
                    <w:pStyle w:val="14"/>
                    <w:spacing w:after="0"/>
                    <w:ind w:left="0" w:leftChars="0" w:firstLine="0" w:firstLineChars="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≦1.0</w:t>
                  </w:r>
                </w:p>
              </w:tc>
              <w:tc>
                <w:tcPr>
                  <w:tcW w:w="676" w:type="pct"/>
                  <w:noWrap w:val="0"/>
                  <w:vAlign w:val="center"/>
                </w:tcPr>
                <w:p w14:paraId="2C07A395">
                  <w:pPr>
                    <w:pStyle w:val="14"/>
                    <w:spacing w:after="0"/>
                    <w:ind w:left="0" w:leftChars="0" w:firstLine="0" w:firstLineChars="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≦450</w:t>
                  </w:r>
                </w:p>
              </w:tc>
              <w:tc>
                <w:tcPr>
                  <w:tcW w:w="676" w:type="pct"/>
                  <w:noWrap w:val="0"/>
                  <w:vAlign w:val="center"/>
                </w:tcPr>
                <w:p w14:paraId="22CEC3C3">
                  <w:pPr>
                    <w:pStyle w:val="14"/>
                    <w:spacing w:after="0"/>
                    <w:ind w:left="0" w:leftChars="0" w:firstLine="0" w:firstLineChars="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≤250</w:t>
                  </w:r>
                </w:p>
              </w:tc>
            </w:tr>
          </w:tbl>
          <w:p w14:paraId="681A2A05">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color w:val="auto"/>
                <w:lang w:val="en-US" w:eastAsia="zh-CN"/>
              </w:rPr>
            </w:pPr>
            <w:r>
              <w:rPr>
                <w:rFonts w:hint="eastAsia"/>
                <w:color w:val="auto"/>
                <w:lang w:val="en-US" w:eastAsia="zh-CN"/>
              </w:rPr>
              <w:t>（3）声环境质量标准</w:t>
            </w:r>
          </w:p>
          <w:p w14:paraId="731D06CE">
            <w:pPr>
              <w:pStyle w:val="22"/>
              <w:bidi w:val="0"/>
              <w:rPr>
                <w:rFonts w:hint="eastAsia"/>
                <w:color w:val="auto"/>
                <w:lang w:val="en-US" w:eastAsia="zh-CN"/>
              </w:rPr>
            </w:pPr>
            <w:r>
              <w:rPr>
                <w:rFonts w:hint="eastAsia"/>
                <w:color w:val="auto"/>
                <w:lang w:val="en-US" w:eastAsia="zh-CN"/>
              </w:rPr>
              <w:t>项目区厂界四周噪声执行《声环境质量标准》（GB3096-2008）中2类标准，标准值如下表：</w:t>
            </w:r>
          </w:p>
          <w:p w14:paraId="1CD28D87">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3-</w:t>
            </w:r>
            <w:r>
              <w:rPr>
                <w:rFonts w:hint="eastAsia" w:hAnsi="Times New Roman" w:cs="Times New Roman"/>
                <w:b/>
                <w:bCs/>
                <w:color w:val="auto"/>
                <w:kern w:val="21"/>
                <w:szCs w:val="24"/>
                <w:lang w:val="en-US" w:eastAsia="zh-CN"/>
              </w:rPr>
              <w:t>6</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w:t>
            </w:r>
            <w:r>
              <w:rPr>
                <w:rFonts w:hAnsi="Times New Roman" w:cs="Times New Roman"/>
                <w:b/>
                <w:bCs/>
                <w:color w:val="auto"/>
                <w:kern w:val="21"/>
                <w:szCs w:val="24"/>
              </w:rPr>
              <w:t>声</w:t>
            </w:r>
            <w:r>
              <w:rPr>
                <w:rFonts w:hint="eastAsia" w:hAnsi="Times New Roman" w:cs="Times New Roman"/>
                <w:b/>
                <w:bCs/>
                <w:color w:val="auto"/>
                <w:kern w:val="21"/>
                <w:szCs w:val="24"/>
                <w:lang w:val="en-US" w:eastAsia="zh-CN"/>
              </w:rPr>
              <w:t>环境质量</w:t>
            </w:r>
            <w:r>
              <w:rPr>
                <w:rFonts w:hAnsi="Times New Roman" w:cs="Times New Roman"/>
                <w:b/>
                <w:bCs/>
                <w:color w:val="auto"/>
                <w:kern w:val="21"/>
                <w:szCs w:val="24"/>
              </w:rPr>
              <w:t>标准</w:t>
            </w:r>
          </w:p>
          <w:tbl>
            <w:tblPr>
              <w:tblStyle w:val="15"/>
              <w:tblW w:w="50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96"/>
              <w:gridCol w:w="2254"/>
              <w:gridCol w:w="2334"/>
              <w:gridCol w:w="1633"/>
            </w:tblGrid>
            <w:tr w14:paraId="49FBD9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167" w:type="pct"/>
                  <w:vMerge w:val="restart"/>
                  <w:noWrap w:val="0"/>
                  <w:tcMar>
                    <w:top w:w="0" w:type="dxa"/>
                    <w:left w:w="57" w:type="dxa"/>
                    <w:bottom w:w="0" w:type="dxa"/>
                    <w:right w:w="57" w:type="dxa"/>
                  </w:tcMar>
                  <w:vAlign w:val="center"/>
                </w:tcPr>
                <w:p w14:paraId="721527E4">
                  <w:pPr>
                    <w:adjustRightInd w:val="0"/>
                    <w:snapToGrid w:val="0"/>
                    <w:jc w:val="center"/>
                    <w:rPr>
                      <w:rFonts w:hint="default" w:ascii="Times New Roman" w:hAnsi="Times New Roman" w:eastAsia="宋体" w:cs="Times New Roman"/>
                      <w:b/>
                      <w:color w:val="auto"/>
                      <w:kern w:val="0"/>
                      <w:sz w:val="21"/>
                      <w:szCs w:val="21"/>
                      <w:lang w:val="en-US" w:eastAsia="zh-CN"/>
                    </w:rPr>
                  </w:pPr>
                  <w:r>
                    <w:rPr>
                      <w:rFonts w:hint="eastAsia" w:ascii="Times New Roman" w:hAnsi="Times New Roman" w:cs="Times New Roman"/>
                      <w:b/>
                      <w:color w:val="auto"/>
                      <w:kern w:val="0"/>
                      <w:sz w:val="21"/>
                      <w:szCs w:val="21"/>
                      <w:lang w:val="en-US" w:eastAsia="zh-CN"/>
                    </w:rPr>
                    <w:t>执行标准</w:t>
                  </w:r>
                </w:p>
              </w:tc>
              <w:tc>
                <w:tcPr>
                  <w:tcW w:w="1388" w:type="pct"/>
                  <w:vMerge w:val="restart"/>
                  <w:noWrap w:val="0"/>
                  <w:vAlign w:val="center"/>
                </w:tcPr>
                <w:p w14:paraId="6BDFDCF9">
                  <w:pPr>
                    <w:adjustRightInd w:val="0"/>
                    <w:snapToGrid w:val="0"/>
                    <w:jc w:val="center"/>
                    <w:rPr>
                      <w:rFonts w:ascii="Times New Roman" w:hAnsi="Times New Roman" w:cs="Times New Roman"/>
                      <w:b/>
                      <w:color w:val="auto"/>
                      <w:kern w:val="0"/>
                      <w:sz w:val="21"/>
                      <w:szCs w:val="21"/>
                    </w:rPr>
                  </w:pPr>
                  <w:r>
                    <w:rPr>
                      <w:rFonts w:ascii="Times New Roman" w:hAnsi="Times New Roman" w:cs="Times New Roman"/>
                      <w:b/>
                      <w:color w:val="auto"/>
                      <w:kern w:val="0"/>
                      <w:sz w:val="21"/>
                      <w:szCs w:val="21"/>
                    </w:rPr>
                    <w:t>功能类别</w:t>
                  </w:r>
                </w:p>
              </w:tc>
              <w:tc>
                <w:tcPr>
                  <w:tcW w:w="2443" w:type="pct"/>
                  <w:gridSpan w:val="2"/>
                  <w:noWrap w:val="0"/>
                  <w:vAlign w:val="center"/>
                </w:tcPr>
                <w:p w14:paraId="79C5E6BE">
                  <w:pPr>
                    <w:adjustRightInd w:val="0"/>
                    <w:snapToGrid w:val="0"/>
                    <w:jc w:val="center"/>
                    <w:rPr>
                      <w:rFonts w:ascii="Times New Roman" w:hAnsi="Times New Roman" w:cs="Times New Roman"/>
                      <w:b/>
                      <w:color w:val="auto"/>
                      <w:kern w:val="0"/>
                      <w:sz w:val="21"/>
                      <w:szCs w:val="21"/>
                    </w:rPr>
                  </w:pPr>
                  <w:r>
                    <w:rPr>
                      <w:rFonts w:hint="eastAsia" w:ascii="Times New Roman" w:hAnsi="Times New Roman" w:cs="Times New Roman"/>
                      <w:b/>
                      <w:color w:val="auto"/>
                      <w:kern w:val="0"/>
                      <w:sz w:val="21"/>
                      <w:szCs w:val="21"/>
                      <w:lang w:val="en-US" w:eastAsia="zh-CN"/>
                    </w:rPr>
                    <w:t>标准</w:t>
                  </w:r>
                  <w:r>
                    <w:rPr>
                      <w:rFonts w:ascii="Times New Roman" w:hAnsi="Times New Roman" w:cs="Times New Roman"/>
                      <w:b/>
                      <w:color w:val="auto"/>
                      <w:kern w:val="0"/>
                      <w:sz w:val="21"/>
                      <w:szCs w:val="21"/>
                    </w:rPr>
                    <w:t>限值</w:t>
                  </w:r>
                  <w:r>
                    <w:rPr>
                      <w:rFonts w:ascii="Times New Roman" w:hAnsi="Times New Roman" w:cs="Times New Roman"/>
                      <w:b/>
                      <w:bCs/>
                      <w:color w:val="auto"/>
                      <w:kern w:val="0"/>
                      <w:sz w:val="21"/>
                      <w:szCs w:val="21"/>
                    </w:rPr>
                    <w:t>dB(A)</w:t>
                  </w:r>
                </w:p>
              </w:tc>
            </w:tr>
            <w:tr w14:paraId="7A403B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167" w:type="pct"/>
                  <w:vMerge w:val="continue"/>
                  <w:noWrap w:val="0"/>
                  <w:tcMar>
                    <w:top w:w="0" w:type="dxa"/>
                    <w:left w:w="57" w:type="dxa"/>
                    <w:bottom w:w="0" w:type="dxa"/>
                    <w:right w:w="57" w:type="dxa"/>
                  </w:tcMar>
                  <w:vAlign w:val="center"/>
                </w:tcPr>
                <w:p w14:paraId="750349D7">
                  <w:pPr>
                    <w:adjustRightInd w:val="0"/>
                    <w:snapToGrid w:val="0"/>
                    <w:jc w:val="center"/>
                    <w:rPr>
                      <w:rFonts w:ascii="Times New Roman" w:hAnsi="Times New Roman" w:cs="Times New Roman"/>
                      <w:b/>
                      <w:color w:val="auto"/>
                      <w:kern w:val="0"/>
                      <w:sz w:val="21"/>
                      <w:szCs w:val="21"/>
                    </w:rPr>
                  </w:pPr>
                </w:p>
              </w:tc>
              <w:tc>
                <w:tcPr>
                  <w:tcW w:w="1388" w:type="pct"/>
                  <w:vMerge w:val="continue"/>
                  <w:noWrap w:val="0"/>
                  <w:vAlign w:val="center"/>
                </w:tcPr>
                <w:p w14:paraId="5898BB62">
                  <w:pPr>
                    <w:adjustRightInd w:val="0"/>
                    <w:snapToGrid w:val="0"/>
                    <w:jc w:val="center"/>
                    <w:rPr>
                      <w:rFonts w:ascii="Times New Roman" w:hAnsi="Times New Roman" w:cs="Times New Roman"/>
                      <w:b/>
                      <w:color w:val="auto"/>
                      <w:kern w:val="0"/>
                      <w:sz w:val="21"/>
                      <w:szCs w:val="21"/>
                    </w:rPr>
                  </w:pPr>
                </w:p>
              </w:tc>
              <w:tc>
                <w:tcPr>
                  <w:tcW w:w="1437" w:type="pct"/>
                  <w:noWrap w:val="0"/>
                  <w:vAlign w:val="center"/>
                </w:tcPr>
                <w:p w14:paraId="06691E47">
                  <w:pPr>
                    <w:adjustRightInd w:val="0"/>
                    <w:snapToGrid w:val="0"/>
                    <w:jc w:val="center"/>
                    <w:rPr>
                      <w:rFonts w:ascii="Times New Roman" w:hAnsi="Times New Roman" w:cs="Times New Roman"/>
                      <w:b/>
                      <w:bCs/>
                      <w:color w:val="auto"/>
                      <w:kern w:val="0"/>
                      <w:sz w:val="21"/>
                      <w:szCs w:val="21"/>
                    </w:rPr>
                  </w:pPr>
                  <w:r>
                    <w:rPr>
                      <w:rFonts w:ascii="Times New Roman" w:hAnsi="Times New Roman" w:cs="Times New Roman"/>
                      <w:b/>
                      <w:bCs/>
                      <w:color w:val="auto"/>
                      <w:kern w:val="0"/>
                      <w:sz w:val="21"/>
                      <w:szCs w:val="21"/>
                    </w:rPr>
                    <w:t>昼间</w:t>
                  </w:r>
                </w:p>
              </w:tc>
              <w:tc>
                <w:tcPr>
                  <w:tcW w:w="1005" w:type="pct"/>
                  <w:noWrap w:val="0"/>
                  <w:vAlign w:val="center"/>
                </w:tcPr>
                <w:p w14:paraId="1E754D57">
                  <w:pPr>
                    <w:adjustRightInd w:val="0"/>
                    <w:snapToGrid w:val="0"/>
                    <w:jc w:val="center"/>
                    <w:rPr>
                      <w:rFonts w:ascii="Times New Roman" w:hAnsi="Times New Roman" w:cs="Times New Roman"/>
                      <w:b/>
                      <w:bCs/>
                      <w:color w:val="auto"/>
                      <w:kern w:val="0"/>
                      <w:sz w:val="21"/>
                      <w:szCs w:val="21"/>
                    </w:rPr>
                  </w:pPr>
                  <w:r>
                    <w:rPr>
                      <w:rFonts w:ascii="Times New Roman" w:hAnsi="Times New Roman" w:cs="Times New Roman"/>
                      <w:b/>
                      <w:bCs/>
                      <w:color w:val="auto"/>
                      <w:kern w:val="0"/>
                      <w:sz w:val="21"/>
                      <w:szCs w:val="21"/>
                    </w:rPr>
                    <w:t>夜间</w:t>
                  </w:r>
                </w:p>
              </w:tc>
            </w:tr>
            <w:tr w14:paraId="006D7F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7" w:type="pct"/>
                  <w:noWrap w:val="0"/>
                  <w:tcMar>
                    <w:top w:w="0" w:type="dxa"/>
                    <w:left w:w="57" w:type="dxa"/>
                    <w:bottom w:w="0" w:type="dxa"/>
                    <w:right w:w="57" w:type="dxa"/>
                  </w:tcMar>
                  <w:vAlign w:val="center"/>
                </w:tcPr>
                <w:p w14:paraId="6E10F68D">
                  <w:pPr>
                    <w:adjustRightInd w:val="0"/>
                    <w:snapToGrid w:val="0"/>
                    <w:jc w:val="center"/>
                    <w:rPr>
                      <w:bCs/>
                      <w:color w:val="auto"/>
                      <w:kern w:val="0"/>
                      <w:sz w:val="21"/>
                      <w:szCs w:val="21"/>
                      <w:highlight w:val="none"/>
                      <w:lang w:val="en-US" w:eastAsia="zh-CN" w:bidi="ar-SA"/>
                    </w:rPr>
                  </w:pPr>
                  <w:r>
                    <w:rPr>
                      <w:rFonts w:hint="eastAsia"/>
                      <w:bCs/>
                      <w:color w:val="auto"/>
                      <w:kern w:val="0"/>
                      <w:sz w:val="21"/>
                      <w:szCs w:val="21"/>
                      <w:highlight w:val="none"/>
                      <w:lang w:val="en-US" w:eastAsia="zh-CN" w:bidi="ar-SA"/>
                    </w:rPr>
                    <w:t>《声环境质量标准》（GB3096-2008）</w:t>
                  </w:r>
                </w:p>
              </w:tc>
              <w:tc>
                <w:tcPr>
                  <w:tcW w:w="1388" w:type="pct"/>
                  <w:noWrap w:val="0"/>
                  <w:vAlign w:val="center"/>
                </w:tcPr>
                <w:p w14:paraId="780A036D">
                  <w:pPr>
                    <w:adjustRightInd w:val="0"/>
                    <w:snapToGrid w:val="0"/>
                    <w:jc w:val="center"/>
                    <w:rPr>
                      <w:rFonts w:hint="eastAsia" w:ascii="Times New Roman" w:hAnsi="Times New Roman" w:cs="Times New Roman"/>
                      <w:color w:val="auto"/>
                      <w:kern w:val="0"/>
                      <w:sz w:val="21"/>
                      <w:szCs w:val="21"/>
                      <w:lang w:val="en-US" w:eastAsia="zh-CN" w:bidi="ar-SA"/>
                    </w:rPr>
                  </w:pPr>
                  <w:r>
                    <w:rPr>
                      <w:rFonts w:hint="eastAsia" w:ascii="Times New Roman" w:hAnsi="Times New Roman" w:cs="Times New Roman"/>
                      <w:color w:val="auto"/>
                      <w:kern w:val="0"/>
                      <w:sz w:val="21"/>
                      <w:szCs w:val="21"/>
                      <w:lang w:val="en-US" w:eastAsia="zh-CN"/>
                    </w:rPr>
                    <w:t>2</w:t>
                  </w:r>
                  <w:r>
                    <w:rPr>
                      <w:rFonts w:ascii="Times New Roman" w:hAnsi="Times New Roman" w:cs="Times New Roman"/>
                      <w:color w:val="auto"/>
                      <w:kern w:val="0"/>
                      <w:sz w:val="21"/>
                      <w:szCs w:val="21"/>
                    </w:rPr>
                    <w:t>类区</w:t>
                  </w:r>
                </w:p>
              </w:tc>
              <w:tc>
                <w:tcPr>
                  <w:tcW w:w="1437" w:type="pct"/>
                  <w:noWrap w:val="0"/>
                  <w:vAlign w:val="center"/>
                </w:tcPr>
                <w:p w14:paraId="7F6FE8F7">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rPr>
                    <w:t>60</w:t>
                  </w:r>
                </w:p>
              </w:tc>
              <w:tc>
                <w:tcPr>
                  <w:tcW w:w="1005" w:type="pct"/>
                  <w:noWrap w:val="0"/>
                  <w:vAlign w:val="center"/>
                </w:tcPr>
                <w:p w14:paraId="05EEF7EE">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kern w:val="0"/>
                      <w:sz w:val="21"/>
                      <w:szCs w:val="21"/>
                      <w:lang w:val="en-US" w:eastAsia="zh-CN"/>
                    </w:rPr>
                    <w:t>50</w:t>
                  </w:r>
                </w:p>
              </w:tc>
            </w:tr>
          </w:tbl>
          <w:p w14:paraId="2DFA0A3D">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color w:val="auto"/>
                <w:lang w:val="en-US" w:eastAsia="zh-CN"/>
              </w:rPr>
            </w:pPr>
            <w:r>
              <w:rPr>
                <w:rFonts w:hint="eastAsia"/>
                <w:color w:val="auto"/>
                <w:lang w:val="en-US" w:eastAsia="zh-CN"/>
              </w:rPr>
              <w:t>（4）振动环境质量标准</w:t>
            </w:r>
          </w:p>
          <w:p w14:paraId="09BA9639">
            <w:pPr>
              <w:pStyle w:val="22"/>
              <w:bidi w:val="0"/>
              <w:rPr>
                <w:rFonts w:hint="eastAsia"/>
                <w:color w:val="auto"/>
                <w:lang w:val="en-US" w:eastAsia="zh-CN"/>
              </w:rPr>
            </w:pPr>
            <w:r>
              <w:rPr>
                <w:rFonts w:hint="eastAsia"/>
                <w:color w:val="auto"/>
                <w:lang w:val="en-US" w:eastAsia="zh-CN"/>
              </w:rPr>
              <w:t>振动执行《城市区域环境振动标准》（GB10070-88）中居民、文教区标准限值。</w:t>
            </w:r>
          </w:p>
          <w:p w14:paraId="7160CF44">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3-</w:t>
            </w:r>
            <w:r>
              <w:rPr>
                <w:rFonts w:hint="eastAsia" w:hAnsi="Times New Roman" w:cs="Times New Roman"/>
                <w:b/>
                <w:bCs/>
                <w:color w:val="auto"/>
                <w:kern w:val="21"/>
                <w:szCs w:val="24"/>
                <w:lang w:val="en-US" w:eastAsia="zh-CN"/>
              </w:rPr>
              <w:t>7</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w:t>
            </w:r>
            <w:r>
              <w:rPr>
                <w:rFonts w:hint="eastAsia" w:hAnsi="Times New Roman" w:cs="Times New Roman"/>
                <w:b/>
                <w:bCs/>
                <w:color w:val="auto"/>
                <w:kern w:val="21"/>
                <w:szCs w:val="24"/>
                <w:lang w:val="en-US" w:eastAsia="zh-CN"/>
              </w:rPr>
              <w:t>振动环境质量</w:t>
            </w:r>
            <w:r>
              <w:rPr>
                <w:rFonts w:hAnsi="Times New Roman" w:cs="Times New Roman"/>
                <w:b/>
                <w:bCs/>
                <w:color w:val="auto"/>
                <w:kern w:val="21"/>
                <w:szCs w:val="24"/>
              </w:rPr>
              <w:t>标准</w:t>
            </w:r>
          </w:p>
          <w:tbl>
            <w:tblPr>
              <w:tblStyle w:val="15"/>
              <w:tblW w:w="811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109"/>
              <w:gridCol w:w="2536"/>
              <w:gridCol w:w="2472"/>
            </w:tblGrid>
            <w:tr w14:paraId="2E6274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915" w:type="pct"/>
                  <w:vMerge w:val="restart"/>
                  <w:noWrap w:val="0"/>
                  <w:tcMar>
                    <w:top w:w="0" w:type="dxa"/>
                    <w:left w:w="57" w:type="dxa"/>
                    <w:bottom w:w="0" w:type="dxa"/>
                    <w:right w:w="57" w:type="dxa"/>
                  </w:tcMar>
                  <w:vAlign w:val="center"/>
                </w:tcPr>
                <w:p w14:paraId="5A606871">
                  <w:pPr>
                    <w:adjustRightInd w:val="0"/>
                    <w:snapToGrid w:val="0"/>
                    <w:jc w:val="center"/>
                    <w:rPr>
                      <w:rFonts w:hint="default" w:ascii="Times New Roman" w:hAnsi="Times New Roman" w:eastAsia="宋体" w:cs="Times New Roman"/>
                      <w:b/>
                      <w:color w:val="auto"/>
                      <w:kern w:val="0"/>
                      <w:sz w:val="21"/>
                      <w:szCs w:val="21"/>
                      <w:lang w:val="en-US" w:eastAsia="zh-CN"/>
                    </w:rPr>
                  </w:pPr>
                  <w:r>
                    <w:rPr>
                      <w:rFonts w:hint="eastAsia" w:ascii="Times New Roman" w:hAnsi="Times New Roman" w:cs="Times New Roman"/>
                      <w:b/>
                      <w:color w:val="auto"/>
                      <w:kern w:val="0"/>
                      <w:sz w:val="21"/>
                      <w:szCs w:val="21"/>
                      <w:lang w:val="en-US" w:eastAsia="zh-CN"/>
                    </w:rPr>
                    <w:t>执行标准</w:t>
                  </w:r>
                </w:p>
              </w:tc>
              <w:tc>
                <w:tcPr>
                  <w:tcW w:w="3084" w:type="pct"/>
                  <w:gridSpan w:val="2"/>
                  <w:noWrap w:val="0"/>
                  <w:vAlign w:val="center"/>
                </w:tcPr>
                <w:p w14:paraId="25A44D3C">
                  <w:pPr>
                    <w:adjustRightInd w:val="0"/>
                    <w:snapToGrid w:val="0"/>
                    <w:jc w:val="center"/>
                    <w:rPr>
                      <w:rFonts w:ascii="Times New Roman" w:hAnsi="Times New Roman" w:cs="Times New Roman"/>
                      <w:b/>
                      <w:color w:val="auto"/>
                      <w:kern w:val="0"/>
                      <w:sz w:val="21"/>
                      <w:szCs w:val="21"/>
                    </w:rPr>
                  </w:pPr>
                  <w:r>
                    <w:rPr>
                      <w:rFonts w:hint="eastAsia" w:ascii="Times New Roman" w:hAnsi="Times New Roman" w:cs="Times New Roman"/>
                      <w:b/>
                      <w:color w:val="auto"/>
                      <w:kern w:val="0"/>
                      <w:sz w:val="21"/>
                      <w:szCs w:val="21"/>
                      <w:lang w:val="en-US" w:eastAsia="zh-CN"/>
                    </w:rPr>
                    <w:t>标准</w:t>
                  </w:r>
                  <w:r>
                    <w:rPr>
                      <w:rFonts w:ascii="Times New Roman" w:hAnsi="Times New Roman" w:cs="Times New Roman"/>
                      <w:b/>
                      <w:color w:val="auto"/>
                      <w:kern w:val="0"/>
                      <w:sz w:val="21"/>
                      <w:szCs w:val="21"/>
                    </w:rPr>
                    <w:t>限值</w:t>
                  </w:r>
                  <w:r>
                    <w:rPr>
                      <w:rFonts w:ascii="Times New Roman" w:hAnsi="Times New Roman" w:cs="Times New Roman"/>
                      <w:b/>
                      <w:bCs/>
                      <w:color w:val="auto"/>
                      <w:kern w:val="0"/>
                      <w:sz w:val="21"/>
                      <w:szCs w:val="21"/>
                    </w:rPr>
                    <w:t>dB(A)</w:t>
                  </w:r>
                </w:p>
              </w:tc>
            </w:tr>
            <w:tr w14:paraId="34196A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915" w:type="pct"/>
                  <w:vMerge w:val="continue"/>
                  <w:noWrap w:val="0"/>
                  <w:tcMar>
                    <w:top w:w="0" w:type="dxa"/>
                    <w:left w:w="57" w:type="dxa"/>
                    <w:bottom w:w="0" w:type="dxa"/>
                    <w:right w:w="57" w:type="dxa"/>
                  </w:tcMar>
                  <w:vAlign w:val="center"/>
                </w:tcPr>
                <w:p w14:paraId="3CFFEFEC">
                  <w:pPr>
                    <w:adjustRightInd w:val="0"/>
                    <w:snapToGrid w:val="0"/>
                    <w:jc w:val="center"/>
                    <w:rPr>
                      <w:rFonts w:ascii="Times New Roman" w:hAnsi="Times New Roman" w:cs="Times New Roman"/>
                      <w:b/>
                      <w:color w:val="auto"/>
                      <w:kern w:val="0"/>
                      <w:sz w:val="21"/>
                      <w:szCs w:val="21"/>
                    </w:rPr>
                  </w:pPr>
                </w:p>
              </w:tc>
              <w:tc>
                <w:tcPr>
                  <w:tcW w:w="1562" w:type="pct"/>
                  <w:noWrap w:val="0"/>
                  <w:vAlign w:val="center"/>
                </w:tcPr>
                <w:p w14:paraId="5A850640">
                  <w:pPr>
                    <w:adjustRightInd w:val="0"/>
                    <w:snapToGrid w:val="0"/>
                    <w:jc w:val="center"/>
                    <w:rPr>
                      <w:rFonts w:ascii="Times New Roman" w:hAnsi="Times New Roman" w:cs="Times New Roman"/>
                      <w:b/>
                      <w:bCs/>
                      <w:color w:val="auto"/>
                      <w:kern w:val="0"/>
                      <w:sz w:val="21"/>
                      <w:szCs w:val="21"/>
                    </w:rPr>
                  </w:pPr>
                  <w:r>
                    <w:rPr>
                      <w:rFonts w:ascii="Times New Roman" w:hAnsi="Times New Roman" w:cs="Times New Roman"/>
                      <w:b/>
                      <w:bCs/>
                      <w:color w:val="auto"/>
                      <w:kern w:val="0"/>
                      <w:sz w:val="21"/>
                      <w:szCs w:val="21"/>
                    </w:rPr>
                    <w:t>昼间</w:t>
                  </w:r>
                </w:p>
              </w:tc>
              <w:tc>
                <w:tcPr>
                  <w:tcW w:w="1522" w:type="pct"/>
                  <w:noWrap w:val="0"/>
                  <w:vAlign w:val="center"/>
                </w:tcPr>
                <w:p w14:paraId="52662897">
                  <w:pPr>
                    <w:adjustRightInd w:val="0"/>
                    <w:snapToGrid w:val="0"/>
                    <w:jc w:val="center"/>
                    <w:rPr>
                      <w:rFonts w:ascii="Times New Roman" w:hAnsi="Times New Roman" w:cs="Times New Roman"/>
                      <w:b/>
                      <w:bCs/>
                      <w:color w:val="auto"/>
                      <w:kern w:val="0"/>
                      <w:sz w:val="21"/>
                      <w:szCs w:val="21"/>
                    </w:rPr>
                  </w:pPr>
                  <w:r>
                    <w:rPr>
                      <w:rFonts w:ascii="Times New Roman" w:hAnsi="Times New Roman" w:cs="Times New Roman"/>
                      <w:b/>
                      <w:bCs/>
                      <w:color w:val="auto"/>
                      <w:kern w:val="0"/>
                      <w:sz w:val="21"/>
                      <w:szCs w:val="21"/>
                    </w:rPr>
                    <w:t>夜间</w:t>
                  </w:r>
                </w:p>
              </w:tc>
            </w:tr>
            <w:tr w14:paraId="4AFA42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15" w:type="pct"/>
                  <w:noWrap w:val="0"/>
                  <w:tcMar>
                    <w:top w:w="0" w:type="dxa"/>
                    <w:left w:w="57" w:type="dxa"/>
                    <w:bottom w:w="0" w:type="dxa"/>
                    <w:right w:w="57" w:type="dxa"/>
                  </w:tcMar>
                  <w:vAlign w:val="center"/>
                </w:tcPr>
                <w:p w14:paraId="600B67D6">
                  <w:pPr>
                    <w:adjustRightInd w:val="0"/>
                    <w:snapToGrid w:val="0"/>
                    <w:jc w:val="center"/>
                    <w:rPr>
                      <w:bCs/>
                      <w:color w:val="auto"/>
                      <w:kern w:val="0"/>
                      <w:sz w:val="21"/>
                      <w:szCs w:val="21"/>
                      <w:highlight w:val="none"/>
                      <w:lang w:val="en-US" w:eastAsia="zh-CN" w:bidi="ar-SA"/>
                    </w:rPr>
                  </w:pPr>
                  <w:r>
                    <w:rPr>
                      <w:rFonts w:hint="eastAsia"/>
                      <w:bCs/>
                      <w:color w:val="auto"/>
                      <w:kern w:val="0"/>
                      <w:sz w:val="21"/>
                      <w:szCs w:val="21"/>
                      <w:highlight w:val="none"/>
                      <w:lang w:val="en-US" w:eastAsia="zh-CN" w:bidi="ar-SA"/>
                    </w:rPr>
                    <w:t>《城市区域环境振动标准》（GB10070-88）</w:t>
                  </w:r>
                </w:p>
              </w:tc>
              <w:tc>
                <w:tcPr>
                  <w:tcW w:w="1562" w:type="pct"/>
                  <w:noWrap w:val="0"/>
                  <w:vAlign w:val="center"/>
                </w:tcPr>
                <w:p w14:paraId="0AC698F8">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rPr>
                    <w:t>70</w:t>
                  </w:r>
                </w:p>
              </w:tc>
              <w:tc>
                <w:tcPr>
                  <w:tcW w:w="1522" w:type="pct"/>
                  <w:noWrap w:val="0"/>
                  <w:vAlign w:val="center"/>
                </w:tcPr>
                <w:p w14:paraId="043732E5">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kern w:val="0"/>
                      <w:sz w:val="21"/>
                      <w:szCs w:val="21"/>
                      <w:lang w:val="en-US" w:eastAsia="zh-CN"/>
                    </w:rPr>
                    <w:t>67</w:t>
                  </w:r>
                </w:p>
              </w:tc>
            </w:tr>
          </w:tbl>
          <w:p w14:paraId="1A17F3C7">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color w:val="auto"/>
                <w:lang w:val="en-US" w:eastAsia="zh-CN"/>
              </w:rPr>
            </w:pPr>
            <w:r>
              <w:rPr>
                <w:rFonts w:hint="eastAsia"/>
                <w:color w:val="auto"/>
                <w:lang w:val="en-US" w:eastAsia="zh-CN"/>
              </w:rPr>
              <w:t>（5）土壤环境质量标准</w:t>
            </w:r>
          </w:p>
          <w:p w14:paraId="5108BB87">
            <w:pPr>
              <w:pStyle w:val="22"/>
              <w:bidi w:val="0"/>
              <w:rPr>
                <w:rFonts w:hint="eastAsia"/>
                <w:color w:val="auto"/>
                <w:lang w:val="en-US" w:eastAsia="zh-CN"/>
              </w:rPr>
            </w:pPr>
            <w:r>
              <w:rPr>
                <w:rFonts w:hint="eastAsia"/>
                <w:color w:val="auto"/>
                <w:lang w:val="en-US" w:eastAsia="zh-CN"/>
              </w:rPr>
              <w:t>土壤环境质量执行《土壤环境质量 建设用地土壤污染风险管控标准（试行）》（GB36600-2018）筛选值第一类及二类用地限值（居住区执行一类标准）。</w:t>
            </w:r>
          </w:p>
          <w:p w14:paraId="173E9A2B">
            <w:pPr>
              <w:pStyle w:val="22"/>
              <w:bidi w:val="0"/>
              <w:rPr>
                <w:rFonts w:hint="default"/>
                <w:b/>
                <w:bCs/>
                <w:color w:val="auto"/>
                <w:lang w:val="en-US" w:eastAsia="zh-CN"/>
              </w:rPr>
            </w:pPr>
            <w:r>
              <w:rPr>
                <w:rFonts w:hint="eastAsia"/>
                <w:b/>
                <w:bCs/>
                <w:color w:val="auto"/>
                <w:lang w:val="en-US" w:eastAsia="zh-CN"/>
              </w:rPr>
              <w:t>2、污染物排放控制标准</w:t>
            </w:r>
          </w:p>
          <w:p w14:paraId="15D78273">
            <w:pPr>
              <w:pStyle w:val="22"/>
              <w:bidi w:val="0"/>
              <w:rPr>
                <w:color w:val="auto"/>
              </w:rPr>
            </w:pPr>
            <w:r>
              <w:rPr>
                <w:rFonts w:hint="eastAsia"/>
                <w:color w:val="auto"/>
                <w:lang w:eastAsia="zh-CN"/>
              </w:rPr>
              <w:t>（</w:t>
            </w:r>
            <w:r>
              <w:rPr>
                <w:rFonts w:hint="eastAsia"/>
                <w:color w:val="auto"/>
                <w:lang w:val="en-US" w:eastAsia="zh-CN"/>
              </w:rPr>
              <w:t>1</w:t>
            </w:r>
            <w:r>
              <w:rPr>
                <w:rFonts w:hint="eastAsia"/>
                <w:color w:val="auto"/>
                <w:lang w:eastAsia="zh-CN"/>
              </w:rPr>
              <w:t>）</w:t>
            </w:r>
            <w:r>
              <w:rPr>
                <w:color w:val="auto"/>
              </w:rPr>
              <w:t>废气</w:t>
            </w:r>
          </w:p>
          <w:p w14:paraId="3C3AB15D">
            <w:pPr>
              <w:pStyle w:val="22"/>
              <w:bidi w:val="0"/>
              <w:rPr>
                <w:rFonts w:hint="eastAsia"/>
                <w:color w:val="auto"/>
                <w:lang w:eastAsia="zh-CN"/>
              </w:rPr>
            </w:pPr>
            <w:r>
              <w:rPr>
                <w:rFonts w:hint="eastAsia"/>
                <w:color w:val="auto"/>
              </w:rPr>
              <w:t>施工期扬尘执行《施工场界扬尘排放限值》（DB61/1078-2017）中的浓度限值。</w:t>
            </w:r>
          </w:p>
          <w:p w14:paraId="71349E37">
            <w:pPr>
              <w:pStyle w:val="5"/>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宋体"/>
                <w:b/>
                <w:color w:val="auto"/>
                <w:sz w:val="24"/>
                <w:highlight w:val="none"/>
              </w:rPr>
            </w:pPr>
            <w:r>
              <w:rPr>
                <w:rFonts w:ascii="Times New Roman" w:hAnsi="Times New Roman" w:eastAsia="宋体"/>
                <w:b/>
                <w:color w:val="auto"/>
                <w:sz w:val="24"/>
                <w:highlight w:val="none"/>
              </w:rPr>
              <w:t>表3-</w:t>
            </w:r>
            <w:r>
              <w:rPr>
                <w:rFonts w:hint="eastAsia" w:ascii="Times New Roman" w:hAnsi="Times New Roman" w:eastAsia="宋体"/>
                <w:b/>
                <w:color w:val="auto"/>
                <w:sz w:val="24"/>
                <w:highlight w:val="none"/>
                <w:lang w:val="en-US" w:eastAsia="zh-CN"/>
              </w:rPr>
              <w:t>8</w:t>
            </w:r>
            <w:r>
              <w:rPr>
                <w:rFonts w:ascii="Times New Roman" w:hAnsi="Times New Roman" w:eastAsia="宋体"/>
                <w:b/>
                <w:color w:val="auto"/>
                <w:sz w:val="24"/>
                <w:highlight w:val="none"/>
              </w:rPr>
              <w:t xml:space="preserve">  </w:t>
            </w:r>
            <w:r>
              <w:rPr>
                <w:rFonts w:hint="eastAsia" w:ascii="Times New Roman" w:hAnsi="Times New Roman" w:eastAsia="宋体"/>
                <w:b/>
                <w:color w:val="auto"/>
                <w:sz w:val="24"/>
                <w:highlight w:val="none"/>
                <w:lang w:val="en-US" w:eastAsia="zh-CN"/>
              </w:rPr>
              <w:t>施工期</w:t>
            </w:r>
            <w:r>
              <w:rPr>
                <w:rFonts w:ascii="Times New Roman" w:hAnsi="Times New Roman" w:eastAsia="宋体"/>
                <w:b/>
                <w:color w:val="auto"/>
                <w:sz w:val="24"/>
                <w:highlight w:val="none"/>
              </w:rPr>
              <w:t>大气污染物排放标准</w:t>
            </w:r>
          </w:p>
          <w:tbl>
            <w:tblPr>
              <w:tblStyle w:val="15"/>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990"/>
              <w:gridCol w:w="1922"/>
              <w:gridCol w:w="1158"/>
              <w:gridCol w:w="2048"/>
            </w:tblGrid>
            <w:tr w14:paraId="58C997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615" w:type="pct"/>
                  <w:noWrap w:val="0"/>
                  <w:vAlign w:val="center"/>
                </w:tcPr>
                <w:p w14:paraId="5D7FF140">
                  <w:pPr>
                    <w:adjustRightInd w:val="0"/>
                    <w:snapToGrid w:val="0"/>
                    <w:ind w:left="-105" w:leftChars="-50" w:right="-105" w:rightChars="-50"/>
                    <w:jc w:val="center"/>
                    <w:rPr>
                      <w:b/>
                      <w:bCs/>
                      <w:color w:val="auto"/>
                      <w:kern w:val="2"/>
                      <w:sz w:val="21"/>
                      <w:szCs w:val="21"/>
                      <w:highlight w:val="none"/>
                      <w:lang w:val="en-US" w:eastAsia="zh-CN" w:bidi="ar-SA"/>
                    </w:rPr>
                  </w:pPr>
                  <w:r>
                    <w:rPr>
                      <w:b/>
                      <w:bCs/>
                      <w:color w:val="auto"/>
                      <w:szCs w:val="21"/>
                      <w:highlight w:val="none"/>
                    </w:rPr>
                    <w:t>污染物</w:t>
                  </w:r>
                </w:p>
              </w:tc>
              <w:tc>
                <w:tcPr>
                  <w:tcW w:w="1225" w:type="pct"/>
                  <w:noWrap w:val="0"/>
                  <w:vAlign w:val="center"/>
                </w:tcPr>
                <w:p w14:paraId="18E0BAD4">
                  <w:pPr>
                    <w:adjustRightInd w:val="0"/>
                    <w:snapToGrid w:val="0"/>
                    <w:jc w:val="center"/>
                    <w:rPr>
                      <w:b/>
                      <w:bCs/>
                      <w:color w:val="auto"/>
                      <w:kern w:val="2"/>
                      <w:sz w:val="21"/>
                      <w:szCs w:val="21"/>
                      <w:highlight w:val="none"/>
                      <w:lang w:val="en-US" w:eastAsia="zh-CN" w:bidi="ar-SA"/>
                    </w:rPr>
                  </w:pPr>
                  <w:r>
                    <w:rPr>
                      <w:b/>
                      <w:bCs/>
                      <w:color w:val="auto"/>
                      <w:szCs w:val="21"/>
                      <w:highlight w:val="none"/>
                    </w:rPr>
                    <w:t>最高允许排放浓度（mg/m</w:t>
                  </w:r>
                  <w:r>
                    <w:rPr>
                      <w:b/>
                      <w:bCs/>
                      <w:color w:val="auto"/>
                      <w:szCs w:val="21"/>
                      <w:highlight w:val="none"/>
                      <w:vertAlign w:val="superscript"/>
                    </w:rPr>
                    <w:t>3</w:t>
                  </w:r>
                  <w:r>
                    <w:rPr>
                      <w:b/>
                      <w:bCs/>
                      <w:color w:val="auto"/>
                      <w:szCs w:val="21"/>
                      <w:highlight w:val="none"/>
                    </w:rPr>
                    <w:t>）</w:t>
                  </w:r>
                </w:p>
              </w:tc>
              <w:tc>
                <w:tcPr>
                  <w:tcW w:w="1183" w:type="pct"/>
                  <w:noWrap w:val="0"/>
                  <w:vAlign w:val="center"/>
                </w:tcPr>
                <w:p w14:paraId="7445E78C">
                  <w:pPr>
                    <w:adjustRightInd w:val="0"/>
                    <w:snapToGrid w:val="0"/>
                    <w:jc w:val="center"/>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cs="Times New Roman"/>
                      <w:b/>
                      <w:bCs/>
                      <w:color w:val="auto"/>
                      <w:szCs w:val="21"/>
                      <w:lang w:val="en-US" w:eastAsia="zh-CN"/>
                    </w:rPr>
                    <w:t>施工阶段</w:t>
                  </w:r>
                </w:p>
              </w:tc>
              <w:tc>
                <w:tcPr>
                  <w:tcW w:w="713" w:type="pct"/>
                  <w:noWrap w:val="0"/>
                  <w:vAlign w:val="center"/>
                </w:tcPr>
                <w:p w14:paraId="44F3B207">
                  <w:pPr>
                    <w:adjustRightInd w:val="0"/>
                    <w:snapToGrid w:val="0"/>
                    <w:jc w:val="center"/>
                    <w:rPr>
                      <w:b/>
                      <w:bCs/>
                      <w:color w:val="auto"/>
                      <w:szCs w:val="21"/>
                      <w:highlight w:val="none"/>
                    </w:rPr>
                  </w:pPr>
                  <w:r>
                    <w:rPr>
                      <w:b/>
                      <w:bCs/>
                      <w:color w:val="auto"/>
                      <w:szCs w:val="21"/>
                      <w:highlight w:val="none"/>
                    </w:rPr>
                    <w:t>监控点</w:t>
                  </w:r>
                </w:p>
              </w:tc>
              <w:tc>
                <w:tcPr>
                  <w:tcW w:w="1260" w:type="pct"/>
                  <w:noWrap w:val="0"/>
                  <w:vAlign w:val="center"/>
                </w:tcPr>
                <w:p w14:paraId="64673F56">
                  <w:pPr>
                    <w:adjustRightInd w:val="0"/>
                    <w:snapToGrid w:val="0"/>
                    <w:jc w:val="center"/>
                    <w:rPr>
                      <w:b/>
                      <w:bCs/>
                      <w:color w:val="auto"/>
                      <w:szCs w:val="21"/>
                      <w:highlight w:val="none"/>
                    </w:rPr>
                  </w:pPr>
                  <w:r>
                    <w:rPr>
                      <w:b/>
                      <w:bCs/>
                      <w:color w:val="auto"/>
                      <w:szCs w:val="21"/>
                      <w:highlight w:val="none"/>
                    </w:rPr>
                    <w:t>标准名称</w:t>
                  </w:r>
                </w:p>
              </w:tc>
            </w:tr>
            <w:tr w14:paraId="3BA8CD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15" w:type="pct"/>
                  <w:vMerge w:val="restart"/>
                  <w:noWrap w:val="0"/>
                  <w:vAlign w:val="center"/>
                </w:tcPr>
                <w:p w14:paraId="38070D0D">
                  <w:pPr>
                    <w:adjustRightInd w:val="0"/>
                    <w:snapToGrid w:val="0"/>
                    <w:ind w:left="-105" w:leftChars="-50" w:right="-105" w:rightChars="-50"/>
                    <w:jc w:val="center"/>
                    <w:rPr>
                      <w:rFonts w:hint="eastAsia"/>
                      <w:color w:val="auto"/>
                      <w:kern w:val="2"/>
                      <w:sz w:val="21"/>
                      <w:szCs w:val="21"/>
                      <w:highlight w:val="none"/>
                      <w:lang w:val="en-US" w:eastAsia="zh-CN" w:bidi="ar-SA"/>
                    </w:rPr>
                  </w:pPr>
                  <w:r>
                    <w:rPr>
                      <w:rFonts w:hint="eastAsia"/>
                      <w:color w:val="auto"/>
                      <w:szCs w:val="21"/>
                      <w:highlight w:val="none"/>
                    </w:rPr>
                    <w:t>施工扬尘</w:t>
                  </w:r>
                </w:p>
              </w:tc>
              <w:tc>
                <w:tcPr>
                  <w:tcW w:w="1225" w:type="pct"/>
                  <w:noWrap w:val="0"/>
                  <w:vAlign w:val="center"/>
                </w:tcPr>
                <w:p w14:paraId="0039611A">
                  <w:pPr>
                    <w:adjustRightInd w:val="0"/>
                    <w:snapToGrid w:val="0"/>
                    <w:jc w:val="center"/>
                    <w:rPr>
                      <w:rFonts w:hint="eastAsia" w:eastAsia="宋体"/>
                      <w:color w:val="auto"/>
                      <w:kern w:val="2"/>
                      <w:sz w:val="21"/>
                      <w:szCs w:val="21"/>
                      <w:highlight w:val="none"/>
                      <w:lang w:val="en-US" w:eastAsia="zh-CN" w:bidi="ar-SA"/>
                    </w:rPr>
                  </w:pPr>
                  <w:r>
                    <w:rPr>
                      <w:rFonts w:hint="eastAsia"/>
                      <w:color w:val="auto"/>
                      <w:szCs w:val="21"/>
                      <w:highlight w:val="none"/>
                    </w:rPr>
                    <w:t>小时平均浓度限值≤0.</w:t>
                  </w:r>
                  <w:r>
                    <w:rPr>
                      <w:rFonts w:hint="eastAsia"/>
                      <w:color w:val="auto"/>
                      <w:szCs w:val="21"/>
                      <w:highlight w:val="none"/>
                      <w:lang w:val="en-US" w:eastAsia="zh-CN"/>
                    </w:rPr>
                    <w:t>8</w:t>
                  </w:r>
                </w:p>
              </w:tc>
              <w:tc>
                <w:tcPr>
                  <w:tcW w:w="1183" w:type="pct"/>
                  <w:noWrap w:val="0"/>
                  <w:vAlign w:val="center"/>
                </w:tcPr>
                <w:p w14:paraId="699A0813">
                  <w:pPr>
                    <w:adjustRightInd w:val="0"/>
                    <w:snapToGrid w:val="0"/>
                    <w:jc w:val="center"/>
                    <w:rPr>
                      <w:rFonts w:hint="eastAsia" w:ascii="Times New Roman" w:hAnsi="Times New Roman" w:cs="Times New Roman"/>
                      <w:b w:val="0"/>
                      <w:bCs w:val="0"/>
                      <w:color w:val="auto"/>
                      <w:kern w:val="2"/>
                      <w:sz w:val="21"/>
                      <w:szCs w:val="21"/>
                      <w:lang w:val="en-US" w:eastAsia="zh-CN" w:bidi="ar-SA"/>
                    </w:rPr>
                  </w:pPr>
                  <w:r>
                    <w:rPr>
                      <w:rFonts w:hint="eastAsia" w:ascii="Times New Roman" w:hAnsi="Times New Roman" w:cs="Times New Roman"/>
                      <w:b w:val="0"/>
                      <w:bCs w:val="0"/>
                      <w:color w:val="auto"/>
                      <w:kern w:val="2"/>
                      <w:sz w:val="21"/>
                      <w:szCs w:val="21"/>
                      <w:lang w:val="en-US" w:eastAsia="zh-CN" w:bidi="ar-SA"/>
                    </w:rPr>
                    <w:t>拆除、土方及地基处理工程</w:t>
                  </w:r>
                </w:p>
              </w:tc>
              <w:tc>
                <w:tcPr>
                  <w:tcW w:w="713" w:type="pct"/>
                  <w:vMerge w:val="restart"/>
                  <w:noWrap w:val="0"/>
                  <w:vAlign w:val="center"/>
                </w:tcPr>
                <w:p w14:paraId="01E753F8">
                  <w:pPr>
                    <w:adjustRightInd w:val="0"/>
                    <w:snapToGrid w:val="0"/>
                    <w:jc w:val="center"/>
                    <w:rPr>
                      <w:color w:val="auto"/>
                      <w:szCs w:val="21"/>
                      <w:highlight w:val="none"/>
                    </w:rPr>
                  </w:pPr>
                  <w:r>
                    <w:rPr>
                      <w:rFonts w:hint="eastAsia"/>
                      <w:color w:val="auto"/>
                      <w:szCs w:val="21"/>
                      <w:highlight w:val="none"/>
                    </w:rPr>
                    <w:t>下风向周界外10m范围内</w:t>
                  </w:r>
                </w:p>
              </w:tc>
              <w:tc>
                <w:tcPr>
                  <w:tcW w:w="1260" w:type="pct"/>
                  <w:vMerge w:val="restart"/>
                  <w:noWrap w:val="0"/>
                  <w:vAlign w:val="center"/>
                </w:tcPr>
                <w:p w14:paraId="6EE809C6">
                  <w:pPr>
                    <w:adjustRightInd w:val="0"/>
                    <w:snapToGrid w:val="0"/>
                    <w:jc w:val="center"/>
                    <w:rPr>
                      <w:color w:val="auto"/>
                      <w:szCs w:val="21"/>
                      <w:highlight w:val="none"/>
                    </w:rPr>
                  </w:pPr>
                  <w:r>
                    <w:rPr>
                      <w:color w:val="auto"/>
                      <w:szCs w:val="21"/>
                      <w:highlight w:val="none"/>
                    </w:rPr>
                    <w:t>《施工场界扬尘排放限值》（DB61/1078-2017）</w:t>
                  </w:r>
                </w:p>
              </w:tc>
            </w:tr>
            <w:tr w14:paraId="02942C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15" w:type="pct"/>
                  <w:vMerge w:val="continue"/>
                  <w:noWrap w:val="0"/>
                  <w:vAlign w:val="center"/>
                </w:tcPr>
                <w:p w14:paraId="3B529C6D">
                  <w:pPr>
                    <w:adjustRightInd w:val="0"/>
                    <w:snapToGrid w:val="0"/>
                    <w:ind w:left="-105" w:leftChars="-50" w:right="-105" w:rightChars="-50"/>
                    <w:jc w:val="center"/>
                    <w:rPr>
                      <w:rFonts w:hint="eastAsia"/>
                      <w:color w:val="auto"/>
                      <w:szCs w:val="21"/>
                      <w:highlight w:val="none"/>
                    </w:rPr>
                  </w:pPr>
                </w:p>
              </w:tc>
              <w:tc>
                <w:tcPr>
                  <w:tcW w:w="1225" w:type="pct"/>
                  <w:noWrap w:val="0"/>
                  <w:vAlign w:val="center"/>
                </w:tcPr>
                <w:p w14:paraId="58F6965E">
                  <w:pPr>
                    <w:adjustRightInd w:val="0"/>
                    <w:snapToGrid w:val="0"/>
                    <w:jc w:val="center"/>
                    <w:rPr>
                      <w:rFonts w:hint="eastAsia"/>
                      <w:color w:val="auto"/>
                      <w:kern w:val="2"/>
                      <w:sz w:val="21"/>
                      <w:szCs w:val="21"/>
                      <w:highlight w:val="none"/>
                      <w:lang w:val="en-US" w:eastAsia="zh-CN" w:bidi="ar-SA"/>
                    </w:rPr>
                  </w:pPr>
                  <w:r>
                    <w:rPr>
                      <w:rFonts w:hint="eastAsia"/>
                      <w:color w:val="auto"/>
                      <w:szCs w:val="21"/>
                      <w:highlight w:val="none"/>
                    </w:rPr>
                    <w:t>小时平均浓度限值≤0.7</w:t>
                  </w:r>
                </w:p>
              </w:tc>
              <w:tc>
                <w:tcPr>
                  <w:tcW w:w="1183" w:type="pct"/>
                  <w:noWrap w:val="0"/>
                  <w:vAlign w:val="center"/>
                </w:tcPr>
                <w:p w14:paraId="72F0FFD7">
                  <w:pPr>
                    <w:adjustRightInd w:val="0"/>
                    <w:snapToGrid w:val="0"/>
                    <w:jc w:val="center"/>
                    <w:rPr>
                      <w:rFonts w:hint="eastAsia" w:ascii="Times New Roman" w:hAnsi="Times New Roman" w:cs="Times New Roman"/>
                      <w:b w:val="0"/>
                      <w:bCs w:val="0"/>
                      <w:color w:val="auto"/>
                      <w:kern w:val="2"/>
                      <w:sz w:val="21"/>
                      <w:szCs w:val="21"/>
                      <w:lang w:val="en-US" w:eastAsia="zh-CN" w:bidi="ar-SA"/>
                    </w:rPr>
                  </w:pPr>
                  <w:r>
                    <w:rPr>
                      <w:rFonts w:hint="eastAsia" w:ascii="Times New Roman" w:hAnsi="Times New Roman" w:cs="Times New Roman"/>
                      <w:b w:val="0"/>
                      <w:bCs w:val="0"/>
                      <w:color w:val="auto"/>
                      <w:kern w:val="2"/>
                      <w:sz w:val="21"/>
                      <w:szCs w:val="21"/>
                      <w:lang w:val="en-US" w:eastAsia="zh-CN" w:bidi="ar-SA"/>
                    </w:rPr>
                    <w:t>基础、主体结构及装饰工程</w:t>
                  </w:r>
                </w:p>
              </w:tc>
              <w:tc>
                <w:tcPr>
                  <w:tcW w:w="713" w:type="pct"/>
                  <w:vMerge w:val="continue"/>
                  <w:noWrap w:val="0"/>
                  <w:vAlign w:val="center"/>
                </w:tcPr>
                <w:p w14:paraId="62907041">
                  <w:pPr>
                    <w:adjustRightInd w:val="0"/>
                    <w:snapToGrid w:val="0"/>
                    <w:jc w:val="center"/>
                    <w:rPr>
                      <w:rFonts w:hint="eastAsia"/>
                      <w:color w:val="auto"/>
                      <w:kern w:val="2"/>
                      <w:sz w:val="21"/>
                      <w:szCs w:val="21"/>
                      <w:highlight w:val="none"/>
                      <w:lang w:val="en-US" w:eastAsia="zh-CN" w:bidi="ar-SA"/>
                    </w:rPr>
                  </w:pPr>
                </w:p>
              </w:tc>
              <w:tc>
                <w:tcPr>
                  <w:tcW w:w="1260" w:type="pct"/>
                  <w:vMerge w:val="continue"/>
                  <w:noWrap w:val="0"/>
                  <w:vAlign w:val="center"/>
                </w:tcPr>
                <w:p w14:paraId="6774C6F3">
                  <w:pPr>
                    <w:adjustRightInd w:val="0"/>
                    <w:snapToGrid w:val="0"/>
                    <w:jc w:val="center"/>
                    <w:rPr>
                      <w:color w:val="auto"/>
                      <w:kern w:val="2"/>
                      <w:sz w:val="21"/>
                      <w:szCs w:val="21"/>
                      <w:highlight w:val="none"/>
                      <w:lang w:val="en-US" w:eastAsia="zh-CN" w:bidi="ar-SA"/>
                    </w:rPr>
                  </w:pPr>
                </w:p>
              </w:tc>
            </w:tr>
          </w:tbl>
          <w:p w14:paraId="36A55D3F">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color w:val="auto"/>
              </w:rPr>
            </w:pPr>
            <w:r>
              <w:rPr>
                <w:rFonts w:hint="eastAsia"/>
                <w:color w:val="auto"/>
                <w:lang w:val="en-US" w:eastAsia="zh-CN"/>
              </w:rPr>
              <w:t>（3）</w:t>
            </w:r>
            <w:r>
              <w:rPr>
                <w:color w:val="auto"/>
              </w:rPr>
              <w:t>废水</w:t>
            </w:r>
          </w:p>
          <w:p w14:paraId="20AF02DB">
            <w:pPr>
              <w:pStyle w:val="22"/>
              <w:bidi w:val="0"/>
              <w:rPr>
                <w:color w:val="auto"/>
              </w:rPr>
            </w:pPr>
            <w:r>
              <w:rPr>
                <w:rFonts w:hint="eastAsia"/>
                <w:color w:val="auto"/>
                <w:lang w:val="en-US" w:eastAsia="zh-CN"/>
              </w:rPr>
              <w:t>废水</w:t>
            </w:r>
            <w:r>
              <w:rPr>
                <w:color w:val="auto"/>
              </w:rPr>
              <w:t>排放执行《污水综合排放标准》（GB8978-1996）</w:t>
            </w:r>
            <w:r>
              <w:rPr>
                <w:rFonts w:hint="eastAsia"/>
                <w:color w:val="auto"/>
                <w:lang w:val="en-US" w:eastAsia="zh-CN"/>
              </w:rPr>
              <w:t>表4</w:t>
            </w:r>
            <w:r>
              <w:rPr>
                <w:color w:val="auto"/>
              </w:rPr>
              <w:t>三级标准</w:t>
            </w:r>
            <w:r>
              <w:rPr>
                <w:rFonts w:hint="eastAsia"/>
                <w:color w:val="auto"/>
                <w:lang w:val="en-US" w:eastAsia="zh-CN"/>
              </w:rPr>
              <w:t>及</w:t>
            </w:r>
            <w:r>
              <w:rPr>
                <w:color w:val="auto"/>
              </w:rPr>
              <w:t>《污水排入城镇下水道水质标准》（GB/T 31962-2015）中</w:t>
            </w:r>
            <w:r>
              <w:rPr>
                <w:rFonts w:hint="eastAsia"/>
                <w:color w:val="auto"/>
                <w:lang w:val="en-US" w:eastAsia="zh-CN"/>
              </w:rPr>
              <w:t>A</w:t>
            </w:r>
            <w:r>
              <w:rPr>
                <w:color w:val="auto"/>
              </w:rPr>
              <w:t>级标准限值。</w:t>
            </w:r>
          </w:p>
          <w:p w14:paraId="75FDEE02">
            <w:pPr>
              <w:keepNext w:val="0"/>
              <w:keepLines w:val="0"/>
              <w:pageBreakBefore w:val="0"/>
              <w:widowControl w:val="0"/>
              <w:kinsoku/>
              <w:wordWrap/>
              <w:overflowPunct/>
              <w:topLinePunct w:val="0"/>
              <w:autoSpaceDE/>
              <w:autoSpaceDN/>
              <w:bidi w:val="0"/>
              <w:adjustRightInd w:val="0"/>
              <w:snapToGrid w:val="0"/>
              <w:jc w:val="center"/>
              <w:textAlignment w:val="auto"/>
              <w:rPr>
                <w:b/>
                <w:color w:val="auto"/>
                <w:sz w:val="24"/>
              </w:rPr>
            </w:pPr>
            <w:r>
              <w:rPr>
                <w:rFonts w:hint="eastAsia"/>
                <w:b/>
                <w:color w:val="auto"/>
                <w:sz w:val="24"/>
              </w:rPr>
              <w:t>表3</w:t>
            </w:r>
            <w:r>
              <w:rPr>
                <w:rFonts w:hint="eastAsia"/>
                <w:b/>
                <w:color w:val="auto"/>
                <w:sz w:val="24"/>
                <w:lang w:val="en-US" w:eastAsia="zh-CN"/>
              </w:rPr>
              <w:t xml:space="preserve">-9 </w:t>
            </w:r>
            <w:r>
              <w:rPr>
                <w:rFonts w:hint="eastAsia"/>
                <w:b/>
                <w:color w:val="auto"/>
                <w:sz w:val="24"/>
              </w:rPr>
              <w:t xml:space="preserve"> </w:t>
            </w:r>
            <w:r>
              <w:rPr>
                <w:b/>
                <w:color w:val="auto"/>
                <w:sz w:val="24"/>
              </w:rPr>
              <w:t xml:space="preserve">污水排放标准限值     </w:t>
            </w:r>
            <w:r>
              <w:rPr>
                <w:rFonts w:hint="eastAsia"/>
                <w:b/>
                <w:color w:val="auto"/>
                <w:sz w:val="24"/>
                <w:lang w:val="en-US" w:eastAsia="zh-CN"/>
              </w:rPr>
              <w:t xml:space="preserve"> </w:t>
            </w:r>
            <w:r>
              <w:rPr>
                <w:b/>
                <w:color w:val="auto"/>
                <w:sz w:val="24"/>
              </w:rPr>
              <w:t>单位mg/L</w:t>
            </w:r>
          </w:p>
          <w:tbl>
            <w:tblPr>
              <w:tblStyle w:val="15"/>
              <w:tblW w:w="81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29"/>
              <w:gridCol w:w="807"/>
              <w:gridCol w:w="849"/>
              <w:gridCol w:w="748"/>
              <w:gridCol w:w="733"/>
              <w:gridCol w:w="884"/>
              <w:gridCol w:w="884"/>
              <w:gridCol w:w="884"/>
            </w:tblGrid>
            <w:tr w14:paraId="734956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34" w:type="pct"/>
                  <w:noWrap w:val="0"/>
                  <w:vAlign w:val="center"/>
                </w:tcPr>
                <w:p w14:paraId="2AD6ECCD">
                  <w:pPr>
                    <w:jc w:val="center"/>
                    <w:rPr>
                      <w:b/>
                      <w:color w:val="auto"/>
                      <w:sz w:val="21"/>
                      <w:szCs w:val="21"/>
                      <w:highlight w:val="none"/>
                    </w:rPr>
                  </w:pPr>
                  <w:r>
                    <w:rPr>
                      <w:b/>
                      <w:color w:val="auto"/>
                      <w:sz w:val="21"/>
                      <w:szCs w:val="21"/>
                      <w:highlight w:val="none"/>
                    </w:rPr>
                    <w:t>污染因子</w:t>
                  </w:r>
                </w:p>
              </w:tc>
              <w:tc>
                <w:tcPr>
                  <w:tcW w:w="497" w:type="pct"/>
                  <w:noWrap w:val="0"/>
                  <w:vAlign w:val="center"/>
                </w:tcPr>
                <w:p w14:paraId="0F5840BE">
                  <w:pPr>
                    <w:jc w:val="center"/>
                    <w:rPr>
                      <w:b/>
                      <w:color w:val="auto"/>
                      <w:sz w:val="21"/>
                      <w:szCs w:val="21"/>
                      <w:highlight w:val="none"/>
                    </w:rPr>
                  </w:pPr>
                  <w:r>
                    <w:rPr>
                      <w:b/>
                      <w:color w:val="auto"/>
                      <w:sz w:val="21"/>
                      <w:szCs w:val="21"/>
                      <w:highlight w:val="none"/>
                    </w:rPr>
                    <w:t>COD</w:t>
                  </w:r>
                </w:p>
              </w:tc>
              <w:tc>
                <w:tcPr>
                  <w:tcW w:w="522" w:type="pct"/>
                  <w:noWrap w:val="0"/>
                  <w:vAlign w:val="center"/>
                </w:tcPr>
                <w:p w14:paraId="6B9EC259">
                  <w:pPr>
                    <w:jc w:val="center"/>
                    <w:rPr>
                      <w:b/>
                      <w:color w:val="auto"/>
                      <w:sz w:val="21"/>
                      <w:szCs w:val="21"/>
                      <w:highlight w:val="none"/>
                    </w:rPr>
                  </w:pPr>
                  <w:r>
                    <w:rPr>
                      <w:b/>
                      <w:color w:val="auto"/>
                      <w:sz w:val="21"/>
                      <w:szCs w:val="21"/>
                      <w:highlight w:val="none"/>
                    </w:rPr>
                    <w:t>BOD</w:t>
                  </w:r>
                  <w:r>
                    <w:rPr>
                      <w:b/>
                      <w:color w:val="auto"/>
                      <w:sz w:val="21"/>
                      <w:szCs w:val="21"/>
                      <w:highlight w:val="none"/>
                      <w:vertAlign w:val="subscript"/>
                    </w:rPr>
                    <w:t>5</w:t>
                  </w:r>
                </w:p>
              </w:tc>
              <w:tc>
                <w:tcPr>
                  <w:tcW w:w="460" w:type="pct"/>
                  <w:noWrap w:val="0"/>
                  <w:vAlign w:val="center"/>
                </w:tcPr>
                <w:p w14:paraId="63911B68">
                  <w:pPr>
                    <w:jc w:val="center"/>
                    <w:rPr>
                      <w:b/>
                      <w:color w:val="auto"/>
                      <w:kern w:val="2"/>
                      <w:sz w:val="21"/>
                      <w:szCs w:val="21"/>
                      <w:highlight w:val="none"/>
                      <w:lang w:val="en-US" w:eastAsia="zh-CN" w:bidi="ar-SA"/>
                    </w:rPr>
                  </w:pPr>
                  <w:r>
                    <w:rPr>
                      <w:b/>
                      <w:color w:val="auto"/>
                      <w:sz w:val="21"/>
                      <w:szCs w:val="21"/>
                      <w:highlight w:val="none"/>
                    </w:rPr>
                    <w:t>SS</w:t>
                  </w:r>
                </w:p>
              </w:tc>
              <w:tc>
                <w:tcPr>
                  <w:tcW w:w="451" w:type="pct"/>
                  <w:noWrap w:val="0"/>
                  <w:vAlign w:val="center"/>
                </w:tcPr>
                <w:p w14:paraId="363424DF">
                  <w:pPr>
                    <w:jc w:val="center"/>
                    <w:rPr>
                      <w:b/>
                      <w:color w:val="auto"/>
                      <w:kern w:val="2"/>
                      <w:sz w:val="21"/>
                      <w:szCs w:val="21"/>
                      <w:highlight w:val="none"/>
                      <w:lang w:val="en-US" w:eastAsia="zh-CN" w:bidi="ar-SA"/>
                    </w:rPr>
                  </w:pPr>
                  <w:r>
                    <w:rPr>
                      <w:b/>
                      <w:color w:val="auto"/>
                      <w:sz w:val="21"/>
                      <w:szCs w:val="21"/>
                      <w:highlight w:val="none"/>
                    </w:rPr>
                    <w:t>氨氮</w:t>
                  </w:r>
                </w:p>
              </w:tc>
              <w:tc>
                <w:tcPr>
                  <w:tcW w:w="544" w:type="pct"/>
                  <w:noWrap w:val="0"/>
                  <w:vAlign w:val="center"/>
                </w:tcPr>
                <w:p w14:paraId="361ED731">
                  <w:pPr>
                    <w:jc w:val="center"/>
                    <w:rPr>
                      <w:rFonts w:hint="default" w:eastAsia="宋体"/>
                      <w:b/>
                      <w:color w:val="auto"/>
                      <w:sz w:val="21"/>
                      <w:szCs w:val="21"/>
                      <w:highlight w:val="none"/>
                      <w:lang w:val="en-US" w:eastAsia="zh-CN"/>
                    </w:rPr>
                  </w:pPr>
                  <w:r>
                    <w:rPr>
                      <w:rFonts w:hint="eastAsia"/>
                      <w:b/>
                      <w:color w:val="auto"/>
                      <w:sz w:val="21"/>
                      <w:szCs w:val="21"/>
                      <w:highlight w:val="none"/>
                      <w:lang w:val="en-US" w:eastAsia="zh-CN"/>
                    </w:rPr>
                    <w:t>TP</w:t>
                  </w:r>
                </w:p>
              </w:tc>
              <w:tc>
                <w:tcPr>
                  <w:tcW w:w="544" w:type="pct"/>
                  <w:noWrap w:val="0"/>
                  <w:vAlign w:val="center"/>
                </w:tcPr>
                <w:p w14:paraId="15D1F367">
                  <w:pPr>
                    <w:jc w:val="center"/>
                    <w:rPr>
                      <w:rFonts w:hint="default" w:eastAsia="宋体"/>
                      <w:b/>
                      <w:color w:val="auto"/>
                      <w:sz w:val="21"/>
                      <w:szCs w:val="21"/>
                      <w:highlight w:val="none"/>
                      <w:lang w:val="en-US" w:eastAsia="zh-CN"/>
                    </w:rPr>
                  </w:pPr>
                  <w:r>
                    <w:rPr>
                      <w:rFonts w:hint="eastAsia"/>
                      <w:b/>
                      <w:color w:val="auto"/>
                      <w:sz w:val="21"/>
                      <w:szCs w:val="21"/>
                      <w:highlight w:val="none"/>
                      <w:lang w:val="en-US" w:eastAsia="zh-CN"/>
                    </w:rPr>
                    <w:t>TN</w:t>
                  </w:r>
                </w:p>
              </w:tc>
              <w:tc>
                <w:tcPr>
                  <w:tcW w:w="544" w:type="pct"/>
                  <w:noWrap w:val="0"/>
                  <w:vAlign w:val="center"/>
                </w:tcPr>
                <w:p w14:paraId="34D47028">
                  <w:pPr>
                    <w:jc w:val="center"/>
                    <w:rPr>
                      <w:rFonts w:hint="default"/>
                      <w:b/>
                      <w:color w:val="auto"/>
                      <w:sz w:val="21"/>
                      <w:szCs w:val="21"/>
                      <w:highlight w:val="none"/>
                      <w:lang w:val="en-US" w:eastAsia="zh-CN"/>
                    </w:rPr>
                  </w:pPr>
                  <w:r>
                    <w:rPr>
                      <w:rFonts w:hint="eastAsia"/>
                      <w:b/>
                      <w:color w:val="auto"/>
                      <w:sz w:val="21"/>
                      <w:szCs w:val="21"/>
                      <w:highlight w:val="none"/>
                      <w:lang w:val="en-US" w:eastAsia="zh-CN"/>
                    </w:rPr>
                    <w:t>TDS</w:t>
                  </w:r>
                </w:p>
              </w:tc>
            </w:tr>
            <w:tr w14:paraId="0D901D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34" w:type="pct"/>
                  <w:noWrap w:val="0"/>
                  <w:vAlign w:val="center"/>
                </w:tcPr>
                <w:p w14:paraId="0D050D6A">
                  <w:pPr>
                    <w:jc w:val="center"/>
                    <w:rPr>
                      <w:color w:val="auto"/>
                      <w:sz w:val="21"/>
                      <w:szCs w:val="21"/>
                      <w:highlight w:val="none"/>
                    </w:rPr>
                  </w:pPr>
                  <w:r>
                    <w:rPr>
                      <w:color w:val="auto"/>
                      <w:sz w:val="21"/>
                      <w:szCs w:val="21"/>
                      <w:highlight w:val="none"/>
                    </w:rPr>
                    <w:t>（GB8978-1996）三级标准</w:t>
                  </w:r>
                </w:p>
              </w:tc>
              <w:tc>
                <w:tcPr>
                  <w:tcW w:w="497" w:type="pct"/>
                  <w:noWrap w:val="0"/>
                  <w:vAlign w:val="center"/>
                </w:tcPr>
                <w:p w14:paraId="5D4D9F0D">
                  <w:pPr>
                    <w:jc w:val="center"/>
                    <w:rPr>
                      <w:color w:val="auto"/>
                      <w:sz w:val="21"/>
                      <w:szCs w:val="21"/>
                      <w:highlight w:val="none"/>
                    </w:rPr>
                  </w:pPr>
                  <w:r>
                    <w:rPr>
                      <w:color w:val="auto"/>
                      <w:sz w:val="21"/>
                      <w:szCs w:val="21"/>
                      <w:highlight w:val="none"/>
                    </w:rPr>
                    <w:t>500</w:t>
                  </w:r>
                </w:p>
              </w:tc>
              <w:tc>
                <w:tcPr>
                  <w:tcW w:w="522" w:type="pct"/>
                  <w:noWrap w:val="0"/>
                  <w:vAlign w:val="center"/>
                </w:tcPr>
                <w:p w14:paraId="416627DD">
                  <w:pPr>
                    <w:jc w:val="center"/>
                    <w:rPr>
                      <w:color w:val="auto"/>
                      <w:sz w:val="21"/>
                      <w:szCs w:val="21"/>
                      <w:highlight w:val="none"/>
                    </w:rPr>
                  </w:pPr>
                  <w:r>
                    <w:rPr>
                      <w:color w:val="auto"/>
                      <w:sz w:val="21"/>
                      <w:szCs w:val="21"/>
                      <w:highlight w:val="none"/>
                    </w:rPr>
                    <w:t>300</w:t>
                  </w:r>
                </w:p>
              </w:tc>
              <w:tc>
                <w:tcPr>
                  <w:tcW w:w="460" w:type="pct"/>
                  <w:noWrap w:val="0"/>
                  <w:vAlign w:val="center"/>
                </w:tcPr>
                <w:p w14:paraId="19649800">
                  <w:pPr>
                    <w:jc w:val="center"/>
                    <w:rPr>
                      <w:color w:val="auto"/>
                      <w:kern w:val="2"/>
                      <w:sz w:val="21"/>
                      <w:szCs w:val="21"/>
                      <w:highlight w:val="none"/>
                      <w:lang w:val="en-US" w:eastAsia="zh-CN" w:bidi="ar-SA"/>
                    </w:rPr>
                  </w:pPr>
                  <w:r>
                    <w:rPr>
                      <w:color w:val="auto"/>
                      <w:sz w:val="21"/>
                      <w:szCs w:val="21"/>
                      <w:highlight w:val="none"/>
                    </w:rPr>
                    <w:t>400</w:t>
                  </w:r>
                </w:p>
              </w:tc>
              <w:tc>
                <w:tcPr>
                  <w:tcW w:w="451" w:type="pct"/>
                  <w:noWrap w:val="0"/>
                  <w:vAlign w:val="center"/>
                </w:tcPr>
                <w:p w14:paraId="580CD3D3">
                  <w:pPr>
                    <w:jc w:val="center"/>
                    <w:rPr>
                      <w:color w:val="auto"/>
                      <w:kern w:val="2"/>
                      <w:sz w:val="21"/>
                      <w:szCs w:val="21"/>
                      <w:highlight w:val="none"/>
                      <w:lang w:val="en-US" w:eastAsia="zh-CN" w:bidi="ar-SA"/>
                    </w:rPr>
                  </w:pPr>
                  <w:r>
                    <w:rPr>
                      <w:color w:val="auto"/>
                      <w:sz w:val="21"/>
                      <w:szCs w:val="21"/>
                      <w:highlight w:val="none"/>
                    </w:rPr>
                    <w:t>/</w:t>
                  </w:r>
                </w:p>
              </w:tc>
              <w:tc>
                <w:tcPr>
                  <w:tcW w:w="544" w:type="pct"/>
                  <w:noWrap w:val="0"/>
                  <w:vAlign w:val="center"/>
                </w:tcPr>
                <w:p w14:paraId="1C672D57">
                  <w:pPr>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c>
                <w:tcPr>
                  <w:tcW w:w="544" w:type="pct"/>
                  <w:noWrap w:val="0"/>
                  <w:vAlign w:val="center"/>
                </w:tcPr>
                <w:p w14:paraId="2C792B5C">
                  <w:pPr>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c>
                <w:tcPr>
                  <w:tcW w:w="544" w:type="pct"/>
                  <w:noWrap w:val="0"/>
                  <w:vAlign w:val="center"/>
                </w:tcPr>
                <w:p w14:paraId="3723C739">
                  <w:pPr>
                    <w:jc w:val="center"/>
                    <w:rPr>
                      <w:rFonts w:hint="default"/>
                      <w:color w:val="auto"/>
                      <w:sz w:val="21"/>
                      <w:szCs w:val="21"/>
                      <w:highlight w:val="none"/>
                      <w:lang w:val="en-US" w:eastAsia="zh-CN"/>
                    </w:rPr>
                  </w:pPr>
                  <w:r>
                    <w:rPr>
                      <w:rFonts w:hint="eastAsia"/>
                      <w:color w:val="auto"/>
                      <w:sz w:val="21"/>
                      <w:szCs w:val="21"/>
                      <w:highlight w:val="none"/>
                      <w:lang w:val="en-US" w:eastAsia="zh-CN"/>
                    </w:rPr>
                    <w:t>/</w:t>
                  </w:r>
                </w:p>
              </w:tc>
            </w:tr>
            <w:tr w14:paraId="0A209A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434" w:type="pct"/>
                  <w:noWrap w:val="0"/>
                  <w:vAlign w:val="center"/>
                </w:tcPr>
                <w:p w14:paraId="4292F704">
                  <w:pPr>
                    <w:jc w:val="center"/>
                    <w:rPr>
                      <w:color w:val="auto"/>
                      <w:sz w:val="21"/>
                      <w:szCs w:val="21"/>
                      <w:highlight w:val="none"/>
                    </w:rPr>
                  </w:pPr>
                  <w:r>
                    <w:rPr>
                      <w:color w:val="auto"/>
                      <w:sz w:val="21"/>
                      <w:szCs w:val="21"/>
                      <w:highlight w:val="none"/>
                    </w:rPr>
                    <w:t>（GB/T31962-2015）中</w:t>
                  </w:r>
                  <w:r>
                    <w:rPr>
                      <w:rFonts w:hint="eastAsia"/>
                      <w:color w:val="auto"/>
                      <w:sz w:val="21"/>
                      <w:szCs w:val="21"/>
                      <w:highlight w:val="none"/>
                      <w:lang w:val="en-US" w:eastAsia="zh-CN"/>
                    </w:rPr>
                    <w:t>A</w:t>
                  </w:r>
                  <w:r>
                    <w:rPr>
                      <w:color w:val="auto"/>
                      <w:sz w:val="21"/>
                      <w:szCs w:val="21"/>
                      <w:highlight w:val="none"/>
                    </w:rPr>
                    <w:t>级标准</w:t>
                  </w:r>
                </w:p>
              </w:tc>
              <w:tc>
                <w:tcPr>
                  <w:tcW w:w="497" w:type="pct"/>
                  <w:noWrap w:val="0"/>
                  <w:vAlign w:val="center"/>
                </w:tcPr>
                <w:p w14:paraId="356C1E3E">
                  <w:pPr>
                    <w:jc w:val="center"/>
                    <w:rPr>
                      <w:color w:val="auto"/>
                      <w:sz w:val="21"/>
                      <w:szCs w:val="21"/>
                      <w:highlight w:val="none"/>
                    </w:rPr>
                  </w:pPr>
                  <w:r>
                    <w:rPr>
                      <w:rFonts w:hint="eastAsia"/>
                      <w:color w:val="auto"/>
                      <w:sz w:val="21"/>
                      <w:szCs w:val="21"/>
                      <w:highlight w:val="none"/>
                    </w:rPr>
                    <w:t>500</w:t>
                  </w:r>
                </w:p>
              </w:tc>
              <w:tc>
                <w:tcPr>
                  <w:tcW w:w="522" w:type="pct"/>
                  <w:noWrap w:val="0"/>
                  <w:vAlign w:val="center"/>
                </w:tcPr>
                <w:p w14:paraId="134068C2">
                  <w:pPr>
                    <w:jc w:val="center"/>
                    <w:rPr>
                      <w:color w:val="auto"/>
                      <w:sz w:val="21"/>
                      <w:szCs w:val="21"/>
                      <w:highlight w:val="none"/>
                    </w:rPr>
                  </w:pPr>
                  <w:r>
                    <w:rPr>
                      <w:rFonts w:hint="eastAsia"/>
                      <w:color w:val="auto"/>
                      <w:sz w:val="21"/>
                      <w:szCs w:val="21"/>
                      <w:highlight w:val="none"/>
                    </w:rPr>
                    <w:t>350</w:t>
                  </w:r>
                </w:p>
              </w:tc>
              <w:tc>
                <w:tcPr>
                  <w:tcW w:w="460" w:type="pct"/>
                  <w:noWrap w:val="0"/>
                  <w:vAlign w:val="center"/>
                </w:tcPr>
                <w:p w14:paraId="1DE5D7C9">
                  <w:pPr>
                    <w:jc w:val="center"/>
                    <w:rPr>
                      <w:rFonts w:hint="eastAsia"/>
                      <w:color w:val="auto"/>
                      <w:kern w:val="2"/>
                      <w:sz w:val="21"/>
                      <w:szCs w:val="21"/>
                      <w:highlight w:val="none"/>
                      <w:lang w:val="en-US" w:eastAsia="zh-CN" w:bidi="ar-SA"/>
                    </w:rPr>
                  </w:pPr>
                  <w:r>
                    <w:rPr>
                      <w:rFonts w:hint="eastAsia"/>
                      <w:color w:val="auto"/>
                      <w:sz w:val="21"/>
                      <w:szCs w:val="21"/>
                      <w:highlight w:val="none"/>
                    </w:rPr>
                    <w:t>/</w:t>
                  </w:r>
                </w:p>
              </w:tc>
              <w:tc>
                <w:tcPr>
                  <w:tcW w:w="451" w:type="pct"/>
                  <w:noWrap w:val="0"/>
                  <w:vAlign w:val="center"/>
                </w:tcPr>
                <w:p w14:paraId="2E0CA618">
                  <w:pPr>
                    <w:jc w:val="center"/>
                    <w:rPr>
                      <w:rFonts w:hint="eastAsia"/>
                      <w:color w:val="auto"/>
                      <w:kern w:val="2"/>
                      <w:sz w:val="21"/>
                      <w:szCs w:val="21"/>
                      <w:highlight w:val="none"/>
                      <w:lang w:val="en-US" w:eastAsia="zh-CN" w:bidi="ar-SA"/>
                    </w:rPr>
                  </w:pPr>
                  <w:r>
                    <w:rPr>
                      <w:rFonts w:hint="eastAsia"/>
                      <w:color w:val="auto"/>
                      <w:sz w:val="21"/>
                      <w:szCs w:val="21"/>
                      <w:highlight w:val="none"/>
                    </w:rPr>
                    <w:t>45</w:t>
                  </w:r>
                </w:p>
              </w:tc>
              <w:tc>
                <w:tcPr>
                  <w:tcW w:w="544" w:type="pct"/>
                  <w:noWrap w:val="0"/>
                  <w:vAlign w:val="center"/>
                </w:tcPr>
                <w:p w14:paraId="560F3BC9">
                  <w:pPr>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8</w:t>
                  </w:r>
                </w:p>
              </w:tc>
              <w:tc>
                <w:tcPr>
                  <w:tcW w:w="544" w:type="pct"/>
                  <w:noWrap w:val="0"/>
                  <w:vAlign w:val="center"/>
                </w:tcPr>
                <w:p w14:paraId="4658DE57">
                  <w:pPr>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70</w:t>
                  </w:r>
                </w:p>
              </w:tc>
              <w:tc>
                <w:tcPr>
                  <w:tcW w:w="544" w:type="pct"/>
                  <w:noWrap w:val="0"/>
                  <w:vAlign w:val="center"/>
                </w:tcPr>
                <w:p w14:paraId="229E7B9F">
                  <w:pPr>
                    <w:jc w:val="center"/>
                    <w:rPr>
                      <w:rFonts w:hint="default"/>
                      <w:color w:val="auto"/>
                      <w:sz w:val="21"/>
                      <w:szCs w:val="21"/>
                      <w:highlight w:val="none"/>
                      <w:lang w:val="en-US" w:eastAsia="zh-CN"/>
                    </w:rPr>
                  </w:pPr>
                  <w:r>
                    <w:rPr>
                      <w:rFonts w:hint="eastAsia"/>
                      <w:color w:val="auto"/>
                      <w:sz w:val="21"/>
                      <w:szCs w:val="21"/>
                      <w:highlight w:val="none"/>
                      <w:lang w:val="en-US" w:eastAsia="zh-CN"/>
                    </w:rPr>
                    <w:t>1500</w:t>
                  </w:r>
                </w:p>
              </w:tc>
            </w:tr>
          </w:tbl>
          <w:p w14:paraId="7A3D5754">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color w:val="auto"/>
              </w:rPr>
            </w:pPr>
            <w:r>
              <w:rPr>
                <w:rFonts w:hint="eastAsia"/>
                <w:color w:val="auto"/>
                <w:lang w:val="en-US" w:eastAsia="zh-CN"/>
              </w:rPr>
              <w:t>（3）</w:t>
            </w:r>
            <w:r>
              <w:rPr>
                <w:color w:val="auto"/>
              </w:rPr>
              <w:t>噪声</w:t>
            </w:r>
          </w:p>
          <w:p w14:paraId="41B6E285">
            <w:pPr>
              <w:pStyle w:val="22"/>
              <w:bidi w:val="0"/>
              <w:rPr>
                <w:color w:val="auto"/>
              </w:rPr>
            </w:pPr>
            <w:r>
              <w:rPr>
                <w:rFonts w:hint="eastAsia"/>
                <w:color w:val="auto"/>
              </w:rPr>
              <w:t>施工期噪声执行《建筑施工场界环境噪声排放标准》（GB12523-2011）中的相关要求；</w:t>
            </w:r>
            <w:r>
              <w:rPr>
                <w:color w:val="auto"/>
              </w:rPr>
              <w:t>运营期厂界噪声执行《工业企业厂界环境噪声排放标准》（GB 12348-2008）</w:t>
            </w:r>
            <w:r>
              <w:rPr>
                <w:rFonts w:hint="eastAsia"/>
                <w:color w:val="auto"/>
                <w:lang w:val="en-US" w:eastAsia="zh-CN"/>
              </w:rPr>
              <w:t>2</w:t>
            </w:r>
            <w:r>
              <w:rPr>
                <w:color w:val="auto"/>
              </w:rPr>
              <w:t>类标准。</w:t>
            </w:r>
          </w:p>
          <w:p w14:paraId="5B0956FA">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3-</w:t>
            </w:r>
            <w:r>
              <w:rPr>
                <w:rFonts w:hint="eastAsia" w:hAnsi="Times New Roman" w:cs="Times New Roman"/>
                <w:b/>
                <w:bCs/>
                <w:color w:val="auto"/>
                <w:kern w:val="21"/>
                <w:szCs w:val="24"/>
                <w:lang w:val="en-US" w:eastAsia="zh-CN"/>
              </w:rPr>
              <w:t>10</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w:t>
            </w:r>
            <w:r>
              <w:rPr>
                <w:rFonts w:hAnsi="Times New Roman" w:cs="Times New Roman"/>
                <w:b/>
                <w:bCs/>
                <w:color w:val="auto"/>
                <w:kern w:val="21"/>
                <w:szCs w:val="24"/>
              </w:rPr>
              <w:t>噪声排放标准</w:t>
            </w:r>
          </w:p>
          <w:tbl>
            <w:tblPr>
              <w:tblStyle w:val="15"/>
              <w:tblW w:w="50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84"/>
              <w:gridCol w:w="1105"/>
              <w:gridCol w:w="2960"/>
              <w:gridCol w:w="1062"/>
              <w:gridCol w:w="1049"/>
              <w:gridCol w:w="957"/>
            </w:tblGrid>
            <w:tr w14:paraId="5DA8B6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06" w:type="pct"/>
                  <w:vMerge w:val="restart"/>
                  <w:noWrap w:val="0"/>
                  <w:tcMar>
                    <w:top w:w="0" w:type="dxa"/>
                    <w:left w:w="57" w:type="dxa"/>
                    <w:bottom w:w="0" w:type="dxa"/>
                    <w:right w:w="57" w:type="dxa"/>
                  </w:tcMar>
                  <w:vAlign w:val="center"/>
                </w:tcPr>
                <w:p w14:paraId="3DBDC435">
                  <w:pPr>
                    <w:adjustRightInd w:val="0"/>
                    <w:snapToGrid w:val="0"/>
                    <w:jc w:val="center"/>
                    <w:rPr>
                      <w:rFonts w:ascii="Times New Roman" w:hAnsi="Times New Roman" w:cs="Times New Roman"/>
                      <w:b/>
                      <w:color w:val="auto"/>
                      <w:kern w:val="0"/>
                      <w:sz w:val="21"/>
                      <w:szCs w:val="21"/>
                    </w:rPr>
                  </w:pPr>
                  <w:r>
                    <w:rPr>
                      <w:rFonts w:ascii="Times New Roman" w:hAnsi="Times New Roman" w:cs="Times New Roman"/>
                      <w:b/>
                      <w:color w:val="auto"/>
                      <w:kern w:val="0"/>
                      <w:sz w:val="21"/>
                      <w:szCs w:val="21"/>
                    </w:rPr>
                    <w:t>项目阶段</w:t>
                  </w:r>
                </w:p>
              </w:tc>
              <w:tc>
                <w:tcPr>
                  <w:tcW w:w="680" w:type="pct"/>
                  <w:vMerge w:val="restart"/>
                  <w:noWrap w:val="0"/>
                  <w:vAlign w:val="center"/>
                </w:tcPr>
                <w:p w14:paraId="0762BA4C">
                  <w:pPr>
                    <w:adjustRightInd w:val="0"/>
                    <w:snapToGrid w:val="0"/>
                    <w:jc w:val="center"/>
                    <w:rPr>
                      <w:rFonts w:hint="default" w:ascii="Times New Roman" w:hAnsi="Times New Roman" w:eastAsia="宋体" w:cs="Times New Roman"/>
                      <w:b/>
                      <w:color w:val="auto"/>
                      <w:kern w:val="0"/>
                      <w:sz w:val="21"/>
                      <w:szCs w:val="21"/>
                      <w:lang w:val="en-US" w:eastAsia="zh-CN"/>
                    </w:rPr>
                  </w:pPr>
                  <w:r>
                    <w:rPr>
                      <w:rFonts w:hint="eastAsia" w:ascii="Times New Roman" w:hAnsi="Times New Roman" w:cs="Times New Roman"/>
                      <w:b/>
                      <w:color w:val="auto"/>
                      <w:kern w:val="0"/>
                      <w:sz w:val="21"/>
                      <w:szCs w:val="21"/>
                      <w:lang w:val="en-US" w:eastAsia="zh-CN"/>
                    </w:rPr>
                    <w:t>监测点</w:t>
                  </w:r>
                </w:p>
              </w:tc>
              <w:tc>
                <w:tcPr>
                  <w:tcW w:w="1823" w:type="pct"/>
                  <w:vMerge w:val="restart"/>
                  <w:noWrap w:val="0"/>
                  <w:vAlign w:val="center"/>
                </w:tcPr>
                <w:p w14:paraId="7D6D6B3A">
                  <w:pPr>
                    <w:adjustRightInd w:val="0"/>
                    <w:snapToGrid w:val="0"/>
                    <w:jc w:val="center"/>
                    <w:rPr>
                      <w:rFonts w:hint="eastAsia" w:ascii="Times New Roman" w:hAnsi="Times New Roman" w:eastAsia="宋体" w:cs="Times New Roman"/>
                      <w:b/>
                      <w:color w:val="auto"/>
                      <w:kern w:val="0"/>
                      <w:sz w:val="21"/>
                      <w:szCs w:val="21"/>
                      <w:lang w:val="en-US" w:eastAsia="zh-CN"/>
                    </w:rPr>
                  </w:pPr>
                  <w:r>
                    <w:rPr>
                      <w:rFonts w:hint="eastAsia" w:ascii="Times New Roman" w:hAnsi="Times New Roman" w:cs="Times New Roman"/>
                      <w:b/>
                      <w:color w:val="auto"/>
                      <w:kern w:val="0"/>
                      <w:sz w:val="21"/>
                      <w:szCs w:val="21"/>
                      <w:lang w:val="en-US" w:eastAsia="zh-CN"/>
                    </w:rPr>
                    <w:t>执行标准</w:t>
                  </w:r>
                </w:p>
              </w:tc>
              <w:tc>
                <w:tcPr>
                  <w:tcW w:w="654" w:type="pct"/>
                  <w:vMerge w:val="restart"/>
                  <w:noWrap w:val="0"/>
                  <w:vAlign w:val="center"/>
                </w:tcPr>
                <w:p w14:paraId="5C89566B">
                  <w:pPr>
                    <w:adjustRightInd w:val="0"/>
                    <w:snapToGrid w:val="0"/>
                    <w:jc w:val="center"/>
                    <w:rPr>
                      <w:rFonts w:ascii="Times New Roman" w:hAnsi="Times New Roman" w:cs="Times New Roman"/>
                      <w:b/>
                      <w:color w:val="auto"/>
                      <w:kern w:val="0"/>
                      <w:sz w:val="21"/>
                      <w:szCs w:val="21"/>
                    </w:rPr>
                  </w:pPr>
                  <w:r>
                    <w:rPr>
                      <w:rFonts w:ascii="Times New Roman" w:hAnsi="Times New Roman" w:cs="Times New Roman"/>
                      <w:b/>
                      <w:color w:val="auto"/>
                      <w:kern w:val="0"/>
                      <w:sz w:val="21"/>
                      <w:szCs w:val="21"/>
                    </w:rPr>
                    <w:t>功能类别</w:t>
                  </w:r>
                </w:p>
              </w:tc>
              <w:tc>
                <w:tcPr>
                  <w:tcW w:w="1235" w:type="pct"/>
                  <w:gridSpan w:val="2"/>
                  <w:noWrap w:val="0"/>
                  <w:vAlign w:val="center"/>
                </w:tcPr>
                <w:p w14:paraId="1B7AFC62">
                  <w:pPr>
                    <w:adjustRightInd w:val="0"/>
                    <w:snapToGrid w:val="0"/>
                    <w:jc w:val="center"/>
                    <w:rPr>
                      <w:rFonts w:ascii="Times New Roman" w:hAnsi="Times New Roman" w:cs="Times New Roman"/>
                      <w:b/>
                      <w:color w:val="auto"/>
                      <w:kern w:val="0"/>
                      <w:sz w:val="21"/>
                      <w:szCs w:val="21"/>
                    </w:rPr>
                  </w:pPr>
                  <w:r>
                    <w:rPr>
                      <w:rFonts w:ascii="Times New Roman" w:hAnsi="Times New Roman" w:cs="Times New Roman"/>
                      <w:b/>
                      <w:color w:val="auto"/>
                      <w:kern w:val="0"/>
                      <w:sz w:val="21"/>
                      <w:szCs w:val="21"/>
                    </w:rPr>
                    <w:t>限值</w:t>
                  </w:r>
                  <w:r>
                    <w:rPr>
                      <w:rFonts w:ascii="Times New Roman" w:hAnsi="Times New Roman" w:cs="Times New Roman"/>
                      <w:b/>
                      <w:bCs/>
                      <w:color w:val="auto"/>
                      <w:kern w:val="0"/>
                      <w:sz w:val="21"/>
                      <w:szCs w:val="21"/>
                    </w:rPr>
                    <w:t>dB(A)</w:t>
                  </w:r>
                </w:p>
              </w:tc>
            </w:tr>
            <w:tr w14:paraId="692DE2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06" w:type="pct"/>
                  <w:vMerge w:val="continue"/>
                  <w:noWrap w:val="0"/>
                  <w:tcMar>
                    <w:top w:w="0" w:type="dxa"/>
                    <w:left w:w="57" w:type="dxa"/>
                    <w:bottom w:w="0" w:type="dxa"/>
                    <w:right w:w="57" w:type="dxa"/>
                  </w:tcMar>
                  <w:vAlign w:val="center"/>
                </w:tcPr>
                <w:p w14:paraId="342C992F">
                  <w:pPr>
                    <w:adjustRightInd w:val="0"/>
                    <w:snapToGrid w:val="0"/>
                    <w:jc w:val="center"/>
                    <w:rPr>
                      <w:rFonts w:ascii="Times New Roman" w:hAnsi="Times New Roman" w:cs="Times New Roman"/>
                      <w:b/>
                      <w:color w:val="auto"/>
                      <w:kern w:val="0"/>
                      <w:sz w:val="21"/>
                      <w:szCs w:val="21"/>
                    </w:rPr>
                  </w:pPr>
                </w:p>
              </w:tc>
              <w:tc>
                <w:tcPr>
                  <w:tcW w:w="680" w:type="pct"/>
                  <w:vMerge w:val="continue"/>
                  <w:noWrap w:val="0"/>
                  <w:vAlign w:val="center"/>
                </w:tcPr>
                <w:p w14:paraId="59FCCF03">
                  <w:pPr>
                    <w:adjustRightInd w:val="0"/>
                    <w:snapToGrid w:val="0"/>
                    <w:jc w:val="center"/>
                    <w:rPr>
                      <w:rFonts w:ascii="Times New Roman" w:hAnsi="Times New Roman" w:cs="Times New Roman"/>
                      <w:b/>
                      <w:color w:val="auto"/>
                      <w:kern w:val="0"/>
                      <w:sz w:val="21"/>
                      <w:szCs w:val="21"/>
                    </w:rPr>
                  </w:pPr>
                </w:p>
              </w:tc>
              <w:tc>
                <w:tcPr>
                  <w:tcW w:w="1823" w:type="pct"/>
                  <w:vMerge w:val="continue"/>
                  <w:noWrap w:val="0"/>
                  <w:vAlign w:val="center"/>
                </w:tcPr>
                <w:p w14:paraId="095C6E17">
                  <w:pPr>
                    <w:adjustRightInd w:val="0"/>
                    <w:snapToGrid w:val="0"/>
                    <w:jc w:val="center"/>
                    <w:rPr>
                      <w:rFonts w:ascii="Times New Roman" w:hAnsi="Times New Roman" w:cs="Times New Roman"/>
                      <w:b/>
                      <w:color w:val="auto"/>
                      <w:kern w:val="0"/>
                      <w:sz w:val="21"/>
                      <w:szCs w:val="21"/>
                    </w:rPr>
                  </w:pPr>
                </w:p>
              </w:tc>
              <w:tc>
                <w:tcPr>
                  <w:tcW w:w="654" w:type="pct"/>
                  <w:vMerge w:val="continue"/>
                  <w:noWrap w:val="0"/>
                  <w:vAlign w:val="center"/>
                </w:tcPr>
                <w:p w14:paraId="5B13A5C8">
                  <w:pPr>
                    <w:adjustRightInd w:val="0"/>
                    <w:snapToGrid w:val="0"/>
                    <w:jc w:val="center"/>
                    <w:rPr>
                      <w:rFonts w:ascii="Times New Roman" w:hAnsi="Times New Roman" w:cs="Times New Roman"/>
                      <w:b/>
                      <w:color w:val="auto"/>
                      <w:kern w:val="0"/>
                      <w:sz w:val="21"/>
                      <w:szCs w:val="21"/>
                    </w:rPr>
                  </w:pPr>
                </w:p>
              </w:tc>
              <w:tc>
                <w:tcPr>
                  <w:tcW w:w="646" w:type="pct"/>
                  <w:noWrap w:val="0"/>
                  <w:vAlign w:val="center"/>
                </w:tcPr>
                <w:p w14:paraId="414EFD21">
                  <w:pPr>
                    <w:adjustRightInd w:val="0"/>
                    <w:snapToGrid w:val="0"/>
                    <w:jc w:val="center"/>
                    <w:rPr>
                      <w:rFonts w:ascii="Times New Roman" w:hAnsi="Times New Roman" w:cs="Times New Roman"/>
                      <w:b/>
                      <w:bCs/>
                      <w:color w:val="auto"/>
                      <w:kern w:val="0"/>
                      <w:sz w:val="21"/>
                      <w:szCs w:val="21"/>
                    </w:rPr>
                  </w:pPr>
                  <w:r>
                    <w:rPr>
                      <w:rFonts w:ascii="Times New Roman" w:hAnsi="Times New Roman" w:cs="Times New Roman"/>
                      <w:b/>
                      <w:bCs/>
                      <w:color w:val="auto"/>
                      <w:kern w:val="0"/>
                      <w:sz w:val="21"/>
                      <w:szCs w:val="21"/>
                    </w:rPr>
                    <w:t>昼间</w:t>
                  </w:r>
                </w:p>
              </w:tc>
              <w:tc>
                <w:tcPr>
                  <w:tcW w:w="589" w:type="pct"/>
                  <w:noWrap w:val="0"/>
                  <w:vAlign w:val="center"/>
                </w:tcPr>
                <w:p w14:paraId="06D366A5">
                  <w:pPr>
                    <w:adjustRightInd w:val="0"/>
                    <w:snapToGrid w:val="0"/>
                    <w:jc w:val="center"/>
                    <w:rPr>
                      <w:rFonts w:ascii="Times New Roman" w:hAnsi="Times New Roman" w:cs="Times New Roman"/>
                      <w:b/>
                      <w:bCs/>
                      <w:color w:val="auto"/>
                      <w:kern w:val="0"/>
                      <w:sz w:val="21"/>
                      <w:szCs w:val="21"/>
                    </w:rPr>
                  </w:pPr>
                  <w:r>
                    <w:rPr>
                      <w:rFonts w:ascii="Times New Roman" w:hAnsi="Times New Roman" w:cs="Times New Roman"/>
                      <w:b/>
                      <w:bCs/>
                      <w:color w:val="auto"/>
                      <w:kern w:val="0"/>
                      <w:sz w:val="21"/>
                      <w:szCs w:val="21"/>
                    </w:rPr>
                    <w:t>夜间</w:t>
                  </w:r>
                </w:p>
              </w:tc>
            </w:tr>
            <w:tr w14:paraId="09371C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6" w:type="pct"/>
                  <w:noWrap w:val="0"/>
                  <w:tcMar>
                    <w:top w:w="0" w:type="dxa"/>
                    <w:left w:w="57" w:type="dxa"/>
                    <w:bottom w:w="0" w:type="dxa"/>
                    <w:right w:w="57" w:type="dxa"/>
                  </w:tcMar>
                  <w:vAlign w:val="center"/>
                </w:tcPr>
                <w:p w14:paraId="4EFF852C">
                  <w:pPr>
                    <w:adjustRightInd w:val="0"/>
                    <w:snapToGrid w:val="0"/>
                    <w:jc w:val="center"/>
                    <w:rPr>
                      <w:bCs/>
                      <w:color w:val="auto"/>
                      <w:kern w:val="0"/>
                      <w:sz w:val="21"/>
                      <w:szCs w:val="21"/>
                      <w:highlight w:val="none"/>
                      <w:lang w:val="en-US" w:eastAsia="zh-CN" w:bidi="ar-SA"/>
                    </w:rPr>
                  </w:pPr>
                  <w:r>
                    <w:rPr>
                      <w:bCs/>
                      <w:color w:val="auto"/>
                      <w:kern w:val="0"/>
                      <w:sz w:val="21"/>
                      <w:szCs w:val="21"/>
                      <w:highlight w:val="none"/>
                    </w:rPr>
                    <w:t>施工期</w:t>
                  </w:r>
                </w:p>
              </w:tc>
              <w:tc>
                <w:tcPr>
                  <w:tcW w:w="680" w:type="pct"/>
                  <w:noWrap w:val="0"/>
                  <w:vAlign w:val="center"/>
                </w:tcPr>
                <w:p w14:paraId="51A1A32F">
                  <w:pPr>
                    <w:adjustRightInd w:val="0"/>
                    <w:snapToGrid w:val="0"/>
                    <w:jc w:val="center"/>
                    <w:rPr>
                      <w:rFonts w:hint="default"/>
                      <w:bCs/>
                      <w:color w:val="auto"/>
                      <w:kern w:val="0"/>
                      <w:sz w:val="21"/>
                      <w:szCs w:val="21"/>
                      <w:highlight w:val="none"/>
                      <w:lang w:val="en-US" w:eastAsia="zh-CN" w:bidi="ar-SA"/>
                    </w:rPr>
                  </w:pPr>
                  <w:r>
                    <w:rPr>
                      <w:rFonts w:hint="eastAsia"/>
                      <w:bCs/>
                      <w:color w:val="auto"/>
                      <w:kern w:val="0"/>
                      <w:sz w:val="21"/>
                      <w:szCs w:val="21"/>
                      <w:highlight w:val="none"/>
                      <w:lang w:val="en-US" w:eastAsia="zh-CN" w:bidi="ar-SA"/>
                    </w:rPr>
                    <w:t>/</w:t>
                  </w:r>
                </w:p>
              </w:tc>
              <w:tc>
                <w:tcPr>
                  <w:tcW w:w="1823" w:type="pct"/>
                  <w:noWrap w:val="0"/>
                  <w:vAlign w:val="center"/>
                </w:tcPr>
                <w:p w14:paraId="25BF31E6">
                  <w:pPr>
                    <w:adjustRightInd w:val="0"/>
                    <w:snapToGrid w:val="0"/>
                    <w:jc w:val="center"/>
                    <w:rPr>
                      <w:bCs/>
                      <w:color w:val="auto"/>
                      <w:kern w:val="0"/>
                      <w:sz w:val="21"/>
                      <w:szCs w:val="21"/>
                      <w:highlight w:val="none"/>
                    </w:rPr>
                  </w:pPr>
                  <w:r>
                    <w:rPr>
                      <w:rFonts w:hint="eastAsia"/>
                      <w:bCs/>
                      <w:color w:val="auto"/>
                      <w:kern w:val="0"/>
                      <w:sz w:val="21"/>
                      <w:szCs w:val="21"/>
                      <w:highlight w:val="none"/>
                    </w:rPr>
                    <w:t>《建筑施工场界环境噪声排放标准》（GB12523-2011）</w:t>
                  </w:r>
                </w:p>
              </w:tc>
              <w:tc>
                <w:tcPr>
                  <w:tcW w:w="654" w:type="pct"/>
                  <w:noWrap w:val="0"/>
                  <w:vAlign w:val="center"/>
                </w:tcPr>
                <w:p w14:paraId="6F817B45">
                  <w:pPr>
                    <w:adjustRightInd w:val="0"/>
                    <w:snapToGrid w:val="0"/>
                    <w:jc w:val="center"/>
                    <w:rPr>
                      <w:bCs/>
                      <w:color w:val="auto"/>
                      <w:kern w:val="0"/>
                      <w:sz w:val="21"/>
                      <w:szCs w:val="21"/>
                      <w:highlight w:val="none"/>
                      <w:lang w:val="en-US" w:eastAsia="zh-CN" w:bidi="ar-SA"/>
                    </w:rPr>
                  </w:pPr>
                  <w:r>
                    <w:rPr>
                      <w:bCs/>
                      <w:color w:val="auto"/>
                      <w:kern w:val="0"/>
                      <w:sz w:val="21"/>
                      <w:szCs w:val="21"/>
                      <w:highlight w:val="none"/>
                    </w:rPr>
                    <w:t>/</w:t>
                  </w:r>
                </w:p>
              </w:tc>
              <w:tc>
                <w:tcPr>
                  <w:tcW w:w="646" w:type="pct"/>
                  <w:noWrap w:val="0"/>
                  <w:vAlign w:val="center"/>
                </w:tcPr>
                <w:p w14:paraId="242646F8">
                  <w:pPr>
                    <w:adjustRightInd w:val="0"/>
                    <w:snapToGrid w:val="0"/>
                    <w:jc w:val="center"/>
                    <w:rPr>
                      <w:bCs/>
                      <w:color w:val="auto"/>
                      <w:kern w:val="0"/>
                      <w:sz w:val="21"/>
                      <w:szCs w:val="21"/>
                      <w:highlight w:val="none"/>
                      <w:lang w:val="en-US" w:eastAsia="zh-CN" w:bidi="ar-SA"/>
                    </w:rPr>
                  </w:pPr>
                  <w:r>
                    <w:rPr>
                      <w:bCs/>
                      <w:color w:val="auto"/>
                      <w:kern w:val="0"/>
                      <w:sz w:val="21"/>
                      <w:szCs w:val="21"/>
                      <w:highlight w:val="none"/>
                    </w:rPr>
                    <w:t>70</w:t>
                  </w:r>
                </w:p>
              </w:tc>
              <w:tc>
                <w:tcPr>
                  <w:tcW w:w="589" w:type="pct"/>
                  <w:noWrap w:val="0"/>
                  <w:vAlign w:val="center"/>
                </w:tcPr>
                <w:p w14:paraId="73E98519">
                  <w:pPr>
                    <w:adjustRightInd w:val="0"/>
                    <w:snapToGrid w:val="0"/>
                    <w:jc w:val="center"/>
                    <w:rPr>
                      <w:bCs/>
                      <w:color w:val="auto"/>
                      <w:kern w:val="0"/>
                      <w:sz w:val="21"/>
                      <w:szCs w:val="21"/>
                      <w:highlight w:val="none"/>
                      <w:lang w:val="en-US" w:eastAsia="zh-CN" w:bidi="ar-SA"/>
                    </w:rPr>
                  </w:pPr>
                  <w:r>
                    <w:rPr>
                      <w:bCs/>
                      <w:color w:val="auto"/>
                      <w:kern w:val="0"/>
                      <w:sz w:val="21"/>
                      <w:szCs w:val="21"/>
                      <w:highlight w:val="none"/>
                    </w:rPr>
                    <w:t>55</w:t>
                  </w:r>
                </w:p>
              </w:tc>
            </w:tr>
            <w:tr w14:paraId="66C1DB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06" w:type="pct"/>
                  <w:noWrap w:val="0"/>
                  <w:tcMar>
                    <w:top w:w="0" w:type="dxa"/>
                    <w:left w:w="57" w:type="dxa"/>
                    <w:bottom w:w="0" w:type="dxa"/>
                    <w:right w:w="57" w:type="dxa"/>
                  </w:tcMar>
                  <w:vAlign w:val="center"/>
                </w:tcPr>
                <w:p w14:paraId="285174A1">
                  <w:pPr>
                    <w:adjustRightInd w:val="0"/>
                    <w:snapToGrid w:val="0"/>
                    <w:jc w:val="center"/>
                    <w:rPr>
                      <w:rFonts w:ascii="Times New Roman" w:hAnsi="Times New Roman" w:cs="Times New Roman"/>
                      <w:color w:val="auto"/>
                      <w:kern w:val="0"/>
                      <w:sz w:val="21"/>
                      <w:szCs w:val="21"/>
                      <w:lang w:val="en-US" w:eastAsia="zh-CN" w:bidi="ar-SA"/>
                    </w:rPr>
                  </w:pPr>
                  <w:r>
                    <w:rPr>
                      <w:rFonts w:ascii="Times New Roman" w:hAnsi="Times New Roman" w:cs="Times New Roman"/>
                      <w:color w:val="auto"/>
                      <w:kern w:val="0"/>
                      <w:sz w:val="21"/>
                      <w:szCs w:val="21"/>
                    </w:rPr>
                    <w:t>运营期</w:t>
                  </w:r>
                </w:p>
              </w:tc>
              <w:tc>
                <w:tcPr>
                  <w:tcW w:w="680" w:type="pct"/>
                  <w:noWrap w:val="0"/>
                  <w:vAlign w:val="center"/>
                </w:tcPr>
                <w:p w14:paraId="0BF25C1A">
                  <w:pPr>
                    <w:adjustRightInd w:val="0"/>
                    <w:snapToGrid w:val="0"/>
                    <w:jc w:val="center"/>
                    <w:rPr>
                      <w:rFonts w:hint="default" w:ascii="Times New Roman" w:hAnsi="Times New Roman" w:cs="Times New Roman"/>
                      <w:color w:val="auto"/>
                      <w:kern w:val="0"/>
                      <w:sz w:val="21"/>
                      <w:szCs w:val="21"/>
                      <w:lang w:val="en-US" w:eastAsia="zh-CN" w:bidi="ar-SA"/>
                    </w:rPr>
                  </w:pPr>
                  <w:r>
                    <w:rPr>
                      <w:rFonts w:hint="eastAsia" w:ascii="Times New Roman" w:hAnsi="Times New Roman" w:cs="Times New Roman"/>
                      <w:color w:val="auto"/>
                      <w:kern w:val="0"/>
                      <w:sz w:val="21"/>
                      <w:szCs w:val="21"/>
                      <w:lang w:val="en-US" w:eastAsia="zh-CN" w:bidi="ar-SA"/>
                    </w:rPr>
                    <w:t>厂界</w:t>
                  </w:r>
                </w:p>
              </w:tc>
              <w:tc>
                <w:tcPr>
                  <w:tcW w:w="1823" w:type="pct"/>
                  <w:noWrap w:val="0"/>
                  <w:vAlign w:val="center"/>
                </w:tcPr>
                <w:p w14:paraId="2E850374">
                  <w:pPr>
                    <w:adjustRightInd w:val="0"/>
                    <w:snapToGrid w:val="0"/>
                    <w:jc w:val="center"/>
                    <w:rPr>
                      <w:rFonts w:hint="eastAsia"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《工业企业厂界环境噪声排放标准》（GB 12348-2008）</w:t>
                  </w:r>
                </w:p>
              </w:tc>
              <w:tc>
                <w:tcPr>
                  <w:tcW w:w="654" w:type="pct"/>
                  <w:noWrap w:val="0"/>
                  <w:vAlign w:val="center"/>
                </w:tcPr>
                <w:p w14:paraId="2740E61E">
                  <w:pPr>
                    <w:adjustRightInd w:val="0"/>
                    <w:snapToGrid w:val="0"/>
                    <w:jc w:val="center"/>
                    <w:rPr>
                      <w:rFonts w:hint="eastAsia" w:ascii="Times New Roman" w:hAnsi="Times New Roman" w:cs="Times New Roman"/>
                      <w:color w:val="auto"/>
                      <w:kern w:val="0"/>
                      <w:sz w:val="21"/>
                      <w:szCs w:val="21"/>
                      <w:lang w:val="en-US" w:eastAsia="zh-CN" w:bidi="ar-SA"/>
                    </w:rPr>
                  </w:pPr>
                  <w:r>
                    <w:rPr>
                      <w:rFonts w:hint="eastAsia" w:ascii="Times New Roman" w:hAnsi="Times New Roman" w:cs="Times New Roman"/>
                      <w:color w:val="auto"/>
                      <w:kern w:val="0"/>
                      <w:sz w:val="21"/>
                      <w:szCs w:val="21"/>
                      <w:lang w:val="en-US" w:eastAsia="zh-CN"/>
                    </w:rPr>
                    <w:t>2</w:t>
                  </w:r>
                  <w:r>
                    <w:rPr>
                      <w:rFonts w:ascii="Times New Roman" w:hAnsi="Times New Roman" w:cs="Times New Roman"/>
                      <w:color w:val="auto"/>
                      <w:kern w:val="0"/>
                      <w:sz w:val="21"/>
                      <w:szCs w:val="21"/>
                    </w:rPr>
                    <w:t>类区</w:t>
                  </w:r>
                </w:p>
              </w:tc>
              <w:tc>
                <w:tcPr>
                  <w:tcW w:w="646" w:type="pct"/>
                  <w:noWrap w:val="0"/>
                  <w:vAlign w:val="center"/>
                </w:tcPr>
                <w:p w14:paraId="5C5D8C21">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rPr>
                    <w:t>60</w:t>
                  </w:r>
                </w:p>
              </w:tc>
              <w:tc>
                <w:tcPr>
                  <w:tcW w:w="589" w:type="pct"/>
                  <w:noWrap w:val="0"/>
                  <w:vAlign w:val="center"/>
                </w:tcPr>
                <w:p w14:paraId="481AC02B">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kern w:val="0"/>
                      <w:sz w:val="21"/>
                      <w:szCs w:val="21"/>
                      <w:lang w:val="en-US" w:eastAsia="zh-CN"/>
                    </w:rPr>
                    <w:t>50</w:t>
                  </w:r>
                </w:p>
              </w:tc>
            </w:tr>
          </w:tbl>
          <w:p w14:paraId="68CE231F">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color w:val="auto"/>
              </w:rPr>
            </w:pPr>
            <w:r>
              <w:rPr>
                <w:rFonts w:hint="eastAsia"/>
                <w:color w:val="auto"/>
                <w:lang w:val="en-US" w:eastAsia="zh-CN"/>
              </w:rPr>
              <w:t>（4）</w:t>
            </w:r>
            <w:r>
              <w:rPr>
                <w:color w:val="auto"/>
              </w:rPr>
              <w:t>固废</w:t>
            </w:r>
          </w:p>
          <w:p w14:paraId="69FFB2BC">
            <w:pPr>
              <w:pStyle w:val="22"/>
              <w:bidi w:val="0"/>
              <w:rPr>
                <w:rFonts w:hint="default" w:ascii="宋体" w:hAnsi="宋体" w:eastAsia="宋体" w:cs="宋体"/>
                <w:color w:val="auto"/>
                <w:kern w:val="0"/>
                <w:szCs w:val="21"/>
                <w:lang w:val="en-US" w:eastAsia="zh-CN"/>
              </w:rPr>
            </w:pPr>
            <w:r>
              <w:rPr>
                <w:rFonts w:hint="eastAsia"/>
                <w:color w:val="auto"/>
                <w:lang w:val="en-US" w:eastAsia="zh-CN"/>
              </w:rPr>
              <w:t>一般工业固体废物执行</w:t>
            </w:r>
            <w:r>
              <w:rPr>
                <w:color w:val="auto"/>
              </w:rPr>
              <w:t>《一般工业固体废物贮存和填埋污染控制标准》（GB18599-2020）</w:t>
            </w:r>
            <w:r>
              <w:rPr>
                <w:rFonts w:hint="eastAsia"/>
                <w:color w:val="auto"/>
                <w:lang w:eastAsia="zh-CN"/>
              </w:rPr>
              <w:t>。</w:t>
            </w:r>
          </w:p>
        </w:tc>
      </w:tr>
      <w:tr w14:paraId="2D5EF3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904" w:type="dxa"/>
            <w:noWrap w:val="0"/>
            <w:vAlign w:val="center"/>
          </w:tcPr>
          <w:p w14:paraId="2122C619">
            <w:pPr>
              <w:adjustRightInd w:val="0"/>
              <w:snapToGrid w:val="0"/>
              <w:jc w:val="center"/>
              <w:rPr>
                <w:rFonts w:ascii="宋体" w:hAnsi="宋体" w:cs="宋体"/>
                <w:color w:val="auto"/>
                <w:kern w:val="0"/>
                <w:sz w:val="24"/>
                <w:szCs w:val="24"/>
              </w:rPr>
            </w:pPr>
            <w:r>
              <w:rPr>
                <w:rFonts w:hint="eastAsia" w:ascii="宋体" w:hAnsi="宋体" w:cs="宋体"/>
                <w:color w:val="auto"/>
                <w:kern w:val="0"/>
                <w:sz w:val="24"/>
                <w:szCs w:val="24"/>
              </w:rPr>
              <w:t>其他</w:t>
            </w:r>
          </w:p>
        </w:tc>
        <w:tc>
          <w:tcPr>
            <w:tcW w:w="8253" w:type="dxa"/>
            <w:noWrap w:val="0"/>
            <w:vAlign w:val="center"/>
          </w:tcPr>
          <w:p w14:paraId="3D2EAF9C">
            <w:pPr>
              <w:keepNext w:val="0"/>
              <w:keepLines w:val="0"/>
              <w:pageBreakBefore w:val="0"/>
              <w:widowControl w:val="0"/>
              <w:kinsoku/>
              <w:wordWrap/>
              <w:overflowPunct/>
              <w:topLinePunct w:val="0"/>
              <w:autoSpaceDE/>
              <w:autoSpaceDN/>
              <w:bidi w:val="0"/>
              <w:adjustRightInd w:val="0"/>
              <w:snapToGrid w:val="0"/>
              <w:ind w:firstLine="480" w:firstLineChars="200"/>
              <w:jc w:val="both"/>
              <w:textAlignment w:val="auto"/>
              <w:rPr>
                <w:rFonts w:hint="eastAsia" w:ascii="宋体" w:hAnsi="宋体" w:eastAsia="宋体" w:cs="宋体"/>
                <w:color w:val="auto"/>
                <w:kern w:val="0"/>
                <w:szCs w:val="21"/>
                <w:lang w:eastAsia="zh-CN"/>
              </w:rPr>
            </w:pPr>
            <w:r>
              <w:rPr>
                <w:rFonts w:hint="eastAsia" w:ascii="宋体" w:hAnsi="宋体" w:cs="宋体"/>
                <w:color w:val="auto"/>
                <w:kern w:val="0"/>
                <w:sz w:val="24"/>
                <w:szCs w:val="24"/>
                <w:lang w:val="en-US" w:eastAsia="zh-CN"/>
              </w:rPr>
              <w:t>无</w:t>
            </w:r>
          </w:p>
        </w:tc>
      </w:tr>
    </w:tbl>
    <w:p w14:paraId="03AF5DD4">
      <w:pPr>
        <w:jc w:val="center"/>
        <w:outlineLvl w:val="0"/>
        <w:rPr>
          <w:rFonts w:ascii="黑体" w:hAnsi="黑体" w:eastAsia="黑体"/>
          <w:snapToGrid w:val="0"/>
          <w:color w:val="auto"/>
          <w:sz w:val="30"/>
          <w:szCs w:val="30"/>
        </w:rPr>
      </w:pPr>
      <w:r>
        <w:rPr>
          <w:rFonts w:ascii="黑体" w:hAnsi="黑体" w:eastAsia="黑体"/>
          <w:snapToGrid w:val="0"/>
          <w:color w:val="auto"/>
          <w:kern w:val="2"/>
          <w:sz w:val="36"/>
          <w:szCs w:val="36"/>
        </w:rPr>
        <w:br w:type="page"/>
      </w:r>
      <w:r>
        <w:rPr>
          <w:rFonts w:hint="eastAsia" w:ascii="黑体" w:hAnsi="黑体" w:eastAsia="黑体"/>
          <w:snapToGrid w:val="0"/>
          <w:color w:val="auto"/>
          <w:sz w:val="30"/>
          <w:szCs w:val="30"/>
        </w:rPr>
        <w:t>四、生态环境影响分析</w:t>
      </w:r>
    </w:p>
    <w:tbl>
      <w:tblPr>
        <w:tblStyle w:val="15"/>
        <w:tblW w:w="924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79"/>
        <w:gridCol w:w="8363"/>
      </w:tblGrid>
      <w:tr w14:paraId="060B49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42" w:hRule="atLeast"/>
          <w:jc w:val="center"/>
        </w:trPr>
        <w:tc>
          <w:tcPr>
            <w:tcW w:w="879" w:type="dxa"/>
            <w:noWrap w:val="0"/>
            <w:tcMar>
              <w:left w:w="28" w:type="dxa"/>
              <w:right w:w="28" w:type="dxa"/>
            </w:tcMar>
            <w:vAlign w:val="center"/>
          </w:tcPr>
          <w:p w14:paraId="5C3F11EF">
            <w:pPr>
              <w:adjustRightInd w:val="0"/>
              <w:snapToGrid w:val="0"/>
              <w:spacing w:before="0" w:beforeAutospacing="0" w:after="0" w:afterAutospacing="0"/>
              <w:jc w:val="center"/>
              <w:rPr>
                <w:rFonts w:cs="宋体"/>
                <w:bCs/>
                <w:color w:val="auto"/>
                <w:kern w:val="2"/>
                <w:sz w:val="24"/>
                <w:szCs w:val="24"/>
              </w:rPr>
            </w:pPr>
            <w:bookmarkStart w:id="4" w:name="_Hlk49796138"/>
            <w:r>
              <w:rPr>
                <w:rFonts w:hint="eastAsia" w:cs="宋体"/>
                <w:bCs/>
                <w:color w:val="auto"/>
                <w:spacing w:val="10"/>
                <w:kern w:val="2"/>
                <w:sz w:val="24"/>
                <w:szCs w:val="24"/>
              </w:rPr>
              <w:t>施工期生态环境影响分析</w:t>
            </w:r>
            <w:bookmarkEnd w:id="4"/>
          </w:p>
        </w:tc>
        <w:tc>
          <w:tcPr>
            <w:tcW w:w="8363" w:type="dxa"/>
            <w:noWrap w:val="0"/>
            <w:vAlign w:val="top"/>
          </w:tcPr>
          <w:p w14:paraId="6BE1C501">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color w:val="auto"/>
              </w:rPr>
            </w:pPr>
            <w:r>
              <w:rPr>
                <w:rFonts w:hint="eastAsia"/>
                <w:color w:val="auto"/>
              </w:rPr>
              <w:t>本项目施工期建设内容为</w:t>
            </w:r>
            <w:r>
              <w:rPr>
                <w:rFonts w:hint="eastAsia"/>
                <w:color w:val="auto"/>
                <w:lang w:eastAsia="zh-CN"/>
              </w:rPr>
              <w:t>1眼</w:t>
            </w:r>
            <w:r>
              <w:rPr>
                <w:rFonts w:hint="eastAsia"/>
                <w:color w:val="auto"/>
              </w:rPr>
              <w:t>回灌井，计划敷设DN125管线295m，采用地下室架空敷设和</w:t>
            </w:r>
            <w:r>
              <w:rPr>
                <w:rFonts w:hint="eastAsia"/>
                <w:color w:val="auto"/>
                <w:lang w:eastAsia="zh-CN"/>
              </w:rPr>
              <w:t>顶管施工</w:t>
            </w:r>
            <w:r>
              <w:rPr>
                <w:rFonts w:hint="eastAsia"/>
                <w:color w:val="auto"/>
              </w:rPr>
              <w:t>方式</w:t>
            </w:r>
            <w:r>
              <w:rPr>
                <w:rFonts w:hint="eastAsia"/>
                <w:color w:val="auto"/>
                <w:lang w:eastAsia="zh-CN"/>
              </w:rPr>
              <w:t>（</w:t>
            </w:r>
            <w:r>
              <w:rPr>
                <w:rFonts w:hint="eastAsia"/>
                <w:color w:val="auto"/>
              </w:rPr>
              <w:t>管线沿供热机房向东北敷设至回灌井</w:t>
            </w:r>
            <w:r>
              <w:rPr>
                <w:rFonts w:hint="eastAsia"/>
                <w:color w:val="auto"/>
                <w:lang w:eastAsia="zh-CN"/>
              </w:rPr>
              <w:t>，</w:t>
            </w:r>
            <w:r>
              <w:rPr>
                <w:rFonts w:hint="eastAsia"/>
                <w:color w:val="auto"/>
              </w:rPr>
              <w:t>地下室架空敷设70m，</w:t>
            </w:r>
            <w:r>
              <w:rPr>
                <w:rFonts w:hint="eastAsia"/>
                <w:color w:val="auto"/>
                <w:lang w:eastAsia="zh-CN"/>
              </w:rPr>
              <w:t>顶管施工</w:t>
            </w:r>
            <w:r>
              <w:rPr>
                <w:rFonts w:hint="eastAsia"/>
                <w:color w:val="auto"/>
              </w:rPr>
              <w:t>225m</w:t>
            </w:r>
            <w:r>
              <w:rPr>
                <w:rFonts w:hint="eastAsia"/>
                <w:color w:val="auto"/>
                <w:lang w:eastAsia="zh-CN"/>
              </w:rPr>
              <w:t>）</w:t>
            </w:r>
            <w:r>
              <w:rPr>
                <w:rFonts w:hint="eastAsia"/>
                <w:color w:val="auto"/>
              </w:rPr>
              <w:t>。工程计划于202</w:t>
            </w:r>
            <w:r>
              <w:rPr>
                <w:rFonts w:hint="eastAsia"/>
                <w:color w:val="auto"/>
                <w:lang w:val="en-US" w:eastAsia="zh-CN"/>
              </w:rPr>
              <w:t>5</w:t>
            </w:r>
            <w:r>
              <w:rPr>
                <w:rFonts w:hint="eastAsia"/>
                <w:color w:val="auto"/>
              </w:rPr>
              <w:t>年</w:t>
            </w:r>
            <w:r>
              <w:rPr>
                <w:rFonts w:hint="eastAsia"/>
                <w:color w:val="auto"/>
                <w:lang w:val="en-US" w:eastAsia="zh-CN"/>
              </w:rPr>
              <w:t>3</w:t>
            </w:r>
            <w:r>
              <w:rPr>
                <w:rFonts w:hint="eastAsia"/>
                <w:color w:val="auto"/>
              </w:rPr>
              <w:t>月开始建设，202</w:t>
            </w:r>
            <w:r>
              <w:rPr>
                <w:rFonts w:hint="eastAsia"/>
                <w:color w:val="auto"/>
                <w:lang w:val="en-US" w:eastAsia="zh-CN"/>
              </w:rPr>
              <w:t>5</w:t>
            </w:r>
            <w:r>
              <w:rPr>
                <w:rFonts w:hint="eastAsia"/>
                <w:color w:val="auto"/>
              </w:rPr>
              <w:t>年</w:t>
            </w:r>
            <w:r>
              <w:rPr>
                <w:rFonts w:hint="eastAsia"/>
                <w:color w:val="auto"/>
                <w:lang w:val="en-US" w:eastAsia="zh-CN"/>
              </w:rPr>
              <w:t>5</w:t>
            </w:r>
            <w:r>
              <w:rPr>
                <w:rFonts w:hint="eastAsia"/>
                <w:color w:val="auto"/>
              </w:rPr>
              <w:t>月完工投入运行；项目施工期主要污染集中在建井工程。建设项目在施工期间，各项施工活动将会对周围的环境产生影响，主要来自施工扬尘、施工机械及车辆废气；施工活动及施工人员生活废水；施工噪声；施工产生的建筑垃圾及弃土、生活垃圾等固体废物；工程临时占地对生态环境的影响等。施工期间存在的主要问题有以下方面：</w:t>
            </w:r>
          </w:p>
          <w:p w14:paraId="7A0CE481">
            <w:pPr>
              <w:pStyle w:val="22"/>
              <w:bidi w:val="0"/>
              <w:rPr>
                <w:rFonts w:hint="eastAsia"/>
                <w:color w:val="auto"/>
              </w:rPr>
            </w:pPr>
            <w:r>
              <w:rPr>
                <w:rFonts w:hint="eastAsia"/>
                <w:color w:val="auto"/>
              </w:rPr>
              <w:t>为防止建设项目在建设期间发生上述环境污染的现象，使建设项目在建设期间对周围环境的影响尽可能小，建议采取以下的污染防治措施：</w:t>
            </w:r>
          </w:p>
          <w:p w14:paraId="6AD2743A">
            <w:pPr>
              <w:pStyle w:val="22"/>
              <w:bidi w:val="0"/>
              <w:rPr>
                <w:rFonts w:hint="eastAsia"/>
                <w:b/>
                <w:bCs/>
                <w:color w:val="auto"/>
              </w:rPr>
            </w:pPr>
            <w:r>
              <w:rPr>
                <w:rFonts w:hint="eastAsia"/>
                <w:b/>
                <w:bCs/>
                <w:color w:val="auto"/>
              </w:rPr>
              <w:t>1、废气</w:t>
            </w:r>
          </w:p>
          <w:p w14:paraId="605353F0">
            <w:pPr>
              <w:pStyle w:val="22"/>
              <w:bidi w:val="0"/>
              <w:rPr>
                <w:rFonts w:hint="eastAsia"/>
                <w:color w:val="auto"/>
              </w:rPr>
            </w:pPr>
            <w:r>
              <w:rPr>
                <w:rFonts w:hint="eastAsia"/>
                <w:color w:val="auto"/>
              </w:rPr>
              <w:t>（1）扬尘</w:t>
            </w:r>
          </w:p>
          <w:p w14:paraId="3D74CCA1">
            <w:pPr>
              <w:pStyle w:val="22"/>
              <w:bidi w:val="0"/>
              <w:rPr>
                <w:rFonts w:hint="eastAsia"/>
                <w:color w:val="auto"/>
              </w:rPr>
            </w:pPr>
            <w:r>
              <w:rPr>
                <w:rFonts w:hint="eastAsia"/>
                <w:color w:val="auto"/>
              </w:rPr>
              <w:t>①来源</w:t>
            </w:r>
          </w:p>
          <w:p w14:paraId="2AF806A0">
            <w:pPr>
              <w:pStyle w:val="22"/>
              <w:bidi w:val="0"/>
              <w:rPr>
                <w:rFonts w:hint="eastAsia"/>
                <w:color w:val="auto"/>
              </w:rPr>
            </w:pPr>
            <w:r>
              <w:rPr>
                <w:rFonts w:hint="eastAsia"/>
                <w:color w:val="auto"/>
              </w:rPr>
              <w:t>施工期对区域大气环境的影响主要是扬尘污染，污染因子为TSP。在施工过程中扬尘污染主要来源于施工管沟开挖、土方堆放及回填时产生的粉尘；运输车辆造成的二次扬尘等。</w:t>
            </w:r>
          </w:p>
          <w:p w14:paraId="34BACD59">
            <w:pPr>
              <w:pStyle w:val="22"/>
              <w:bidi w:val="0"/>
              <w:rPr>
                <w:rFonts w:hint="eastAsia"/>
                <w:color w:val="auto"/>
              </w:rPr>
            </w:pPr>
            <w:r>
              <w:rPr>
                <w:rFonts w:hint="eastAsia"/>
                <w:color w:val="auto"/>
              </w:rPr>
              <w:t>②影响范围和程度</w:t>
            </w:r>
          </w:p>
          <w:p w14:paraId="2DDA402F">
            <w:pPr>
              <w:pStyle w:val="22"/>
              <w:bidi w:val="0"/>
              <w:rPr>
                <w:rFonts w:hint="eastAsia" w:ascii="宋体" w:hAnsi="宋体" w:cs="宋体"/>
                <w:bCs/>
                <w:color w:val="auto"/>
                <w:szCs w:val="21"/>
              </w:rPr>
            </w:pPr>
            <w:r>
              <w:rPr>
                <w:rFonts w:hint="eastAsia"/>
                <w:color w:val="auto"/>
              </w:rPr>
              <w:t>根据某施工场地实测资料，对本项目施工扬尘影响进行类比分析。类比监测结果见表4-1。</w:t>
            </w:r>
          </w:p>
          <w:p w14:paraId="398B4C6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w:t>
            </w:r>
            <w:r>
              <w:rPr>
                <w:rFonts w:hint="default" w:ascii="Times New Roman" w:hAnsi="Times New Roman" w:cs="Times New Roman"/>
                <w:b/>
                <w:bCs/>
                <w:color w:val="auto"/>
                <w:sz w:val="24"/>
                <w:szCs w:val="24"/>
                <w:lang w:val="en-US" w:eastAsia="zh-CN"/>
              </w:rPr>
              <w:t xml:space="preserve">4-1 </w:t>
            </w:r>
            <w:r>
              <w:rPr>
                <w:rFonts w:hint="default" w:ascii="Times New Roman" w:hAnsi="Times New Roman" w:cs="Times New Roman"/>
                <w:b/>
                <w:bCs/>
                <w:color w:val="auto"/>
                <w:sz w:val="24"/>
                <w:szCs w:val="24"/>
              </w:rPr>
              <w:t xml:space="preserve"> 施工期环境空气中TSP监测结果      单位：mg/m</w:t>
            </w:r>
            <w:r>
              <w:rPr>
                <w:rFonts w:hint="default" w:ascii="Times New Roman" w:hAnsi="Times New Roman" w:cs="Times New Roman"/>
                <w:b/>
                <w:bCs/>
                <w:color w:val="auto"/>
                <w:sz w:val="24"/>
                <w:szCs w:val="24"/>
                <w:vertAlign w:val="superscript"/>
              </w:rPr>
              <w:t>3</w:t>
            </w:r>
          </w:p>
          <w:tbl>
            <w:tblPr>
              <w:tblStyle w:val="15"/>
              <w:tblW w:w="505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1" w:type="dxa"/>
                <w:bottom w:w="0" w:type="dxa"/>
                <w:right w:w="11" w:type="dxa"/>
              </w:tblCellMar>
            </w:tblPr>
            <w:tblGrid>
              <w:gridCol w:w="1294"/>
              <w:gridCol w:w="1539"/>
              <w:gridCol w:w="1417"/>
              <w:gridCol w:w="1406"/>
              <w:gridCol w:w="1286"/>
              <w:gridCol w:w="1286"/>
            </w:tblGrid>
            <w:tr w14:paraId="31D45A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97" w:hRule="atLeast"/>
                <w:jc w:val="center"/>
              </w:trPr>
              <w:tc>
                <w:tcPr>
                  <w:tcW w:w="1239" w:type="dxa"/>
                  <w:vMerge w:val="restart"/>
                  <w:tcBorders>
                    <w:tl2br w:val="nil"/>
                    <w:tr2bl w:val="nil"/>
                  </w:tcBorders>
                  <w:noWrap w:val="0"/>
                  <w:vAlign w:val="center"/>
                </w:tcPr>
                <w:p w14:paraId="54B4185A">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监测点位</w:t>
                  </w:r>
                </w:p>
              </w:tc>
              <w:tc>
                <w:tcPr>
                  <w:tcW w:w="1474" w:type="dxa"/>
                  <w:tcBorders>
                    <w:tl2br w:val="nil"/>
                    <w:tr2bl w:val="nil"/>
                  </w:tcBorders>
                  <w:noWrap w:val="0"/>
                  <w:vAlign w:val="center"/>
                </w:tcPr>
                <w:p w14:paraId="126852C4">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上风向</w:t>
                  </w:r>
                </w:p>
              </w:tc>
              <w:tc>
                <w:tcPr>
                  <w:tcW w:w="5165" w:type="dxa"/>
                  <w:gridSpan w:val="4"/>
                  <w:tcBorders>
                    <w:tl2br w:val="nil"/>
                    <w:tr2bl w:val="nil"/>
                  </w:tcBorders>
                  <w:noWrap w:val="0"/>
                  <w:vAlign w:val="center"/>
                </w:tcPr>
                <w:p w14:paraId="3AC2211C">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下风向</w:t>
                  </w:r>
                </w:p>
              </w:tc>
            </w:tr>
            <w:tr w14:paraId="25ADFA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97" w:hRule="atLeast"/>
                <w:jc w:val="center"/>
              </w:trPr>
              <w:tc>
                <w:tcPr>
                  <w:tcW w:w="1239" w:type="dxa"/>
                  <w:vMerge w:val="continue"/>
                  <w:tcBorders>
                    <w:tl2br w:val="nil"/>
                    <w:tr2bl w:val="nil"/>
                  </w:tcBorders>
                  <w:noWrap w:val="0"/>
                  <w:vAlign w:val="center"/>
                </w:tcPr>
                <w:p w14:paraId="7C13C207">
                  <w:pPr>
                    <w:bidi w:val="0"/>
                    <w:jc w:val="center"/>
                    <w:rPr>
                      <w:rFonts w:hint="default" w:ascii="Times New Roman" w:hAnsi="Times New Roman" w:cs="Times New Roman"/>
                      <w:b w:val="0"/>
                      <w:bCs w:val="0"/>
                      <w:color w:val="auto"/>
                    </w:rPr>
                  </w:pPr>
                </w:p>
              </w:tc>
              <w:tc>
                <w:tcPr>
                  <w:tcW w:w="1474" w:type="dxa"/>
                  <w:tcBorders>
                    <w:tl2br w:val="nil"/>
                    <w:tr2bl w:val="nil"/>
                  </w:tcBorders>
                  <w:noWrap w:val="0"/>
                  <w:vAlign w:val="center"/>
                </w:tcPr>
                <w:p w14:paraId="5D8FAE50">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1号点</w:t>
                  </w:r>
                </w:p>
              </w:tc>
              <w:tc>
                <w:tcPr>
                  <w:tcW w:w="1357" w:type="dxa"/>
                  <w:tcBorders>
                    <w:tl2br w:val="nil"/>
                    <w:tr2bl w:val="nil"/>
                  </w:tcBorders>
                  <w:noWrap w:val="0"/>
                  <w:vAlign w:val="center"/>
                </w:tcPr>
                <w:p w14:paraId="1A0FDDF9">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2号点</w:t>
                  </w:r>
                </w:p>
              </w:tc>
              <w:tc>
                <w:tcPr>
                  <w:tcW w:w="1346" w:type="dxa"/>
                  <w:tcBorders>
                    <w:tl2br w:val="nil"/>
                    <w:tr2bl w:val="nil"/>
                  </w:tcBorders>
                  <w:noWrap w:val="0"/>
                  <w:vAlign w:val="center"/>
                </w:tcPr>
                <w:p w14:paraId="05379059">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3号点</w:t>
                  </w:r>
                </w:p>
              </w:tc>
              <w:tc>
                <w:tcPr>
                  <w:tcW w:w="1231" w:type="dxa"/>
                  <w:tcBorders>
                    <w:tl2br w:val="nil"/>
                    <w:tr2bl w:val="nil"/>
                  </w:tcBorders>
                  <w:noWrap w:val="0"/>
                  <w:vAlign w:val="center"/>
                </w:tcPr>
                <w:p w14:paraId="42FE0DCB">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4号点</w:t>
                  </w:r>
                </w:p>
              </w:tc>
              <w:tc>
                <w:tcPr>
                  <w:tcW w:w="1231" w:type="dxa"/>
                  <w:tcBorders>
                    <w:tl2br w:val="nil"/>
                    <w:tr2bl w:val="nil"/>
                  </w:tcBorders>
                  <w:noWrap w:val="0"/>
                  <w:vAlign w:val="center"/>
                </w:tcPr>
                <w:p w14:paraId="616FE01B">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5号点</w:t>
                  </w:r>
                </w:p>
              </w:tc>
            </w:tr>
            <w:tr w14:paraId="0E2BC7E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97" w:hRule="atLeast"/>
                <w:jc w:val="center"/>
              </w:trPr>
              <w:tc>
                <w:tcPr>
                  <w:tcW w:w="1239" w:type="dxa"/>
                  <w:tcBorders>
                    <w:tl2br w:val="nil"/>
                    <w:tr2bl w:val="nil"/>
                  </w:tcBorders>
                  <w:noWrap w:val="0"/>
                  <w:vAlign w:val="center"/>
                </w:tcPr>
                <w:p w14:paraId="167B90B5">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距尘源点距离</w:t>
                  </w:r>
                </w:p>
              </w:tc>
              <w:tc>
                <w:tcPr>
                  <w:tcW w:w="1474" w:type="dxa"/>
                  <w:tcBorders>
                    <w:tl2br w:val="nil"/>
                    <w:tr2bl w:val="nil"/>
                  </w:tcBorders>
                  <w:noWrap w:val="0"/>
                  <w:vAlign w:val="center"/>
                </w:tcPr>
                <w:p w14:paraId="6E665282">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20m</w:t>
                  </w:r>
                </w:p>
              </w:tc>
              <w:tc>
                <w:tcPr>
                  <w:tcW w:w="1357" w:type="dxa"/>
                  <w:tcBorders>
                    <w:tl2br w:val="nil"/>
                    <w:tr2bl w:val="nil"/>
                  </w:tcBorders>
                  <w:noWrap w:val="0"/>
                  <w:vAlign w:val="center"/>
                </w:tcPr>
                <w:p w14:paraId="3F8EA29B">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10m</w:t>
                  </w:r>
                </w:p>
              </w:tc>
              <w:tc>
                <w:tcPr>
                  <w:tcW w:w="1346" w:type="dxa"/>
                  <w:tcBorders>
                    <w:tl2br w:val="nil"/>
                    <w:tr2bl w:val="nil"/>
                  </w:tcBorders>
                  <w:noWrap w:val="0"/>
                  <w:vAlign w:val="center"/>
                </w:tcPr>
                <w:p w14:paraId="2939FA8C">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50m</w:t>
                  </w:r>
                </w:p>
              </w:tc>
              <w:tc>
                <w:tcPr>
                  <w:tcW w:w="1231" w:type="dxa"/>
                  <w:tcBorders>
                    <w:tl2br w:val="nil"/>
                    <w:tr2bl w:val="nil"/>
                  </w:tcBorders>
                  <w:noWrap w:val="0"/>
                  <w:vAlign w:val="center"/>
                </w:tcPr>
                <w:p w14:paraId="0EAA4F36">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100m</w:t>
                  </w:r>
                </w:p>
              </w:tc>
              <w:tc>
                <w:tcPr>
                  <w:tcW w:w="1231" w:type="dxa"/>
                  <w:tcBorders>
                    <w:tl2br w:val="nil"/>
                    <w:tr2bl w:val="nil"/>
                  </w:tcBorders>
                  <w:noWrap w:val="0"/>
                  <w:vAlign w:val="center"/>
                </w:tcPr>
                <w:p w14:paraId="0659AD02">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200m</w:t>
                  </w:r>
                </w:p>
              </w:tc>
            </w:tr>
            <w:tr w14:paraId="60B3947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97" w:hRule="atLeast"/>
                <w:jc w:val="center"/>
              </w:trPr>
              <w:tc>
                <w:tcPr>
                  <w:tcW w:w="1239" w:type="dxa"/>
                  <w:tcBorders>
                    <w:tl2br w:val="nil"/>
                    <w:tr2bl w:val="nil"/>
                  </w:tcBorders>
                  <w:noWrap w:val="0"/>
                  <w:vAlign w:val="center"/>
                </w:tcPr>
                <w:p w14:paraId="59CA0217">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浓度值</w:t>
                  </w:r>
                </w:p>
              </w:tc>
              <w:tc>
                <w:tcPr>
                  <w:tcW w:w="1474" w:type="dxa"/>
                  <w:tcBorders>
                    <w:tl2br w:val="nil"/>
                    <w:tr2bl w:val="nil"/>
                  </w:tcBorders>
                  <w:noWrap w:val="0"/>
                  <w:vAlign w:val="center"/>
                </w:tcPr>
                <w:p w14:paraId="01D5BA47">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0.244～0.269</w:t>
                  </w:r>
                </w:p>
              </w:tc>
              <w:tc>
                <w:tcPr>
                  <w:tcW w:w="1357" w:type="dxa"/>
                  <w:tcBorders>
                    <w:tl2br w:val="nil"/>
                    <w:tr2bl w:val="nil"/>
                  </w:tcBorders>
                  <w:noWrap w:val="0"/>
                  <w:vAlign w:val="center"/>
                </w:tcPr>
                <w:p w14:paraId="6ACF6C74">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2.176～3.435</w:t>
                  </w:r>
                </w:p>
              </w:tc>
              <w:tc>
                <w:tcPr>
                  <w:tcW w:w="1346" w:type="dxa"/>
                  <w:tcBorders>
                    <w:tl2br w:val="nil"/>
                    <w:tr2bl w:val="nil"/>
                  </w:tcBorders>
                  <w:noWrap w:val="0"/>
                  <w:vAlign w:val="center"/>
                </w:tcPr>
                <w:p w14:paraId="2BA3BCD4">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0.856～1.491</w:t>
                  </w:r>
                </w:p>
              </w:tc>
              <w:tc>
                <w:tcPr>
                  <w:tcW w:w="1231" w:type="dxa"/>
                  <w:tcBorders>
                    <w:tl2br w:val="nil"/>
                    <w:tr2bl w:val="nil"/>
                  </w:tcBorders>
                  <w:noWrap w:val="0"/>
                  <w:vAlign w:val="center"/>
                </w:tcPr>
                <w:p w14:paraId="2FD1CF10">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0.416～0.513</w:t>
                  </w:r>
                </w:p>
              </w:tc>
              <w:tc>
                <w:tcPr>
                  <w:tcW w:w="1231" w:type="dxa"/>
                  <w:tcBorders>
                    <w:tl2br w:val="nil"/>
                    <w:tr2bl w:val="nil"/>
                  </w:tcBorders>
                  <w:noWrap w:val="0"/>
                  <w:vAlign w:val="center"/>
                </w:tcPr>
                <w:p w14:paraId="3F290C15">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0.250～0.258</w:t>
                  </w:r>
                </w:p>
              </w:tc>
            </w:tr>
            <w:tr w14:paraId="1E3EDC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397" w:hRule="atLeast"/>
                <w:jc w:val="center"/>
              </w:trPr>
              <w:tc>
                <w:tcPr>
                  <w:tcW w:w="1239" w:type="dxa"/>
                  <w:tcBorders>
                    <w:tl2br w:val="nil"/>
                    <w:tr2bl w:val="nil"/>
                  </w:tcBorders>
                  <w:noWrap w:val="0"/>
                  <w:vAlign w:val="center"/>
                </w:tcPr>
                <w:p w14:paraId="6E8D0395">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标准值</w:t>
                  </w:r>
                </w:p>
              </w:tc>
              <w:tc>
                <w:tcPr>
                  <w:tcW w:w="6639" w:type="dxa"/>
                  <w:gridSpan w:val="5"/>
                  <w:tcBorders>
                    <w:tl2br w:val="nil"/>
                    <w:tr2bl w:val="nil"/>
                  </w:tcBorders>
                  <w:noWrap w:val="0"/>
                  <w:vAlign w:val="center"/>
                </w:tcPr>
                <w:p w14:paraId="2C225B81">
                  <w:pPr>
                    <w:bidi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1.0</w:t>
                  </w:r>
                </w:p>
              </w:tc>
            </w:tr>
          </w:tbl>
          <w:p w14:paraId="06171D44">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color w:val="auto"/>
              </w:rPr>
            </w:pPr>
            <w:r>
              <w:rPr>
                <w:rFonts w:hint="eastAsia"/>
                <w:color w:val="auto"/>
              </w:rPr>
              <w:t>由表4-1可知，施工场地及其下风距离50m范围内，环境空气中TSP最大超标2.44倍，100m以外TSP浓度符合监控浓度值，表明施工扬尘对施工场地50m范围内影响较大。</w:t>
            </w:r>
          </w:p>
          <w:p w14:paraId="742BE8A2">
            <w:pPr>
              <w:pStyle w:val="22"/>
              <w:keepNext w:val="0"/>
              <w:keepLines w:val="0"/>
              <w:pageBreakBefore w:val="0"/>
              <w:widowControl w:val="0"/>
              <w:kinsoku/>
              <w:wordWrap/>
              <w:overflowPunct/>
              <w:topLinePunct w:val="0"/>
              <w:autoSpaceDE/>
              <w:autoSpaceDN/>
              <w:bidi w:val="0"/>
              <w:adjustRightInd/>
              <w:snapToGrid/>
              <w:textAlignment w:val="auto"/>
              <w:rPr>
                <w:rFonts w:hint="eastAsia"/>
                <w:color w:val="auto"/>
              </w:rPr>
            </w:pPr>
            <w:r>
              <w:rPr>
                <w:rFonts w:hint="eastAsia"/>
                <w:color w:val="auto"/>
              </w:rPr>
              <w:t>③扬尘治理措施</w:t>
            </w:r>
          </w:p>
          <w:p w14:paraId="08F05AAF">
            <w:pPr>
              <w:pStyle w:val="22"/>
              <w:keepNext w:val="0"/>
              <w:keepLines w:val="0"/>
              <w:pageBreakBefore w:val="0"/>
              <w:widowControl w:val="0"/>
              <w:kinsoku/>
              <w:wordWrap/>
              <w:overflowPunct/>
              <w:topLinePunct w:val="0"/>
              <w:autoSpaceDE/>
              <w:autoSpaceDN/>
              <w:bidi w:val="0"/>
              <w:adjustRightInd/>
              <w:snapToGrid/>
              <w:textAlignment w:val="auto"/>
              <w:rPr>
                <w:rFonts w:hint="eastAsia"/>
                <w:color w:val="auto"/>
              </w:rPr>
            </w:pPr>
            <w:r>
              <w:rPr>
                <w:rFonts w:hint="eastAsia"/>
                <w:color w:val="auto"/>
              </w:rPr>
              <w:t>为了改善环境空气质量，加强扬尘污染控制，评价建议本项目严格执行</w:t>
            </w:r>
            <w:r>
              <w:rPr>
                <w:rFonts w:hint="eastAsia"/>
                <w:color w:val="auto"/>
                <w:lang w:eastAsia="zh-CN"/>
              </w:rPr>
              <w:t>《</w:t>
            </w:r>
            <w:r>
              <w:rPr>
                <w:rFonts w:hint="eastAsia"/>
                <w:color w:val="auto"/>
              </w:rPr>
              <w:t>陕西省建筑施工扬尘治理行动方案</w:t>
            </w:r>
            <w:r>
              <w:rPr>
                <w:rFonts w:hint="eastAsia"/>
                <w:color w:val="auto"/>
                <w:lang w:eastAsia="zh-CN"/>
              </w:rPr>
              <w:t>》</w:t>
            </w:r>
            <w:r>
              <w:rPr>
                <w:rFonts w:hint="eastAsia"/>
                <w:color w:val="auto"/>
              </w:rPr>
              <w:t>等相关政策规定，并采取扬尘污染控制措施，以减缓施工扬尘对大气环境的影响。在采取措施后，施工现场扬尘将得到有效控制，施工扬尘影响为短期影响，施工结束后区域环境空气质量基本可以恢复至现状水平，因此施工期扬尘对周围环境影响小。</w:t>
            </w:r>
          </w:p>
          <w:p w14:paraId="40E15F97">
            <w:pPr>
              <w:pStyle w:val="22"/>
              <w:bidi w:val="0"/>
              <w:rPr>
                <w:rFonts w:hint="eastAsia"/>
                <w:color w:val="auto"/>
              </w:rPr>
            </w:pPr>
            <w:r>
              <w:rPr>
                <w:rFonts w:hint="eastAsia"/>
                <w:color w:val="auto"/>
              </w:rPr>
              <w:t>（2）施工机械及车辆废气</w:t>
            </w:r>
          </w:p>
          <w:p w14:paraId="32ECA8E8">
            <w:pPr>
              <w:pStyle w:val="22"/>
              <w:bidi w:val="0"/>
              <w:rPr>
                <w:rFonts w:hint="eastAsia"/>
                <w:color w:val="auto"/>
              </w:rPr>
            </w:pPr>
            <w:r>
              <w:rPr>
                <w:rFonts w:hint="eastAsia"/>
                <w:color w:val="auto"/>
              </w:rPr>
              <w:t>本项目钻井过程中不使用柴油发电机，少量施工机械及汽车尾气污染物主要为NO</w:t>
            </w:r>
            <w:r>
              <w:rPr>
                <w:rFonts w:hint="eastAsia"/>
                <w:color w:val="auto"/>
                <w:lang w:val="en-US" w:eastAsia="zh-CN"/>
              </w:rPr>
              <w:t>x</w:t>
            </w:r>
            <w:r>
              <w:rPr>
                <w:rFonts w:hint="eastAsia"/>
                <w:color w:val="auto"/>
              </w:rPr>
              <w:t>、CO、THC等，以上废气产生的量不大，随着施工的结束，废气排放随之停止，大气中污染物浓度将逐步降低，对区域环境的影响较小。</w:t>
            </w:r>
          </w:p>
          <w:p w14:paraId="7F2A53CA">
            <w:pPr>
              <w:pStyle w:val="22"/>
              <w:bidi w:val="0"/>
              <w:rPr>
                <w:rFonts w:hint="eastAsia"/>
                <w:b/>
                <w:bCs/>
                <w:color w:val="auto"/>
              </w:rPr>
            </w:pPr>
            <w:r>
              <w:rPr>
                <w:rFonts w:hint="eastAsia"/>
                <w:b/>
                <w:bCs/>
                <w:color w:val="auto"/>
              </w:rPr>
              <w:t>2、废水</w:t>
            </w:r>
          </w:p>
          <w:p w14:paraId="756AA1AC">
            <w:pPr>
              <w:pStyle w:val="22"/>
              <w:bidi w:val="0"/>
              <w:rPr>
                <w:rFonts w:hint="eastAsia"/>
                <w:color w:val="auto"/>
              </w:rPr>
            </w:pPr>
            <w:r>
              <w:rPr>
                <w:rFonts w:hint="eastAsia"/>
                <w:color w:val="auto"/>
              </w:rPr>
              <w:t>（1）钻井废水</w:t>
            </w:r>
          </w:p>
          <w:p w14:paraId="2A715DC8">
            <w:pPr>
              <w:pStyle w:val="22"/>
              <w:bidi w:val="0"/>
              <w:rPr>
                <w:rFonts w:hint="eastAsia" w:eastAsia="宋体"/>
                <w:color w:val="auto"/>
                <w:lang w:eastAsia="zh-CN"/>
              </w:rPr>
            </w:pPr>
            <w:r>
              <w:rPr>
                <w:rFonts w:hint="eastAsia"/>
                <w:color w:val="auto"/>
              </w:rPr>
              <w:t>钻井废水主要来源于钻井过程中产生的机械废水、钻井液废水、洗井废水等，废水中主要污染物为SS、COD、石油类等。钻井废水的产生量随着井深和钻井周期变化而变化。本项目采用气举洗井</w:t>
            </w:r>
            <w:r>
              <w:rPr>
                <w:rFonts w:hint="eastAsia"/>
                <w:color w:val="auto"/>
                <w:lang w:eastAsia="zh-CN"/>
              </w:rPr>
              <w:t>，产生的洗井废水中含少量钻井泥浆和悬浮物，对环境影响小。‌</w:t>
            </w:r>
          </w:p>
          <w:p w14:paraId="20C2A89D">
            <w:pPr>
              <w:pStyle w:val="22"/>
              <w:bidi w:val="0"/>
              <w:rPr>
                <w:rFonts w:hint="eastAsia"/>
                <w:color w:val="auto"/>
              </w:rPr>
            </w:pPr>
            <w:r>
              <w:rPr>
                <w:rFonts w:hint="eastAsia"/>
                <w:color w:val="auto"/>
              </w:rPr>
              <w:t>根据企业提供资料，本项目井场钻井废水约1</w:t>
            </w:r>
            <w:r>
              <w:rPr>
                <w:rFonts w:hint="eastAsia"/>
                <w:color w:val="auto"/>
                <w:lang w:val="en-US" w:eastAsia="zh-CN"/>
              </w:rPr>
              <w:t>00</w:t>
            </w:r>
            <w:r>
              <w:rPr>
                <w:rFonts w:hint="eastAsia"/>
                <w:color w:val="auto"/>
              </w:rPr>
              <w:t>m</w:t>
            </w:r>
            <w:r>
              <w:rPr>
                <w:rFonts w:hint="eastAsia"/>
                <w:color w:val="auto"/>
                <w:vertAlign w:val="superscript"/>
              </w:rPr>
              <w:t>3</w:t>
            </w:r>
            <w:r>
              <w:rPr>
                <w:rFonts w:hint="eastAsia"/>
                <w:color w:val="auto"/>
              </w:rPr>
              <w:t>。钻井废水排入井场防渗</w:t>
            </w:r>
            <w:r>
              <w:rPr>
                <w:rFonts w:hint="eastAsia"/>
                <w:color w:val="auto"/>
                <w:lang w:eastAsia="zh-CN"/>
              </w:rPr>
              <w:t>泥浆罐</w:t>
            </w:r>
            <w:r>
              <w:rPr>
                <w:rFonts w:hint="eastAsia"/>
                <w:color w:val="auto"/>
              </w:rPr>
              <w:t>用于配制泥浆，循环使用，钻井结束后与废弃泥浆一起固化处置。钻井废水主要有以下特征：</w:t>
            </w:r>
          </w:p>
          <w:p w14:paraId="7D7D477C">
            <w:pPr>
              <w:pStyle w:val="22"/>
              <w:bidi w:val="0"/>
              <w:rPr>
                <w:rFonts w:hint="eastAsia"/>
                <w:color w:val="auto"/>
              </w:rPr>
            </w:pPr>
            <w:r>
              <w:rPr>
                <w:rFonts w:hint="eastAsia"/>
                <w:color w:val="auto"/>
              </w:rPr>
              <w:t>①偏碱性，pH值大多8.0-9.0；</w:t>
            </w:r>
          </w:p>
          <w:p w14:paraId="1D21CA1E">
            <w:pPr>
              <w:pStyle w:val="22"/>
              <w:bidi w:val="0"/>
              <w:rPr>
                <w:rFonts w:hint="eastAsia"/>
                <w:color w:val="auto"/>
              </w:rPr>
            </w:pPr>
            <w:r>
              <w:rPr>
                <w:rFonts w:hint="eastAsia"/>
                <w:color w:val="auto"/>
              </w:rPr>
              <w:t>②悬浮物含量高，在钻井液中含有大量的黏土，同时钻井液在循环过程中还携带了一些钻井岩屑，这些固体颗粒很容易进入钻井废水。</w:t>
            </w:r>
          </w:p>
          <w:p w14:paraId="30F7544F">
            <w:pPr>
              <w:pStyle w:val="22"/>
              <w:bidi w:val="0"/>
              <w:rPr>
                <w:rFonts w:hint="eastAsia"/>
                <w:color w:val="auto"/>
              </w:rPr>
            </w:pPr>
            <w:r>
              <w:rPr>
                <w:rFonts w:hint="eastAsia"/>
                <w:color w:val="auto"/>
              </w:rPr>
              <w:t>③根据类比调查，钻井废水中COD、悬浮物浓度较高；COD浓度100-500mg/L，悬浮物浓度170-850mg/L。</w:t>
            </w:r>
          </w:p>
          <w:p w14:paraId="51F099AB">
            <w:pPr>
              <w:pStyle w:val="22"/>
              <w:bidi w:val="0"/>
              <w:rPr>
                <w:rFonts w:hint="eastAsia"/>
                <w:color w:val="auto"/>
              </w:rPr>
            </w:pPr>
            <w:r>
              <w:rPr>
                <w:rFonts w:hint="eastAsia"/>
                <w:color w:val="auto"/>
              </w:rPr>
              <w:t>（2）抽水试验废水</w:t>
            </w:r>
          </w:p>
          <w:p w14:paraId="418AB334">
            <w:pPr>
              <w:pStyle w:val="22"/>
              <w:bidi w:val="0"/>
              <w:rPr>
                <w:rFonts w:hint="eastAsia"/>
                <w:color w:val="auto"/>
              </w:rPr>
            </w:pPr>
            <w:r>
              <w:rPr>
                <w:rFonts w:hint="eastAsia"/>
                <w:color w:val="auto"/>
              </w:rPr>
              <w:t>地热井完工后进行抽水试验，抽水时长三次分别为48h、24h、8h，出水按</w:t>
            </w:r>
            <w:r>
              <w:rPr>
                <w:rFonts w:hint="eastAsia"/>
                <w:color w:val="auto"/>
                <w:lang w:val="en-US" w:eastAsia="zh-CN"/>
              </w:rPr>
              <w:t>50</w:t>
            </w:r>
            <w:r>
              <w:rPr>
                <w:rFonts w:hint="eastAsia"/>
                <w:color w:val="auto"/>
              </w:rPr>
              <w:t>m</w:t>
            </w:r>
            <w:r>
              <w:rPr>
                <w:rFonts w:hint="eastAsia"/>
                <w:color w:val="auto"/>
                <w:vertAlign w:val="superscript"/>
              </w:rPr>
              <w:t>3</w:t>
            </w:r>
            <w:r>
              <w:rPr>
                <w:rFonts w:hint="eastAsia"/>
                <w:color w:val="auto"/>
              </w:rPr>
              <w:t>/h，则抽水总量约为</w:t>
            </w:r>
            <w:r>
              <w:rPr>
                <w:rFonts w:hint="eastAsia"/>
                <w:color w:val="auto"/>
                <w:lang w:val="en-US" w:eastAsia="zh-CN"/>
              </w:rPr>
              <w:t>4000</w:t>
            </w:r>
            <w:r>
              <w:rPr>
                <w:rFonts w:hint="eastAsia"/>
                <w:color w:val="auto"/>
              </w:rPr>
              <w:t>m</w:t>
            </w:r>
            <w:r>
              <w:rPr>
                <w:rFonts w:hint="eastAsia"/>
                <w:color w:val="auto"/>
                <w:vertAlign w:val="superscript"/>
              </w:rPr>
              <w:t>3</w:t>
            </w:r>
            <w:r>
              <w:rPr>
                <w:rFonts w:hint="eastAsia"/>
                <w:color w:val="auto"/>
              </w:rPr>
              <w:t>。</w:t>
            </w:r>
            <w:r>
              <w:rPr>
                <w:rFonts w:hint="eastAsia"/>
                <w:color w:val="auto"/>
                <w:lang w:val="en-US" w:eastAsia="zh-CN"/>
              </w:rPr>
              <w:t>抽水试验废水在罐池中储存，</w:t>
            </w:r>
            <w:r>
              <w:rPr>
                <w:rFonts w:hint="eastAsia"/>
                <w:color w:val="auto"/>
              </w:rPr>
              <w:t>温</w:t>
            </w:r>
            <w:r>
              <w:rPr>
                <w:rFonts w:hint="eastAsia"/>
                <w:color w:val="auto"/>
                <w:lang w:eastAsia="zh-CN"/>
              </w:rPr>
              <w:t>降</w:t>
            </w:r>
            <w:r>
              <w:rPr>
                <w:rFonts w:hint="eastAsia"/>
                <w:color w:val="auto"/>
                <w:lang w:val="en-US" w:eastAsia="zh-CN"/>
              </w:rPr>
              <w:t>后由专业公司转运处置。</w:t>
            </w:r>
          </w:p>
          <w:p w14:paraId="2049285A">
            <w:pPr>
              <w:pStyle w:val="22"/>
              <w:bidi w:val="0"/>
              <w:rPr>
                <w:rFonts w:hint="eastAsia"/>
                <w:color w:val="auto"/>
              </w:rPr>
            </w:pPr>
            <w:r>
              <w:rPr>
                <w:rFonts w:hint="eastAsia"/>
                <w:color w:val="auto"/>
              </w:rPr>
              <w:t>（3）管道试压废水</w:t>
            </w:r>
          </w:p>
          <w:p w14:paraId="79B87B2D">
            <w:pPr>
              <w:pStyle w:val="22"/>
              <w:bidi w:val="0"/>
              <w:rPr>
                <w:rFonts w:hint="eastAsia"/>
                <w:color w:val="auto"/>
              </w:rPr>
            </w:pPr>
            <w:r>
              <w:rPr>
                <w:rFonts w:hint="eastAsia"/>
                <w:color w:val="auto"/>
              </w:rPr>
              <w:t>供热管道敷设完毕，将对管道充水试压以检验其密闭性。</w:t>
            </w:r>
            <w:r>
              <w:rPr>
                <w:rFonts w:hint="eastAsia"/>
                <w:color w:val="auto"/>
                <w:lang w:val="en-US" w:eastAsia="zh-CN"/>
              </w:rPr>
              <w:t>回灌管道试压使用地热尾水进行试压，</w:t>
            </w:r>
            <w:r>
              <w:rPr>
                <w:rFonts w:hint="eastAsia"/>
                <w:color w:val="auto"/>
                <w:lang w:eastAsia="zh-CN"/>
              </w:rPr>
              <w:t>废水产生总量约</w:t>
            </w:r>
            <w:r>
              <w:rPr>
                <w:rFonts w:hint="eastAsia"/>
                <w:color w:val="auto"/>
                <w:lang w:val="en-US" w:eastAsia="zh-CN"/>
              </w:rPr>
              <w:t>10</w:t>
            </w:r>
            <w:r>
              <w:rPr>
                <w:rFonts w:hint="eastAsia"/>
                <w:color w:val="auto"/>
                <w:lang w:eastAsia="zh-CN"/>
              </w:rPr>
              <w:t>m</w:t>
            </w:r>
            <w:r>
              <w:rPr>
                <w:rFonts w:hint="eastAsia"/>
                <w:color w:val="auto"/>
                <w:vertAlign w:val="superscript"/>
                <w:lang w:eastAsia="zh-CN"/>
              </w:rPr>
              <w:t>3</w:t>
            </w:r>
            <w:r>
              <w:rPr>
                <w:rFonts w:hint="eastAsia"/>
                <w:color w:val="auto"/>
                <w:lang w:eastAsia="zh-CN"/>
              </w:rPr>
              <w:t>，</w:t>
            </w:r>
            <w:r>
              <w:rPr>
                <w:rFonts w:hint="eastAsia"/>
                <w:color w:val="auto"/>
                <w:lang w:val="en-US" w:eastAsia="zh-CN"/>
              </w:rPr>
              <w:t>试压后回灌至回灌井</w:t>
            </w:r>
            <w:r>
              <w:rPr>
                <w:rFonts w:hint="eastAsia"/>
                <w:color w:val="auto"/>
                <w:lang w:eastAsia="zh-CN"/>
              </w:rPr>
              <w:t>。</w:t>
            </w:r>
          </w:p>
          <w:p w14:paraId="141F880A">
            <w:pPr>
              <w:pStyle w:val="22"/>
              <w:bidi w:val="0"/>
              <w:rPr>
                <w:rFonts w:hint="eastAsia"/>
                <w:color w:val="auto"/>
              </w:rPr>
            </w:pPr>
            <w:r>
              <w:rPr>
                <w:rFonts w:hint="eastAsia"/>
                <w:color w:val="auto"/>
              </w:rPr>
              <w:t>（4）生活污水</w:t>
            </w:r>
          </w:p>
          <w:p w14:paraId="0F81BDE5">
            <w:pPr>
              <w:pStyle w:val="22"/>
              <w:bidi w:val="0"/>
              <w:rPr>
                <w:rFonts w:hint="eastAsia"/>
                <w:color w:val="auto"/>
              </w:rPr>
            </w:pPr>
            <w:r>
              <w:rPr>
                <w:rFonts w:hint="eastAsia"/>
                <w:color w:val="auto"/>
              </w:rPr>
              <w:t>本项目整个施工期产生量</w:t>
            </w:r>
            <w:r>
              <w:rPr>
                <w:rFonts w:hint="eastAsia"/>
                <w:color w:val="auto"/>
                <w:lang w:val="en-US" w:eastAsia="zh-CN"/>
              </w:rPr>
              <w:t>86.4</w:t>
            </w:r>
            <w:r>
              <w:rPr>
                <w:rFonts w:hint="eastAsia"/>
                <w:color w:val="auto"/>
              </w:rPr>
              <w:t>m</w:t>
            </w:r>
            <w:r>
              <w:rPr>
                <w:rFonts w:hint="eastAsia"/>
                <w:color w:val="auto"/>
                <w:vertAlign w:val="superscript"/>
              </w:rPr>
              <w:t>3</w:t>
            </w:r>
            <w:r>
              <w:rPr>
                <w:rFonts w:hint="eastAsia"/>
                <w:color w:val="auto"/>
              </w:rPr>
              <w:t>。</w:t>
            </w:r>
            <w:r>
              <w:rPr>
                <w:rFonts w:hint="eastAsia"/>
                <w:color w:val="auto"/>
                <w:lang w:val="en-US" w:eastAsia="zh-CN"/>
              </w:rPr>
              <w:t>生活污水依托小区</w:t>
            </w:r>
            <w:r>
              <w:rPr>
                <w:rFonts w:hint="eastAsia"/>
                <w:color w:val="auto"/>
              </w:rPr>
              <w:t>化粪池处理后排入市政污水管网，最终进入西安净水处理有限责任公司第六再生水厂进行处理</w:t>
            </w:r>
            <w:r>
              <w:rPr>
                <w:rFonts w:hint="eastAsia"/>
                <w:color w:val="auto"/>
                <w:lang w:eastAsia="zh-CN"/>
              </w:rPr>
              <w:t>。</w:t>
            </w:r>
          </w:p>
          <w:p w14:paraId="0AE2B231">
            <w:pPr>
              <w:pStyle w:val="22"/>
              <w:bidi w:val="0"/>
              <w:rPr>
                <w:rFonts w:hint="eastAsia"/>
                <w:b/>
                <w:bCs/>
                <w:color w:val="auto"/>
              </w:rPr>
            </w:pPr>
            <w:r>
              <w:rPr>
                <w:rFonts w:hint="eastAsia"/>
                <w:b/>
                <w:bCs/>
                <w:color w:val="auto"/>
              </w:rPr>
              <w:t>3、地下水</w:t>
            </w:r>
          </w:p>
          <w:p w14:paraId="3CAC55F2">
            <w:pPr>
              <w:pStyle w:val="22"/>
              <w:bidi w:val="0"/>
              <w:rPr>
                <w:rFonts w:hint="eastAsia"/>
                <w:color w:val="auto"/>
              </w:rPr>
            </w:pPr>
            <w:r>
              <w:rPr>
                <w:rFonts w:hint="eastAsia"/>
                <w:color w:val="auto"/>
              </w:rPr>
              <w:t>地热井的施工，会将原来各自封闭的含水层打穿，使各含水层之间发生水力联系。如果在钻井过程中不采取严格的止水措施，钻井废水</w:t>
            </w:r>
            <w:r>
              <w:rPr>
                <w:rFonts w:hint="eastAsia"/>
                <w:color w:val="auto"/>
                <w:lang w:val="en-US" w:eastAsia="zh-CN"/>
              </w:rPr>
              <w:t>会</w:t>
            </w:r>
            <w:r>
              <w:rPr>
                <w:rFonts w:hint="eastAsia"/>
                <w:color w:val="auto"/>
              </w:rPr>
              <w:t>流入深部地层造成污染，或深层高矿化度、高水温的地热水流入浅层地下水造成热污染或</w:t>
            </w:r>
            <w:r>
              <w:rPr>
                <w:rFonts w:hint="eastAsia"/>
                <w:color w:val="auto"/>
                <w:lang w:eastAsia="zh-CN"/>
              </w:rPr>
              <w:t>其他</w:t>
            </w:r>
            <w:r>
              <w:rPr>
                <w:rFonts w:hint="eastAsia"/>
                <w:color w:val="auto"/>
              </w:rPr>
              <w:t>有害物质污染等。项目区取水井多自地下400m以内，钻井施工时，0～450m泵管外全部水泥固井，水泥返出地面；此外不仅对回灌层段、泵室管与技术管间进行有效的止水，同时在新近系与第四系地层间进行止水，以防止管外上下地层连通而造成地下水污染。</w:t>
            </w:r>
          </w:p>
          <w:p w14:paraId="67CC01D2">
            <w:pPr>
              <w:pStyle w:val="22"/>
              <w:bidi w:val="0"/>
              <w:rPr>
                <w:rFonts w:hint="eastAsia"/>
                <w:b/>
                <w:bCs/>
                <w:color w:val="auto"/>
              </w:rPr>
            </w:pPr>
            <w:r>
              <w:rPr>
                <w:rFonts w:hint="eastAsia"/>
                <w:b/>
                <w:bCs/>
                <w:color w:val="auto"/>
              </w:rPr>
              <w:t>4、噪声</w:t>
            </w:r>
          </w:p>
          <w:p w14:paraId="6F387B34">
            <w:pPr>
              <w:pStyle w:val="22"/>
              <w:bidi w:val="0"/>
              <w:rPr>
                <w:rFonts w:hint="eastAsia" w:ascii="宋体" w:hAnsi="宋体" w:cs="宋体"/>
                <w:bCs/>
                <w:color w:val="auto"/>
                <w:szCs w:val="21"/>
              </w:rPr>
            </w:pPr>
            <w:r>
              <w:rPr>
                <w:rFonts w:hint="eastAsia"/>
                <w:color w:val="auto"/>
              </w:rPr>
              <w:t>施工期主要噪声源为钻井作业中的泥浆泵、钻机、运输车辆等，噪声影响较明显。根据类比监测，施工期主要噪声源见表4-2、主要施工机械达到噪声限值的衰减距离预测见表4-3。</w:t>
            </w:r>
          </w:p>
          <w:p w14:paraId="0ABF79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表</w:t>
            </w:r>
            <w:r>
              <w:rPr>
                <w:rFonts w:hint="default" w:ascii="Times New Roman" w:hAnsi="Times New Roman" w:cs="Times New Roman"/>
                <w:b/>
                <w:bCs/>
                <w:color w:val="auto"/>
                <w:sz w:val="24"/>
                <w:szCs w:val="24"/>
                <w:lang w:val="en-US" w:eastAsia="zh-CN"/>
              </w:rPr>
              <w:t>4-2</w:t>
            </w:r>
            <w:r>
              <w:rPr>
                <w:rFonts w:hint="default" w:ascii="Times New Roman" w:hAnsi="Times New Roman" w:cs="Times New Roman"/>
                <w:b/>
                <w:bCs/>
                <w:color w:val="auto"/>
                <w:sz w:val="24"/>
                <w:szCs w:val="24"/>
              </w:rPr>
              <w:t xml:space="preserve">  项目施工期主要噪声源统计表      单位</w:t>
            </w:r>
            <w:r>
              <w:rPr>
                <w:rFonts w:hint="default" w:ascii="Times New Roman" w:hAnsi="Times New Roman" w:cs="Times New Roman"/>
                <w:b/>
                <w:bCs/>
                <w:color w:val="auto"/>
                <w:sz w:val="24"/>
                <w:szCs w:val="24"/>
                <w:lang w:eastAsia="zh-CN"/>
              </w:rPr>
              <w:t>：</w:t>
            </w:r>
            <w:r>
              <w:rPr>
                <w:rFonts w:hint="default" w:ascii="Times New Roman" w:hAnsi="Times New Roman" w:cs="Times New Roman"/>
                <w:b/>
                <w:bCs/>
                <w:color w:val="auto"/>
                <w:sz w:val="24"/>
                <w:szCs w:val="24"/>
              </w:rPr>
              <w:t>dB(A)</w:t>
            </w:r>
          </w:p>
          <w:tbl>
            <w:tblPr>
              <w:tblStyle w:val="15"/>
              <w:tblW w:w="505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57"/>
              <w:gridCol w:w="1873"/>
              <w:gridCol w:w="1270"/>
              <w:gridCol w:w="1586"/>
              <w:gridCol w:w="2142"/>
            </w:tblGrid>
            <w:tr w14:paraId="4A2DF8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60" w:type="dxa"/>
                  <w:tcBorders>
                    <w:tl2br w:val="nil"/>
                    <w:tr2bl w:val="nil"/>
                  </w:tcBorders>
                  <w:noWrap w:val="0"/>
                  <w:vAlign w:val="center"/>
                </w:tcPr>
                <w:p w14:paraId="79FD3811">
                  <w:pPr>
                    <w:bidi w:val="0"/>
                    <w:jc w:val="center"/>
                    <w:rPr>
                      <w:rFonts w:hint="default" w:ascii="Times New Roman" w:hAnsi="Times New Roman" w:cs="Times New Roman"/>
                      <w:b/>
                      <w:bCs/>
                      <w:color w:val="auto"/>
                    </w:rPr>
                  </w:pPr>
                  <w:r>
                    <w:rPr>
                      <w:rFonts w:hint="default" w:ascii="Times New Roman" w:hAnsi="Times New Roman" w:cs="Times New Roman"/>
                      <w:b/>
                      <w:bCs/>
                      <w:color w:val="auto"/>
                    </w:rPr>
                    <w:t>噪声源位置</w:t>
                  </w:r>
                </w:p>
              </w:tc>
              <w:tc>
                <w:tcPr>
                  <w:tcW w:w="1600" w:type="dxa"/>
                  <w:tcBorders>
                    <w:tl2br w:val="nil"/>
                    <w:tr2bl w:val="nil"/>
                  </w:tcBorders>
                  <w:noWrap w:val="0"/>
                  <w:vAlign w:val="center"/>
                </w:tcPr>
                <w:p w14:paraId="640CD564">
                  <w:pPr>
                    <w:bidi w:val="0"/>
                    <w:jc w:val="center"/>
                    <w:rPr>
                      <w:rFonts w:hint="default" w:ascii="Times New Roman" w:hAnsi="Times New Roman" w:cs="Times New Roman"/>
                      <w:b/>
                      <w:bCs/>
                      <w:color w:val="auto"/>
                    </w:rPr>
                  </w:pPr>
                  <w:r>
                    <w:rPr>
                      <w:rFonts w:hint="default" w:ascii="Times New Roman" w:hAnsi="Times New Roman" w:cs="Times New Roman"/>
                      <w:b/>
                      <w:bCs/>
                      <w:color w:val="auto"/>
                    </w:rPr>
                    <w:t>设备名称</w:t>
                  </w:r>
                </w:p>
              </w:tc>
              <w:tc>
                <w:tcPr>
                  <w:tcW w:w="1085" w:type="dxa"/>
                  <w:tcBorders>
                    <w:tl2br w:val="nil"/>
                    <w:tr2bl w:val="nil"/>
                  </w:tcBorders>
                  <w:noWrap w:val="0"/>
                  <w:vAlign w:val="center"/>
                </w:tcPr>
                <w:p w14:paraId="2F3DF5BE">
                  <w:pPr>
                    <w:bidi w:val="0"/>
                    <w:jc w:val="center"/>
                    <w:rPr>
                      <w:rFonts w:hint="default" w:ascii="Times New Roman" w:hAnsi="Times New Roman" w:cs="Times New Roman"/>
                      <w:b/>
                      <w:bCs/>
                      <w:color w:val="auto"/>
                    </w:rPr>
                  </w:pPr>
                  <w:r>
                    <w:rPr>
                      <w:rFonts w:hint="default" w:ascii="Times New Roman" w:hAnsi="Times New Roman" w:cs="Times New Roman"/>
                      <w:b/>
                      <w:bCs/>
                      <w:color w:val="auto"/>
                    </w:rPr>
                    <w:t>数量</w:t>
                  </w:r>
                </w:p>
              </w:tc>
              <w:tc>
                <w:tcPr>
                  <w:tcW w:w="1355" w:type="dxa"/>
                  <w:tcBorders>
                    <w:tl2br w:val="nil"/>
                    <w:tr2bl w:val="nil"/>
                  </w:tcBorders>
                  <w:noWrap w:val="0"/>
                  <w:vAlign w:val="center"/>
                </w:tcPr>
                <w:p w14:paraId="541D2F91">
                  <w:pPr>
                    <w:bidi w:val="0"/>
                    <w:jc w:val="center"/>
                    <w:rPr>
                      <w:rFonts w:hint="default" w:ascii="Times New Roman" w:hAnsi="Times New Roman" w:cs="Times New Roman"/>
                      <w:b/>
                      <w:bCs/>
                      <w:color w:val="auto"/>
                    </w:rPr>
                  </w:pPr>
                  <w:r>
                    <w:rPr>
                      <w:rFonts w:hint="default" w:ascii="Times New Roman" w:hAnsi="Times New Roman" w:cs="Times New Roman"/>
                      <w:b/>
                      <w:bCs/>
                      <w:color w:val="auto"/>
                    </w:rPr>
                    <w:t>声源强度</w:t>
                  </w:r>
                </w:p>
              </w:tc>
              <w:tc>
                <w:tcPr>
                  <w:tcW w:w="1830" w:type="dxa"/>
                  <w:tcBorders>
                    <w:tl2br w:val="nil"/>
                    <w:tr2bl w:val="nil"/>
                  </w:tcBorders>
                  <w:noWrap w:val="0"/>
                  <w:vAlign w:val="center"/>
                </w:tcPr>
                <w:p w14:paraId="4DE19149">
                  <w:pPr>
                    <w:bidi w:val="0"/>
                    <w:jc w:val="center"/>
                    <w:rPr>
                      <w:rFonts w:hint="default" w:ascii="Times New Roman" w:hAnsi="Times New Roman" w:cs="Times New Roman"/>
                      <w:b/>
                      <w:bCs/>
                      <w:color w:val="auto"/>
                    </w:rPr>
                  </w:pPr>
                  <w:r>
                    <w:rPr>
                      <w:rFonts w:hint="default" w:ascii="Times New Roman" w:hAnsi="Times New Roman" w:cs="Times New Roman"/>
                      <w:b/>
                      <w:bCs/>
                      <w:color w:val="auto"/>
                    </w:rPr>
                    <w:t>声源性质</w:t>
                  </w:r>
                </w:p>
              </w:tc>
            </w:tr>
            <w:tr w14:paraId="5381FC5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60" w:type="dxa"/>
                  <w:vMerge w:val="restart"/>
                  <w:tcBorders>
                    <w:tl2br w:val="nil"/>
                    <w:tr2bl w:val="nil"/>
                  </w:tcBorders>
                  <w:noWrap w:val="0"/>
                  <w:vAlign w:val="center"/>
                </w:tcPr>
                <w:p w14:paraId="1ECBB71A">
                  <w:pPr>
                    <w:bidi w:val="0"/>
                    <w:jc w:val="center"/>
                    <w:rPr>
                      <w:rFonts w:hint="default" w:ascii="Times New Roman" w:hAnsi="Times New Roman" w:cs="Times New Roman"/>
                      <w:color w:val="auto"/>
                    </w:rPr>
                  </w:pPr>
                  <w:r>
                    <w:rPr>
                      <w:rFonts w:hint="default" w:ascii="Times New Roman" w:hAnsi="Times New Roman" w:cs="Times New Roman"/>
                      <w:color w:val="auto"/>
                    </w:rPr>
                    <w:t>井场</w:t>
                  </w:r>
                </w:p>
              </w:tc>
              <w:tc>
                <w:tcPr>
                  <w:tcW w:w="1600" w:type="dxa"/>
                  <w:tcBorders>
                    <w:tl2br w:val="nil"/>
                    <w:tr2bl w:val="nil"/>
                  </w:tcBorders>
                  <w:noWrap w:val="0"/>
                  <w:vAlign w:val="center"/>
                </w:tcPr>
                <w:p w14:paraId="08F2185B">
                  <w:pPr>
                    <w:bidi w:val="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t>空压机</w:t>
                  </w:r>
                </w:p>
              </w:tc>
              <w:tc>
                <w:tcPr>
                  <w:tcW w:w="1085" w:type="dxa"/>
                  <w:tcBorders>
                    <w:tl2br w:val="nil"/>
                    <w:tr2bl w:val="nil"/>
                  </w:tcBorders>
                  <w:noWrap w:val="0"/>
                  <w:vAlign w:val="center"/>
                </w:tcPr>
                <w:p w14:paraId="42AAD2A6">
                  <w:pPr>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1台</w:t>
                  </w:r>
                </w:p>
              </w:tc>
              <w:tc>
                <w:tcPr>
                  <w:tcW w:w="1355" w:type="dxa"/>
                  <w:tcBorders>
                    <w:tl2br w:val="nil"/>
                    <w:tr2bl w:val="nil"/>
                  </w:tcBorders>
                  <w:noWrap w:val="0"/>
                  <w:vAlign w:val="center"/>
                </w:tcPr>
                <w:p w14:paraId="62B578F8">
                  <w:pPr>
                    <w:bidi w:val="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85</w:t>
                  </w:r>
                  <w:r>
                    <w:rPr>
                      <w:rFonts w:hint="default" w:ascii="Times New Roman" w:hAnsi="Times New Roman" w:cs="Times New Roman"/>
                      <w:color w:val="auto"/>
                    </w:rPr>
                    <w:t>～</w:t>
                  </w:r>
                  <w:r>
                    <w:rPr>
                      <w:rFonts w:hint="eastAsia" w:ascii="Times New Roman" w:hAnsi="Times New Roman" w:cs="Times New Roman"/>
                      <w:color w:val="auto"/>
                      <w:lang w:val="en-US" w:eastAsia="zh-CN"/>
                    </w:rPr>
                    <w:t>95</w:t>
                  </w:r>
                </w:p>
              </w:tc>
              <w:tc>
                <w:tcPr>
                  <w:tcW w:w="1830" w:type="dxa"/>
                  <w:tcBorders>
                    <w:tl2br w:val="nil"/>
                    <w:tr2bl w:val="nil"/>
                  </w:tcBorders>
                  <w:noWrap w:val="0"/>
                  <w:vAlign w:val="center"/>
                </w:tcPr>
                <w:p w14:paraId="0ACEEFD7">
                  <w:pPr>
                    <w:bidi w:val="0"/>
                    <w:jc w:val="center"/>
                    <w:rPr>
                      <w:rFonts w:hint="default" w:ascii="Times New Roman" w:hAnsi="Times New Roman" w:cs="Times New Roman"/>
                      <w:color w:val="auto"/>
                    </w:rPr>
                  </w:pPr>
                  <w:r>
                    <w:rPr>
                      <w:rFonts w:hint="default" w:ascii="Times New Roman" w:hAnsi="Times New Roman" w:cs="Times New Roman"/>
                      <w:color w:val="auto"/>
                    </w:rPr>
                    <w:t>连续稳态声源</w:t>
                  </w:r>
                </w:p>
              </w:tc>
            </w:tr>
            <w:tr w14:paraId="4B38EF3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60" w:type="dxa"/>
                  <w:vMerge w:val="continue"/>
                  <w:tcBorders>
                    <w:tl2br w:val="nil"/>
                    <w:tr2bl w:val="nil"/>
                  </w:tcBorders>
                  <w:noWrap w:val="0"/>
                  <w:vAlign w:val="center"/>
                </w:tcPr>
                <w:p w14:paraId="1D2AF6D1">
                  <w:pPr>
                    <w:jc w:val="center"/>
                    <w:rPr>
                      <w:rFonts w:hint="default" w:ascii="Times New Roman" w:hAnsi="Times New Roman" w:eastAsia="宋体" w:cs="Times New Roman"/>
                      <w:color w:val="auto"/>
                      <w:szCs w:val="22"/>
                    </w:rPr>
                  </w:pPr>
                </w:p>
              </w:tc>
              <w:tc>
                <w:tcPr>
                  <w:tcW w:w="1600" w:type="dxa"/>
                  <w:tcBorders>
                    <w:tl2br w:val="nil"/>
                    <w:tr2bl w:val="nil"/>
                  </w:tcBorders>
                  <w:noWrap w:val="0"/>
                  <w:vAlign w:val="center"/>
                </w:tcPr>
                <w:p w14:paraId="1BA60DE1">
                  <w:pPr>
                    <w:jc w:val="center"/>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szCs w:val="22"/>
                      <w:lang w:eastAsia="zh-CN"/>
                    </w:rPr>
                    <w:t>离心机</w:t>
                  </w:r>
                </w:p>
              </w:tc>
              <w:tc>
                <w:tcPr>
                  <w:tcW w:w="1085" w:type="dxa"/>
                  <w:tcBorders>
                    <w:tl2br w:val="nil"/>
                    <w:tr2bl w:val="nil"/>
                  </w:tcBorders>
                  <w:noWrap w:val="0"/>
                  <w:vAlign w:val="center"/>
                </w:tcPr>
                <w:p w14:paraId="543B5798">
                  <w:pPr>
                    <w:jc w:val="center"/>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szCs w:val="22"/>
                      <w:lang w:val="en-US" w:eastAsia="zh-CN"/>
                    </w:rPr>
                    <w:t>1台</w:t>
                  </w:r>
                </w:p>
              </w:tc>
              <w:tc>
                <w:tcPr>
                  <w:tcW w:w="1355" w:type="dxa"/>
                  <w:tcBorders>
                    <w:tl2br w:val="nil"/>
                    <w:tr2bl w:val="nil"/>
                  </w:tcBorders>
                  <w:noWrap w:val="0"/>
                  <w:vAlign w:val="center"/>
                </w:tcPr>
                <w:p w14:paraId="5A77271D">
                  <w:pPr>
                    <w:jc w:val="center"/>
                    <w:rPr>
                      <w:rFonts w:hint="default"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szCs w:val="22"/>
                      <w:lang w:val="en-US" w:eastAsia="zh-CN"/>
                    </w:rPr>
                    <w:t>60</w:t>
                  </w:r>
                  <w:r>
                    <w:rPr>
                      <w:rFonts w:hint="default" w:ascii="Times New Roman" w:hAnsi="Times New Roman" w:eastAsia="宋体" w:cs="Times New Roman"/>
                      <w:color w:val="auto"/>
                      <w:szCs w:val="22"/>
                    </w:rPr>
                    <w:t>～</w:t>
                  </w:r>
                  <w:r>
                    <w:rPr>
                      <w:rFonts w:hint="eastAsia" w:ascii="Times New Roman" w:hAnsi="Times New Roman" w:eastAsia="宋体" w:cs="Times New Roman"/>
                      <w:color w:val="auto"/>
                      <w:szCs w:val="22"/>
                      <w:lang w:val="en-US" w:eastAsia="zh-CN"/>
                    </w:rPr>
                    <w:t>8</w:t>
                  </w:r>
                  <w:r>
                    <w:rPr>
                      <w:rFonts w:hint="default" w:ascii="Times New Roman" w:hAnsi="Times New Roman" w:eastAsia="宋体" w:cs="Times New Roman"/>
                      <w:color w:val="auto"/>
                      <w:szCs w:val="22"/>
                      <w:lang w:val="en-US" w:eastAsia="zh-CN"/>
                    </w:rPr>
                    <w:t>0</w:t>
                  </w:r>
                </w:p>
              </w:tc>
              <w:tc>
                <w:tcPr>
                  <w:tcW w:w="1830" w:type="dxa"/>
                  <w:tcBorders>
                    <w:tl2br w:val="nil"/>
                    <w:tr2bl w:val="nil"/>
                  </w:tcBorders>
                  <w:noWrap w:val="0"/>
                  <w:vAlign w:val="center"/>
                </w:tcPr>
                <w:p w14:paraId="1D417C64">
                  <w:pPr>
                    <w:jc w:val="center"/>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szCs w:val="22"/>
                    </w:rPr>
                    <w:t>连续稳态声源</w:t>
                  </w:r>
                </w:p>
              </w:tc>
            </w:tr>
            <w:tr w14:paraId="2A8FCF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60" w:type="dxa"/>
                  <w:vMerge w:val="continue"/>
                  <w:tcBorders>
                    <w:tl2br w:val="nil"/>
                    <w:tr2bl w:val="nil"/>
                  </w:tcBorders>
                  <w:noWrap w:val="0"/>
                  <w:vAlign w:val="center"/>
                </w:tcPr>
                <w:p w14:paraId="0931A9B6">
                  <w:pPr>
                    <w:jc w:val="center"/>
                    <w:rPr>
                      <w:rFonts w:hint="default" w:ascii="Times New Roman" w:hAnsi="Times New Roman" w:eastAsia="宋体" w:cs="Times New Roman"/>
                      <w:color w:val="auto"/>
                      <w:szCs w:val="22"/>
                    </w:rPr>
                  </w:pPr>
                </w:p>
              </w:tc>
              <w:tc>
                <w:tcPr>
                  <w:tcW w:w="1600" w:type="dxa"/>
                  <w:tcBorders>
                    <w:tl2br w:val="nil"/>
                    <w:tr2bl w:val="nil"/>
                  </w:tcBorders>
                  <w:noWrap w:val="0"/>
                  <w:vAlign w:val="center"/>
                </w:tcPr>
                <w:p w14:paraId="555D6756">
                  <w:pPr>
                    <w:jc w:val="center"/>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szCs w:val="22"/>
                      <w:lang w:eastAsia="zh-CN"/>
                    </w:rPr>
                    <w:t>压风机</w:t>
                  </w:r>
                </w:p>
              </w:tc>
              <w:tc>
                <w:tcPr>
                  <w:tcW w:w="1085" w:type="dxa"/>
                  <w:tcBorders>
                    <w:tl2br w:val="nil"/>
                    <w:tr2bl w:val="nil"/>
                  </w:tcBorders>
                  <w:noWrap w:val="0"/>
                  <w:vAlign w:val="center"/>
                </w:tcPr>
                <w:p w14:paraId="5394742E">
                  <w:pPr>
                    <w:jc w:val="center"/>
                    <w:rPr>
                      <w:rFonts w:hint="default"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szCs w:val="22"/>
                      <w:lang w:val="en-US" w:eastAsia="zh-CN"/>
                    </w:rPr>
                    <w:t>1</w:t>
                  </w:r>
                  <w:r>
                    <w:rPr>
                      <w:rFonts w:hint="default" w:ascii="Times New Roman" w:hAnsi="Times New Roman" w:eastAsia="宋体" w:cs="Times New Roman"/>
                      <w:color w:val="auto"/>
                      <w:szCs w:val="22"/>
                      <w:lang w:val="en-US" w:eastAsia="zh-CN"/>
                    </w:rPr>
                    <w:t>台</w:t>
                  </w:r>
                </w:p>
              </w:tc>
              <w:tc>
                <w:tcPr>
                  <w:tcW w:w="1355" w:type="dxa"/>
                  <w:tcBorders>
                    <w:tl2br w:val="nil"/>
                    <w:tr2bl w:val="nil"/>
                  </w:tcBorders>
                  <w:noWrap w:val="0"/>
                  <w:vAlign w:val="center"/>
                </w:tcPr>
                <w:p w14:paraId="255B5FF7">
                  <w:pPr>
                    <w:jc w:val="center"/>
                    <w:rPr>
                      <w:rFonts w:hint="default"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szCs w:val="22"/>
                      <w:lang w:val="en-US" w:eastAsia="zh-CN"/>
                    </w:rPr>
                    <w:t>70</w:t>
                  </w:r>
                  <w:r>
                    <w:rPr>
                      <w:rFonts w:hint="default" w:ascii="Times New Roman" w:hAnsi="Times New Roman" w:eastAsia="宋体" w:cs="Times New Roman"/>
                      <w:color w:val="auto"/>
                      <w:szCs w:val="22"/>
                    </w:rPr>
                    <w:t>～</w:t>
                  </w:r>
                  <w:r>
                    <w:rPr>
                      <w:rFonts w:hint="default" w:ascii="Times New Roman" w:hAnsi="Times New Roman" w:eastAsia="宋体" w:cs="Times New Roman"/>
                      <w:color w:val="auto"/>
                      <w:szCs w:val="22"/>
                      <w:lang w:val="en-US" w:eastAsia="zh-CN"/>
                    </w:rPr>
                    <w:t>90</w:t>
                  </w:r>
                </w:p>
              </w:tc>
              <w:tc>
                <w:tcPr>
                  <w:tcW w:w="1830" w:type="dxa"/>
                  <w:tcBorders>
                    <w:tl2br w:val="nil"/>
                    <w:tr2bl w:val="nil"/>
                  </w:tcBorders>
                  <w:noWrap w:val="0"/>
                  <w:vAlign w:val="center"/>
                </w:tcPr>
                <w:p w14:paraId="7CE74D8E">
                  <w:pPr>
                    <w:jc w:val="center"/>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szCs w:val="22"/>
                    </w:rPr>
                    <w:t>连续稳态声源</w:t>
                  </w:r>
                </w:p>
              </w:tc>
            </w:tr>
            <w:tr w14:paraId="47D399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60" w:type="dxa"/>
                  <w:vMerge w:val="continue"/>
                  <w:tcBorders>
                    <w:tl2br w:val="nil"/>
                    <w:tr2bl w:val="nil"/>
                  </w:tcBorders>
                  <w:noWrap w:val="0"/>
                  <w:vAlign w:val="center"/>
                </w:tcPr>
                <w:p w14:paraId="44DBDFBC">
                  <w:pPr>
                    <w:jc w:val="center"/>
                    <w:rPr>
                      <w:rFonts w:hint="default" w:ascii="Times New Roman" w:hAnsi="Times New Roman" w:eastAsia="宋体" w:cs="Times New Roman"/>
                      <w:color w:val="auto"/>
                      <w:szCs w:val="22"/>
                    </w:rPr>
                  </w:pPr>
                </w:p>
              </w:tc>
              <w:tc>
                <w:tcPr>
                  <w:tcW w:w="1600" w:type="dxa"/>
                  <w:tcBorders>
                    <w:tl2br w:val="nil"/>
                    <w:tr2bl w:val="nil"/>
                  </w:tcBorders>
                  <w:noWrap w:val="0"/>
                  <w:vAlign w:val="center"/>
                </w:tcPr>
                <w:p w14:paraId="13B5CADA">
                  <w:pPr>
                    <w:jc w:val="center"/>
                    <w:rPr>
                      <w:rFonts w:hint="default" w:ascii="Times New Roman" w:hAnsi="Times New Roman" w:eastAsia="宋体" w:cs="Times New Roman"/>
                      <w:color w:val="auto"/>
                      <w:szCs w:val="22"/>
                      <w:lang w:val="en-US" w:eastAsia="zh-CN"/>
                    </w:rPr>
                  </w:pPr>
                  <w:r>
                    <w:rPr>
                      <w:rFonts w:hint="default" w:ascii="Times New Roman" w:hAnsi="Times New Roman" w:eastAsia="宋体" w:cs="Times New Roman"/>
                      <w:color w:val="auto"/>
                      <w:szCs w:val="22"/>
                    </w:rPr>
                    <w:t>钻</w:t>
                  </w:r>
                  <w:r>
                    <w:rPr>
                      <w:rFonts w:hint="eastAsia" w:ascii="Times New Roman" w:hAnsi="Times New Roman" w:eastAsia="宋体" w:cs="Times New Roman"/>
                      <w:color w:val="auto"/>
                      <w:szCs w:val="22"/>
                      <w:lang w:val="en-US" w:eastAsia="zh-CN"/>
                    </w:rPr>
                    <w:t>井泵</w:t>
                  </w:r>
                </w:p>
              </w:tc>
              <w:tc>
                <w:tcPr>
                  <w:tcW w:w="1085" w:type="dxa"/>
                  <w:tcBorders>
                    <w:tl2br w:val="nil"/>
                    <w:tr2bl w:val="nil"/>
                  </w:tcBorders>
                  <w:noWrap w:val="0"/>
                  <w:vAlign w:val="center"/>
                </w:tcPr>
                <w:p w14:paraId="5473822D">
                  <w:pPr>
                    <w:jc w:val="center"/>
                    <w:rPr>
                      <w:rFonts w:hint="default" w:ascii="Times New Roman" w:hAnsi="Times New Roman" w:eastAsia="宋体" w:cs="Times New Roman"/>
                      <w:color w:val="auto"/>
                      <w:szCs w:val="22"/>
                    </w:rPr>
                  </w:pPr>
                  <w:r>
                    <w:rPr>
                      <w:rFonts w:hint="eastAsia" w:ascii="Times New Roman" w:hAnsi="Times New Roman" w:eastAsia="宋体" w:cs="Times New Roman"/>
                      <w:color w:val="auto"/>
                      <w:szCs w:val="22"/>
                      <w:lang w:val="en-US" w:eastAsia="zh-CN"/>
                    </w:rPr>
                    <w:t>2</w:t>
                  </w:r>
                  <w:r>
                    <w:rPr>
                      <w:rFonts w:hint="default" w:ascii="Times New Roman" w:hAnsi="Times New Roman" w:eastAsia="宋体" w:cs="Times New Roman"/>
                      <w:color w:val="auto"/>
                      <w:szCs w:val="22"/>
                    </w:rPr>
                    <w:t>台</w:t>
                  </w:r>
                </w:p>
              </w:tc>
              <w:tc>
                <w:tcPr>
                  <w:tcW w:w="1355" w:type="dxa"/>
                  <w:tcBorders>
                    <w:tl2br w:val="nil"/>
                    <w:tr2bl w:val="nil"/>
                  </w:tcBorders>
                  <w:noWrap w:val="0"/>
                  <w:vAlign w:val="center"/>
                </w:tcPr>
                <w:p w14:paraId="39CC7643">
                  <w:pPr>
                    <w:jc w:val="center"/>
                    <w:rPr>
                      <w:rFonts w:hint="eastAsia"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85</w:t>
                  </w:r>
                  <w:r>
                    <w:rPr>
                      <w:rFonts w:hint="default" w:ascii="Times New Roman" w:hAnsi="Times New Roman" w:eastAsia="宋体" w:cs="Times New Roman"/>
                      <w:color w:val="auto"/>
                      <w:szCs w:val="22"/>
                    </w:rPr>
                    <w:t>～</w:t>
                  </w:r>
                  <w:r>
                    <w:rPr>
                      <w:rFonts w:hint="eastAsia" w:ascii="Times New Roman" w:hAnsi="Times New Roman" w:eastAsia="宋体" w:cs="Times New Roman"/>
                      <w:color w:val="auto"/>
                      <w:szCs w:val="22"/>
                      <w:lang w:val="en-US" w:eastAsia="zh-CN"/>
                    </w:rPr>
                    <w:t>100</w:t>
                  </w:r>
                </w:p>
              </w:tc>
              <w:tc>
                <w:tcPr>
                  <w:tcW w:w="1830" w:type="dxa"/>
                  <w:tcBorders>
                    <w:tl2br w:val="nil"/>
                    <w:tr2bl w:val="nil"/>
                  </w:tcBorders>
                  <w:noWrap w:val="0"/>
                  <w:vAlign w:val="center"/>
                </w:tcPr>
                <w:p w14:paraId="56161AA2">
                  <w:pPr>
                    <w:jc w:val="center"/>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连续稳态声源</w:t>
                  </w:r>
                </w:p>
              </w:tc>
            </w:tr>
            <w:tr w14:paraId="64A485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60" w:type="dxa"/>
                  <w:vMerge w:val="continue"/>
                  <w:tcBorders>
                    <w:tl2br w:val="nil"/>
                    <w:tr2bl w:val="nil"/>
                  </w:tcBorders>
                  <w:noWrap w:val="0"/>
                  <w:vAlign w:val="center"/>
                </w:tcPr>
                <w:p w14:paraId="5E01D0ED">
                  <w:pPr>
                    <w:jc w:val="center"/>
                    <w:rPr>
                      <w:rFonts w:hint="default" w:ascii="Times New Roman" w:hAnsi="Times New Roman" w:eastAsia="宋体" w:cs="Times New Roman"/>
                      <w:color w:val="auto"/>
                      <w:szCs w:val="22"/>
                    </w:rPr>
                  </w:pPr>
                </w:p>
              </w:tc>
              <w:tc>
                <w:tcPr>
                  <w:tcW w:w="1600" w:type="dxa"/>
                  <w:tcBorders>
                    <w:tl2br w:val="nil"/>
                    <w:tr2bl w:val="nil"/>
                  </w:tcBorders>
                  <w:noWrap w:val="0"/>
                  <w:vAlign w:val="center"/>
                </w:tcPr>
                <w:p w14:paraId="198E6FFA">
                  <w:pPr>
                    <w:jc w:val="center"/>
                    <w:rPr>
                      <w:rFonts w:hint="eastAsia" w:ascii="Times New Roman" w:hAnsi="Times New Roman" w:eastAsia="宋体" w:cs="Times New Roman"/>
                      <w:color w:val="auto"/>
                      <w:szCs w:val="22"/>
                      <w:lang w:eastAsia="zh-CN"/>
                    </w:rPr>
                  </w:pPr>
                  <w:r>
                    <w:rPr>
                      <w:rFonts w:hint="eastAsia" w:ascii="Times New Roman" w:hAnsi="Times New Roman" w:eastAsia="宋体" w:cs="Times New Roman"/>
                      <w:color w:val="auto"/>
                      <w:szCs w:val="22"/>
                      <w:lang w:val="en-US" w:eastAsia="zh-CN"/>
                    </w:rPr>
                    <w:t>压滤机</w:t>
                  </w:r>
                </w:p>
              </w:tc>
              <w:tc>
                <w:tcPr>
                  <w:tcW w:w="1085" w:type="dxa"/>
                  <w:tcBorders>
                    <w:tl2br w:val="nil"/>
                    <w:tr2bl w:val="nil"/>
                  </w:tcBorders>
                  <w:noWrap w:val="0"/>
                  <w:vAlign w:val="center"/>
                </w:tcPr>
                <w:p w14:paraId="2E83BC4E">
                  <w:pPr>
                    <w:jc w:val="center"/>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1台</w:t>
                  </w:r>
                </w:p>
              </w:tc>
              <w:tc>
                <w:tcPr>
                  <w:tcW w:w="1355" w:type="dxa"/>
                  <w:tcBorders>
                    <w:tl2br w:val="nil"/>
                    <w:tr2bl w:val="nil"/>
                  </w:tcBorders>
                  <w:noWrap w:val="0"/>
                  <w:vAlign w:val="center"/>
                </w:tcPr>
                <w:p w14:paraId="27269217">
                  <w:pPr>
                    <w:jc w:val="center"/>
                    <w:rPr>
                      <w:rFonts w:hint="eastAsia" w:ascii="Times New Roman" w:hAnsi="Times New Roman" w:eastAsia="宋体" w:cs="Times New Roman"/>
                      <w:color w:val="auto"/>
                      <w:szCs w:val="22"/>
                      <w:lang w:val="en-US" w:eastAsia="zh-CN"/>
                    </w:rPr>
                  </w:pPr>
                  <w:r>
                    <w:rPr>
                      <w:rFonts w:hint="eastAsia" w:ascii="Times New Roman" w:hAnsi="Times New Roman" w:eastAsia="宋体" w:cs="Times New Roman"/>
                      <w:color w:val="auto"/>
                      <w:szCs w:val="22"/>
                      <w:lang w:val="en-US" w:eastAsia="zh-CN"/>
                    </w:rPr>
                    <w:t>70</w:t>
                  </w:r>
                  <w:r>
                    <w:rPr>
                      <w:rFonts w:hint="default" w:ascii="Times New Roman" w:hAnsi="Times New Roman" w:eastAsia="宋体" w:cs="Times New Roman"/>
                      <w:color w:val="auto"/>
                      <w:szCs w:val="22"/>
                    </w:rPr>
                    <w:t>～9</w:t>
                  </w:r>
                  <w:r>
                    <w:rPr>
                      <w:rFonts w:hint="eastAsia" w:ascii="Times New Roman" w:hAnsi="Times New Roman" w:eastAsia="宋体" w:cs="Times New Roman"/>
                      <w:color w:val="auto"/>
                      <w:szCs w:val="22"/>
                      <w:lang w:val="en-US" w:eastAsia="zh-CN"/>
                    </w:rPr>
                    <w:t>0</w:t>
                  </w:r>
                </w:p>
              </w:tc>
              <w:tc>
                <w:tcPr>
                  <w:tcW w:w="1830" w:type="dxa"/>
                  <w:tcBorders>
                    <w:tl2br w:val="nil"/>
                    <w:tr2bl w:val="nil"/>
                  </w:tcBorders>
                  <w:noWrap w:val="0"/>
                  <w:vAlign w:val="center"/>
                </w:tcPr>
                <w:p w14:paraId="22377E02">
                  <w:pPr>
                    <w:jc w:val="center"/>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连续稳态声源</w:t>
                  </w:r>
                </w:p>
              </w:tc>
            </w:tr>
            <w:tr w14:paraId="0AB260A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60" w:type="dxa"/>
                  <w:vMerge w:val="continue"/>
                  <w:tcBorders>
                    <w:tl2br w:val="nil"/>
                    <w:tr2bl w:val="nil"/>
                  </w:tcBorders>
                  <w:noWrap w:val="0"/>
                  <w:vAlign w:val="center"/>
                </w:tcPr>
                <w:p w14:paraId="75C1389F">
                  <w:pPr>
                    <w:jc w:val="center"/>
                    <w:rPr>
                      <w:rFonts w:hint="default" w:ascii="Times New Roman" w:hAnsi="Times New Roman" w:eastAsia="宋体" w:cs="Times New Roman"/>
                      <w:color w:val="auto"/>
                      <w:szCs w:val="22"/>
                    </w:rPr>
                  </w:pPr>
                </w:p>
              </w:tc>
              <w:tc>
                <w:tcPr>
                  <w:tcW w:w="1600" w:type="dxa"/>
                  <w:tcBorders>
                    <w:tl2br w:val="nil"/>
                    <w:tr2bl w:val="nil"/>
                  </w:tcBorders>
                  <w:noWrap w:val="0"/>
                  <w:vAlign w:val="center"/>
                </w:tcPr>
                <w:p w14:paraId="7CE68341">
                  <w:pPr>
                    <w:jc w:val="center"/>
                    <w:rPr>
                      <w:rFonts w:hint="default" w:ascii="Times New Roman" w:hAnsi="Times New Roman" w:eastAsia="宋体" w:cs="Times New Roman"/>
                      <w:color w:val="auto"/>
                      <w:szCs w:val="22"/>
                      <w:lang w:eastAsia="zh-CN"/>
                    </w:rPr>
                  </w:pPr>
                  <w:r>
                    <w:rPr>
                      <w:rFonts w:hint="default" w:ascii="Times New Roman" w:hAnsi="Times New Roman" w:eastAsia="宋体" w:cs="Times New Roman"/>
                      <w:color w:val="auto"/>
                      <w:szCs w:val="22"/>
                      <w:lang w:eastAsia="zh-CN"/>
                    </w:rPr>
                    <w:t>振动筛</w:t>
                  </w:r>
                </w:p>
              </w:tc>
              <w:tc>
                <w:tcPr>
                  <w:tcW w:w="1085" w:type="dxa"/>
                  <w:tcBorders>
                    <w:tl2br w:val="nil"/>
                    <w:tr2bl w:val="nil"/>
                  </w:tcBorders>
                  <w:noWrap w:val="0"/>
                  <w:vAlign w:val="center"/>
                </w:tcPr>
                <w:p w14:paraId="0340752A">
                  <w:pPr>
                    <w:jc w:val="center"/>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1台</w:t>
                  </w:r>
                </w:p>
              </w:tc>
              <w:tc>
                <w:tcPr>
                  <w:tcW w:w="1355" w:type="dxa"/>
                  <w:tcBorders>
                    <w:tl2br w:val="nil"/>
                    <w:tr2bl w:val="nil"/>
                  </w:tcBorders>
                  <w:noWrap w:val="0"/>
                  <w:vAlign w:val="center"/>
                </w:tcPr>
                <w:p w14:paraId="2096485B">
                  <w:pPr>
                    <w:jc w:val="center"/>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szCs w:val="22"/>
                      <w:lang w:val="en-US" w:eastAsia="zh-CN"/>
                    </w:rPr>
                    <w:t>8</w:t>
                  </w:r>
                  <w:r>
                    <w:rPr>
                      <w:rFonts w:hint="default" w:ascii="Times New Roman" w:hAnsi="Times New Roman" w:eastAsia="宋体" w:cs="Times New Roman"/>
                      <w:color w:val="auto"/>
                      <w:szCs w:val="22"/>
                    </w:rPr>
                    <w:t>5～</w:t>
                  </w:r>
                  <w:r>
                    <w:rPr>
                      <w:rFonts w:hint="default" w:ascii="Times New Roman" w:hAnsi="Times New Roman" w:eastAsia="宋体" w:cs="Times New Roman"/>
                      <w:color w:val="auto"/>
                      <w:szCs w:val="22"/>
                      <w:lang w:val="en-US" w:eastAsia="zh-CN"/>
                    </w:rPr>
                    <w:t>9</w:t>
                  </w:r>
                  <w:r>
                    <w:rPr>
                      <w:rFonts w:hint="eastAsia" w:ascii="Times New Roman" w:hAnsi="Times New Roman" w:eastAsia="宋体" w:cs="Times New Roman"/>
                      <w:color w:val="auto"/>
                      <w:szCs w:val="22"/>
                      <w:lang w:val="en-US" w:eastAsia="zh-CN"/>
                    </w:rPr>
                    <w:t>5</w:t>
                  </w:r>
                </w:p>
              </w:tc>
              <w:tc>
                <w:tcPr>
                  <w:tcW w:w="1830" w:type="dxa"/>
                  <w:tcBorders>
                    <w:tl2br w:val="nil"/>
                    <w:tr2bl w:val="nil"/>
                  </w:tcBorders>
                  <w:noWrap w:val="0"/>
                  <w:vAlign w:val="center"/>
                </w:tcPr>
                <w:p w14:paraId="28B7C40B">
                  <w:pPr>
                    <w:jc w:val="center"/>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szCs w:val="22"/>
                    </w:rPr>
                    <w:t>连续稳态声源</w:t>
                  </w:r>
                </w:p>
              </w:tc>
            </w:tr>
            <w:tr w14:paraId="7AA686F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4" w:hRule="atLeast"/>
                <w:jc w:val="center"/>
              </w:trPr>
              <w:tc>
                <w:tcPr>
                  <w:tcW w:w="1160" w:type="dxa"/>
                  <w:tcBorders>
                    <w:tl2br w:val="nil"/>
                    <w:tr2bl w:val="nil"/>
                  </w:tcBorders>
                  <w:noWrap w:val="0"/>
                  <w:vAlign w:val="center"/>
                </w:tcPr>
                <w:p w14:paraId="535F5E02">
                  <w:pPr>
                    <w:jc w:val="center"/>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管线施工</w:t>
                  </w:r>
                </w:p>
              </w:tc>
              <w:tc>
                <w:tcPr>
                  <w:tcW w:w="1600" w:type="dxa"/>
                  <w:tcBorders>
                    <w:tl2br w:val="nil"/>
                    <w:tr2bl w:val="nil"/>
                  </w:tcBorders>
                  <w:noWrap w:val="0"/>
                  <w:vAlign w:val="center"/>
                </w:tcPr>
                <w:p w14:paraId="635D6C99">
                  <w:pPr>
                    <w:jc w:val="center"/>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lang w:eastAsia="zh-CN"/>
                    </w:rPr>
                    <w:t>挖掘机</w:t>
                  </w:r>
                  <w:r>
                    <w:rPr>
                      <w:rFonts w:hint="default" w:ascii="Times New Roman" w:hAnsi="Times New Roman" w:eastAsia="宋体" w:cs="Times New Roman"/>
                      <w:color w:val="auto"/>
                      <w:szCs w:val="22"/>
                    </w:rPr>
                    <w:t>、装载机等</w:t>
                  </w:r>
                </w:p>
              </w:tc>
              <w:tc>
                <w:tcPr>
                  <w:tcW w:w="1085" w:type="dxa"/>
                  <w:tcBorders>
                    <w:tl2br w:val="nil"/>
                    <w:tr2bl w:val="nil"/>
                  </w:tcBorders>
                  <w:noWrap w:val="0"/>
                  <w:vAlign w:val="center"/>
                </w:tcPr>
                <w:p w14:paraId="266FAB40">
                  <w:pPr>
                    <w:jc w:val="center"/>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若干</w:t>
                  </w:r>
                </w:p>
              </w:tc>
              <w:tc>
                <w:tcPr>
                  <w:tcW w:w="1355" w:type="dxa"/>
                  <w:tcBorders>
                    <w:tl2br w:val="nil"/>
                    <w:tr2bl w:val="nil"/>
                  </w:tcBorders>
                  <w:noWrap w:val="0"/>
                  <w:vAlign w:val="center"/>
                </w:tcPr>
                <w:p w14:paraId="6E3571DB">
                  <w:pPr>
                    <w:jc w:val="center"/>
                    <w:rPr>
                      <w:rFonts w:hint="eastAsia" w:ascii="Times New Roman" w:hAnsi="Times New Roman" w:eastAsia="宋体" w:cs="Times New Roman"/>
                      <w:color w:val="auto"/>
                      <w:szCs w:val="22"/>
                      <w:lang w:eastAsia="zh-CN"/>
                    </w:rPr>
                  </w:pPr>
                  <w:r>
                    <w:rPr>
                      <w:rFonts w:hint="default" w:ascii="Times New Roman" w:hAnsi="Times New Roman" w:eastAsia="宋体" w:cs="Times New Roman"/>
                      <w:color w:val="auto"/>
                      <w:szCs w:val="22"/>
                    </w:rPr>
                    <w:t>85～9</w:t>
                  </w:r>
                  <w:r>
                    <w:rPr>
                      <w:rFonts w:hint="eastAsia" w:ascii="Times New Roman" w:hAnsi="Times New Roman" w:eastAsia="宋体" w:cs="Times New Roman"/>
                      <w:color w:val="auto"/>
                      <w:szCs w:val="22"/>
                      <w:lang w:val="en-US" w:eastAsia="zh-CN"/>
                    </w:rPr>
                    <w:t>5</w:t>
                  </w:r>
                </w:p>
              </w:tc>
              <w:tc>
                <w:tcPr>
                  <w:tcW w:w="1830" w:type="dxa"/>
                  <w:tcBorders>
                    <w:tl2br w:val="nil"/>
                    <w:tr2bl w:val="nil"/>
                  </w:tcBorders>
                  <w:noWrap w:val="0"/>
                  <w:vAlign w:val="center"/>
                </w:tcPr>
                <w:p w14:paraId="685DD785">
                  <w:pPr>
                    <w:jc w:val="center"/>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流动声源</w:t>
                  </w:r>
                </w:p>
              </w:tc>
            </w:tr>
          </w:tbl>
          <w:p w14:paraId="057A7773">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w:t>
            </w:r>
            <w:r>
              <w:rPr>
                <w:rFonts w:hint="default" w:ascii="Times New Roman" w:hAnsi="Times New Roman" w:cs="Times New Roman"/>
                <w:b/>
                <w:bCs/>
                <w:color w:val="auto"/>
                <w:sz w:val="24"/>
                <w:szCs w:val="24"/>
                <w:lang w:val="en-US" w:eastAsia="zh-CN"/>
              </w:rPr>
              <w:t xml:space="preserve">4-3 </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cs="Times New Roman"/>
                <w:b/>
                <w:bCs/>
                <w:color w:val="auto"/>
                <w:sz w:val="24"/>
                <w:szCs w:val="24"/>
              </w:rPr>
              <w:t>不同施工机械环境噪声源及噪声影响预测结果表</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cs="Times New Roman"/>
                <w:b/>
                <w:bCs/>
                <w:color w:val="auto"/>
                <w:sz w:val="24"/>
                <w:szCs w:val="24"/>
              </w:rPr>
              <w:t>单位</w:t>
            </w:r>
            <w:r>
              <w:rPr>
                <w:rFonts w:hint="default" w:ascii="Times New Roman" w:hAnsi="Times New Roman" w:cs="Times New Roman"/>
                <w:b/>
                <w:bCs/>
                <w:color w:val="auto"/>
                <w:sz w:val="24"/>
                <w:szCs w:val="24"/>
                <w:lang w:eastAsia="zh-CN"/>
              </w:rPr>
              <w:t>：</w:t>
            </w:r>
            <w:r>
              <w:rPr>
                <w:rFonts w:hint="default" w:ascii="Times New Roman" w:hAnsi="Times New Roman" w:cs="Times New Roman"/>
                <w:b/>
                <w:bCs/>
                <w:color w:val="auto"/>
                <w:sz w:val="24"/>
                <w:szCs w:val="24"/>
              </w:rPr>
              <w:t>dB(A)</w:t>
            </w:r>
          </w:p>
          <w:tbl>
            <w:tblPr>
              <w:tblStyle w:val="15"/>
              <w:tblW w:w="8228"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1282"/>
              <w:gridCol w:w="1036"/>
              <w:gridCol w:w="1159"/>
              <w:gridCol w:w="941"/>
              <w:gridCol w:w="873"/>
              <w:gridCol w:w="1030"/>
              <w:gridCol w:w="822"/>
            </w:tblGrid>
            <w:tr w14:paraId="365ABE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85" w:type="dxa"/>
                  <w:vMerge w:val="restart"/>
                  <w:tcBorders>
                    <w:tl2br w:val="nil"/>
                    <w:tr2bl w:val="nil"/>
                  </w:tcBorders>
                  <w:noWrap w:val="0"/>
                  <w:vAlign w:val="center"/>
                </w:tcPr>
                <w:p w14:paraId="23008883">
                  <w:pPr>
                    <w:bidi w:val="0"/>
                    <w:jc w:val="center"/>
                    <w:rPr>
                      <w:rFonts w:hint="default" w:ascii="Times New Roman" w:hAnsi="Times New Roman" w:cs="Times New Roman"/>
                      <w:b/>
                      <w:bCs/>
                      <w:color w:val="auto"/>
                    </w:rPr>
                  </w:pPr>
                  <w:r>
                    <w:rPr>
                      <w:rFonts w:hint="default" w:ascii="Times New Roman" w:hAnsi="Times New Roman" w:cs="Times New Roman"/>
                      <w:b/>
                      <w:bCs/>
                      <w:color w:val="auto"/>
                    </w:rPr>
                    <w:t>噪声源位置</w:t>
                  </w:r>
                </w:p>
              </w:tc>
              <w:tc>
                <w:tcPr>
                  <w:tcW w:w="1282" w:type="dxa"/>
                  <w:vMerge w:val="restart"/>
                  <w:tcBorders>
                    <w:tl2br w:val="nil"/>
                    <w:tr2bl w:val="nil"/>
                  </w:tcBorders>
                  <w:noWrap w:val="0"/>
                  <w:vAlign w:val="center"/>
                </w:tcPr>
                <w:p w14:paraId="5F79B33F">
                  <w:pPr>
                    <w:bidi w:val="0"/>
                    <w:jc w:val="center"/>
                    <w:rPr>
                      <w:rFonts w:hint="default" w:ascii="Times New Roman" w:hAnsi="Times New Roman" w:cs="Times New Roman"/>
                      <w:b/>
                      <w:bCs/>
                      <w:color w:val="auto"/>
                    </w:rPr>
                  </w:pPr>
                  <w:r>
                    <w:rPr>
                      <w:rFonts w:hint="default" w:ascii="Times New Roman" w:hAnsi="Times New Roman" w:cs="Times New Roman"/>
                      <w:b/>
                      <w:bCs/>
                      <w:color w:val="auto"/>
                    </w:rPr>
                    <w:t>设备名称</w:t>
                  </w:r>
                </w:p>
              </w:tc>
              <w:tc>
                <w:tcPr>
                  <w:tcW w:w="1036" w:type="dxa"/>
                  <w:vMerge w:val="restart"/>
                  <w:tcBorders>
                    <w:tl2br w:val="nil"/>
                    <w:tr2bl w:val="nil"/>
                  </w:tcBorders>
                  <w:noWrap w:val="0"/>
                  <w:vAlign w:val="center"/>
                </w:tcPr>
                <w:p w14:paraId="5594025D">
                  <w:pPr>
                    <w:bidi w:val="0"/>
                    <w:jc w:val="center"/>
                    <w:rPr>
                      <w:rFonts w:hint="default" w:ascii="Times New Roman" w:hAnsi="Times New Roman" w:cs="Times New Roman"/>
                      <w:b/>
                      <w:bCs/>
                      <w:color w:val="auto"/>
                    </w:rPr>
                  </w:pPr>
                  <w:r>
                    <w:rPr>
                      <w:rFonts w:hint="default" w:ascii="Times New Roman" w:hAnsi="Times New Roman" w:cs="Times New Roman"/>
                      <w:b/>
                      <w:bCs/>
                      <w:color w:val="auto"/>
                    </w:rPr>
                    <w:t>声级dB(A)</w:t>
                  </w:r>
                </w:p>
              </w:tc>
              <w:tc>
                <w:tcPr>
                  <w:tcW w:w="1159" w:type="dxa"/>
                  <w:vMerge w:val="restart"/>
                  <w:tcBorders>
                    <w:tl2br w:val="nil"/>
                    <w:tr2bl w:val="nil"/>
                  </w:tcBorders>
                  <w:noWrap w:val="0"/>
                  <w:vAlign w:val="center"/>
                </w:tcPr>
                <w:p w14:paraId="17CE57A5">
                  <w:pPr>
                    <w:bidi w:val="0"/>
                    <w:jc w:val="center"/>
                    <w:rPr>
                      <w:rFonts w:hint="default" w:ascii="Times New Roman" w:hAnsi="Times New Roman" w:cs="Times New Roman"/>
                      <w:b/>
                      <w:bCs/>
                      <w:color w:val="auto"/>
                    </w:rPr>
                  </w:pPr>
                  <w:r>
                    <w:rPr>
                      <w:rFonts w:hint="default" w:ascii="Times New Roman" w:hAnsi="Times New Roman" w:cs="Times New Roman"/>
                      <w:b/>
                      <w:bCs/>
                      <w:color w:val="auto"/>
                    </w:rPr>
                    <w:t>距声源距离</w:t>
                  </w:r>
                  <w:r>
                    <w:rPr>
                      <w:rFonts w:hint="eastAsia" w:cs="Times New Roman"/>
                      <w:b/>
                      <w:bCs/>
                      <w:color w:val="auto"/>
                      <w:lang w:eastAsia="zh-CN"/>
                    </w:rPr>
                    <w:t>（</w:t>
                  </w:r>
                  <w:r>
                    <w:rPr>
                      <w:rFonts w:hint="default" w:ascii="Times New Roman" w:hAnsi="Times New Roman" w:cs="Times New Roman"/>
                      <w:b/>
                      <w:bCs/>
                      <w:color w:val="auto"/>
                    </w:rPr>
                    <w:t>m</w:t>
                  </w:r>
                  <w:r>
                    <w:rPr>
                      <w:rFonts w:hint="eastAsia" w:cs="Times New Roman"/>
                      <w:b/>
                      <w:bCs/>
                      <w:color w:val="auto"/>
                      <w:lang w:eastAsia="zh-CN"/>
                    </w:rPr>
                    <w:t>）</w:t>
                  </w:r>
                </w:p>
              </w:tc>
              <w:tc>
                <w:tcPr>
                  <w:tcW w:w="1814" w:type="dxa"/>
                  <w:gridSpan w:val="2"/>
                  <w:tcBorders>
                    <w:tl2br w:val="nil"/>
                    <w:tr2bl w:val="nil"/>
                  </w:tcBorders>
                  <w:noWrap w:val="0"/>
                  <w:vAlign w:val="center"/>
                </w:tcPr>
                <w:p w14:paraId="4DF08161">
                  <w:pPr>
                    <w:bidi w:val="0"/>
                    <w:jc w:val="center"/>
                    <w:rPr>
                      <w:rFonts w:hint="default" w:ascii="Times New Roman" w:hAnsi="Times New Roman" w:cs="Times New Roman"/>
                      <w:b/>
                      <w:bCs/>
                      <w:color w:val="auto"/>
                    </w:rPr>
                  </w:pPr>
                  <w:r>
                    <w:rPr>
                      <w:rFonts w:hint="default" w:ascii="Times New Roman" w:hAnsi="Times New Roman" w:cs="Times New Roman"/>
                      <w:b/>
                      <w:bCs/>
                      <w:color w:val="auto"/>
                    </w:rPr>
                    <w:t>评价标准dB (A)</w:t>
                  </w:r>
                </w:p>
              </w:tc>
              <w:tc>
                <w:tcPr>
                  <w:tcW w:w="1852" w:type="dxa"/>
                  <w:gridSpan w:val="2"/>
                  <w:tcBorders>
                    <w:tl2br w:val="nil"/>
                    <w:tr2bl w:val="nil"/>
                  </w:tcBorders>
                  <w:noWrap w:val="0"/>
                  <w:vAlign w:val="center"/>
                </w:tcPr>
                <w:p w14:paraId="424B1D5C">
                  <w:pPr>
                    <w:bidi w:val="0"/>
                    <w:jc w:val="center"/>
                    <w:rPr>
                      <w:rFonts w:hint="default" w:ascii="Times New Roman" w:hAnsi="Times New Roman" w:cs="Times New Roman"/>
                      <w:b/>
                      <w:bCs/>
                      <w:color w:val="auto"/>
                    </w:rPr>
                  </w:pPr>
                  <w:r>
                    <w:rPr>
                      <w:rFonts w:hint="default" w:ascii="Times New Roman" w:hAnsi="Times New Roman" w:cs="Times New Roman"/>
                      <w:b/>
                      <w:bCs/>
                      <w:color w:val="auto"/>
                    </w:rPr>
                    <w:t>最大超标范围</w:t>
                  </w:r>
                  <w:r>
                    <w:rPr>
                      <w:rFonts w:hint="eastAsia" w:cs="Times New Roman"/>
                      <w:b/>
                      <w:bCs/>
                      <w:color w:val="auto"/>
                      <w:lang w:eastAsia="zh-CN"/>
                    </w:rPr>
                    <w:t>（</w:t>
                  </w:r>
                  <w:r>
                    <w:rPr>
                      <w:rFonts w:hint="default" w:ascii="Times New Roman" w:hAnsi="Times New Roman" w:cs="Times New Roman"/>
                      <w:b/>
                      <w:bCs/>
                      <w:color w:val="auto"/>
                    </w:rPr>
                    <w:t>m</w:t>
                  </w:r>
                  <w:r>
                    <w:rPr>
                      <w:rFonts w:hint="eastAsia" w:cs="Times New Roman"/>
                      <w:b/>
                      <w:bCs/>
                      <w:color w:val="auto"/>
                      <w:lang w:eastAsia="zh-CN"/>
                    </w:rPr>
                    <w:t>）</w:t>
                  </w:r>
                </w:p>
              </w:tc>
            </w:tr>
            <w:tr w14:paraId="3EBCD21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85" w:type="dxa"/>
                  <w:vMerge w:val="continue"/>
                  <w:tcBorders>
                    <w:tl2br w:val="nil"/>
                    <w:tr2bl w:val="nil"/>
                  </w:tcBorders>
                  <w:noWrap w:val="0"/>
                  <w:vAlign w:val="center"/>
                </w:tcPr>
                <w:p w14:paraId="4E58725E">
                  <w:pPr>
                    <w:bidi w:val="0"/>
                    <w:jc w:val="center"/>
                    <w:rPr>
                      <w:rFonts w:hint="default" w:ascii="Times New Roman" w:hAnsi="Times New Roman" w:cs="Times New Roman"/>
                      <w:b/>
                      <w:bCs/>
                      <w:color w:val="auto"/>
                    </w:rPr>
                  </w:pPr>
                </w:p>
              </w:tc>
              <w:tc>
                <w:tcPr>
                  <w:tcW w:w="1282" w:type="dxa"/>
                  <w:vMerge w:val="continue"/>
                  <w:tcBorders>
                    <w:tl2br w:val="nil"/>
                    <w:tr2bl w:val="nil"/>
                  </w:tcBorders>
                  <w:noWrap w:val="0"/>
                  <w:vAlign w:val="center"/>
                </w:tcPr>
                <w:p w14:paraId="7C63B465">
                  <w:pPr>
                    <w:bidi w:val="0"/>
                    <w:jc w:val="center"/>
                    <w:rPr>
                      <w:rFonts w:hint="default" w:ascii="Times New Roman" w:hAnsi="Times New Roman" w:cs="Times New Roman"/>
                      <w:b/>
                      <w:bCs/>
                      <w:color w:val="auto"/>
                    </w:rPr>
                  </w:pPr>
                </w:p>
              </w:tc>
              <w:tc>
                <w:tcPr>
                  <w:tcW w:w="1036" w:type="dxa"/>
                  <w:vMerge w:val="continue"/>
                  <w:tcBorders>
                    <w:tl2br w:val="nil"/>
                    <w:tr2bl w:val="nil"/>
                  </w:tcBorders>
                  <w:noWrap w:val="0"/>
                  <w:vAlign w:val="center"/>
                </w:tcPr>
                <w:p w14:paraId="22B831C2">
                  <w:pPr>
                    <w:bidi w:val="0"/>
                    <w:jc w:val="center"/>
                    <w:rPr>
                      <w:rFonts w:hint="default" w:ascii="Times New Roman" w:hAnsi="Times New Roman" w:cs="Times New Roman"/>
                      <w:b/>
                      <w:bCs/>
                      <w:color w:val="auto"/>
                    </w:rPr>
                  </w:pPr>
                </w:p>
              </w:tc>
              <w:tc>
                <w:tcPr>
                  <w:tcW w:w="1159" w:type="dxa"/>
                  <w:vMerge w:val="continue"/>
                  <w:tcBorders>
                    <w:tl2br w:val="nil"/>
                    <w:tr2bl w:val="nil"/>
                  </w:tcBorders>
                  <w:noWrap w:val="0"/>
                  <w:vAlign w:val="center"/>
                </w:tcPr>
                <w:p w14:paraId="04C32CB4">
                  <w:pPr>
                    <w:bidi w:val="0"/>
                    <w:jc w:val="center"/>
                    <w:rPr>
                      <w:rFonts w:hint="default" w:ascii="Times New Roman" w:hAnsi="Times New Roman" w:cs="Times New Roman"/>
                      <w:b/>
                      <w:bCs/>
                      <w:color w:val="auto"/>
                    </w:rPr>
                  </w:pPr>
                </w:p>
              </w:tc>
              <w:tc>
                <w:tcPr>
                  <w:tcW w:w="941" w:type="dxa"/>
                  <w:tcBorders>
                    <w:tl2br w:val="nil"/>
                    <w:tr2bl w:val="nil"/>
                  </w:tcBorders>
                  <w:noWrap w:val="0"/>
                  <w:vAlign w:val="center"/>
                </w:tcPr>
                <w:p w14:paraId="7326B46A">
                  <w:pPr>
                    <w:bidi w:val="0"/>
                    <w:jc w:val="center"/>
                    <w:rPr>
                      <w:rFonts w:hint="default" w:ascii="Times New Roman" w:hAnsi="Times New Roman" w:cs="Times New Roman"/>
                      <w:b/>
                      <w:bCs/>
                      <w:color w:val="auto"/>
                    </w:rPr>
                  </w:pPr>
                  <w:r>
                    <w:rPr>
                      <w:rFonts w:hint="default" w:ascii="Times New Roman" w:hAnsi="Times New Roman" w:cs="Times New Roman"/>
                      <w:b/>
                      <w:bCs/>
                      <w:color w:val="auto"/>
                    </w:rPr>
                    <w:t>昼间</w:t>
                  </w:r>
                </w:p>
              </w:tc>
              <w:tc>
                <w:tcPr>
                  <w:tcW w:w="873" w:type="dxa"/>
                  <w:tcBorders>
                    <w:tl2br w:val="nil"/>
                    <w:tr2bl w:val="nil"/>
                  </w:tcBorders>
                  <w:noWrap w:val="0"/>
                  <w:vAlign w:val="center"/>
                </w:tcPr>
                <w:p w14:paraId="5720C1D6">
                  <w:pPr>
                    <w:bidi w:val="0"/>
                    <w:jc w:val="center"/>
                    <w:rPr>
                      <w:rFonts w:hint="default" w:ascii="Times New Roman" w:hAnsi="Times New Roman" w:cs="Times New Roman"/>
                      <w:b/>
                      <w:bCs/>
                      <w:color w:val="auto"/>
                    </w:rPr>
                  </w:pPr>
                  <w:r>
                    <w:rPr>
                      <w:rFonts w:hint="default" w:ascii="Times New Roman" w:hAnsi="Times New Roman" w:cs="Times New Roman"/>
                      <w:b/>
                      <w:bCs/>
                      <w:color w:val="auto"/>
                    </w:rPr>
                    <w:t>夜间</w:t>
                  </w:r>
                </w:p>
              </w:tc>
              <w:tc>
                <w:tcPr>
                  <w:tcW w:w="1030" w:type="dxa"/>
                  <w:tcBorders>
                    <w:tl2br w:val="nil"/>
                    <w:tr2bl w:val="nil"/>
                  </w:tcBorders>
                  <w:noWrap w:val="0"/>
                  <w:vAlign w:val="center"/>
                </w:tcPr>
                <w:p w14:paraId="4507C1EA">
                  <w:pPr>
                    <w:bidi w:val="0"/>
                    <w:jc w:val="center"/>
                    <w:rPr>
                      <w:rFonts w:hint="default" w:ascii="Times New Roman" w:hAnsi="Times New Roman" w:cs="Times New Roman"/>
                      <w:b/>
                      <w:bCs/>
                      <w:color w:val="auto"/>
                    </w:rPr>
                  </w:pPr>
                  <w:r>
                    <w:rPr>
                      <w:rFonts w:hint="default" w:ascii="Times New Roman" w:hAnsi="Times New Roman" w:cs="Times New Roman"/>
                      <w:b/>
                      <w:bCs/>
                      <w:color w:val="auto"/>
                    </w:rPr>
                    <w:t>昼间</w:t>
                  </w:r>
                </w:p>
              </w:tc>
              <w:tc>
                <w:tcPr>
                  <w:tcW w:w="822" w:type="dxa"/>
                  <w:tcBorders>
                    <w:tl2br w:val="nil"/>
                    <w:tr2bl w:val="nil"/>
                  </w:tcBorders>
                  <w:noWrap w:val="0"/>
                  <w:vAlign w:val="center"/>
                </w:tcPr>
                <w:p w14:paraId="5E15E7EC">
                  <w:pPr>
                    <w:bidi w:val="0"/>
                    <w:jc w:val="center"/>
                    <w:rPr>
                      <w:rFonts w:hint="default" w:ascii="Times New Roman" w:hAnsi="Times New Roman" w:cs="Times New Roman"/>
                      <w:b/>
                      <w:bCs/>
                      <w:color w:val="auto"/>
                    </w:rPr>
                  </w:pPr>
                  <w:r>
                    <w:rPr>
                      <w:rFonts w:hint="default" w:ascii="Times New Roman" w:hAnsi="Times New Roman" w:cs="Times New Roman"/>
                      <w:b/>
                      <w:bCs/>
                      <w:color w:val="auto"/>
                    </w:rPr>
                    <w:t>夜间</w:t>
                  </w:r>
                </w:p>
              </w:tc>
            </w:tr>
            <w:tr w14:paraId="6C6AA03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85" w:type="dxa"/>
                  <w:vMerge w:val="restart"/>
                  <w:tcBorders>
                    <w:tl2br w:val="nil"/>
                    <w:tr2bl w:val="nil"/>
                  </w:tcBorders>
                  <w:noWrap w:val="0"/>
                  <w:vAlign w:val="center"/>
                </w:tcPr>
                <w:p w14:paraId="170B2536">
                  <w:pPr>
                    <w:bidi w:val="0"/>
                    <w:jc w:val="center"/>
                    <w:rPr>
                      <w:rFonts w:hint="default" w:ascii="Times New Roman" w:hAnsi="Times New Roman" w:cs="Times New Roman"/>
                      <w:color w:val="auto"/>
                    </w:rPr>
                  </w:pPr>
                  <w:r>
                    <w:rPr>
                      <w:rFonts w:hint="default" w:ascii="Times New Roman" w:hAnsi="Times New Roman" w:cs="Times New Roman"/>
                      <w:color w:val="auto"/>
                    </w:rPr>
                    <w:t>钻井井场</w:t>
                  </w:r>
                </w:p>
              </w:tc>
              <w:tc>
                <w:tcPr>
                  <w:tcW w:w="1282" w:type="dxa"/>
                  <w:tcBorders>
                    <w:tl2br w:val="nil"/>
                    <w:tr2bl w:val="nil"/>
                  </w:tcBorders>
                  <w:noWrap w:val="0"/>
                  <w:vAlign w:val="center"/>
                </w:tcPr>
                <w:p w14:paraId="28C9ECE7">
                  <w:pPr>
                    <w:bidi w:val="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t>空压机</w:t>
                  </w:r>
                </w:p>
              </w:tc>
              <w:tc>
                <w:tcPr>
                  <w:tcW w:w="1036" w:type="dxa"/>
                  <w:tcBorders>
                    <w:tl2br w:val="nil"/>
                    <w:tr2bl w:val="nil"/>
                  </w:tcBorders>
                  <w:noWrap w:val="0"/>
                  <w:vAlign w:val="center"/>
                </w:tcPr>
                <w:p w14:paraId="63406797">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95</w:t>
                  </w:r>
                </w:p>
              </w:tc>
              <w:tc>
                <w:tcPr>
                  <w:tcW w:w="1159" w:type="dxa"/>
                  <w:tcBorders>
                    <w:tl2br w:val="nil"/>
                    <w:tr2bl w:val="nil"/>
                  </w:tcBorders>
                  <w:noWrap w:val="0"/>
                  <w:vAlign w:val="center"/>
                </w:tcPr>
                <w:p w14:paraId="716AABC2">
                  <w:pPr>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941" w:type="dxa"/>
                  <w:vMerge w:val="restart"/>
                  <w:tcBorders>
                    <w:tl2br w:val="nil"/>
                    <w:tr2bl w:val="nil"/>
                  </w:tcBorders>
                  <w:noWrap w:val="0"/>
                  <w:vAlign w:val="center"/>
                </w:tcPr>
                <w:p w14:paraId="7EB29541">
                  <w:pPr>
                    <w:bidi w:val="0"/>
                    <w:jc w:val="center"/>
                    <w:rPr>
                      <w:rFonts w:hint="default" w:ascii="Times New Roman" w:hAnsi="Times New Roman" w:cs="Times New Roman"/>
                      <w:color w:val="auto"/>
                    </w:rPr>
                  </w:pPr>
                  <w:r>
                    <w:rPr>
                      <w:rFonts w:hint="default" w:ascii="Times New Roman" w:hAnsi="Times New Roman" w:cs="Times New Roman"/>
                      <w:color w:val="auto"/>
                    </w:rPr>
                    <w:t>70</w:t>
                  </w:r>
                </w:p>
              </w:tc>
              <w:tc>
                <w:tcPr>
                  <w:tcW w:w="873" w:type="dxa"/>
                  <w:vMerge w:val="restart"/>
                  <w:tcBorders>
                    <w:tl2br w:val="nil"/>
                    <w:tr2bl w:val="nil"/>
                  </w:tcBorders>
                  <w:noWrap w:val="0"/>
                  <w:vAlign w:val="center"/>
                </w:tcPr>
                <w:p w14:paraId="65A61D19">
                  <w:pPr>
                    <w:bidi w:val="0"/>
                    <w:jc w:val="center"/>
                    <w:rPr>
                      <w:rFonts w:hint="default" w:ascii="Times New Roman" w:hAnsi="Times New Roman" w:cs="Times New Roman"/>
                      <w:color w:val="auto"/>
                    </w:rPr>
                  </w:pPr>
                  <w:r>
                    <w:rPr>
                      <w:rFonts w:hint="default" w:ascii="Times New Roman" w:hAnsi="Times New Roman" w:cs="Times New Roman"/>
                      <w:color w:val="auto"/>
                    </w:rPr>
                    <w:t>55</w:t>
                  </w:r>
                </w:p>
              </w:tc>
              <w:tc>
                <w:tcPr>
                  <w:tcW w:w="1030" w:type="dxa"/>
                  <w:tcBorders>
                    <w:tl2br w:val="nil"/>
                    <w:tr2bl w:val="nil"/>
                  </w:tcBorders>
                  <w:noWrap w:val="0"/>
                  <w:vAlign w:val="center"/>
                </w:tcPr>
                <w:p w14:paraId="375BD4AD">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18</w:t>
                  </w:r>
                </w:p>
              </w:tc>
              <w:tc>
                <w:tcPr>
                  <w:tcW w:w="822" w:type="dxa"/>
                  <w:tcBorders>
                    <w:tl2br w:val="nil"/>
                    <w:tr2bl w:val="nil"/>
                  </w:tcBorders>
                  <w:noWrap w:val="0"/>
                  <w:vAlign w:val="center"/>
                </w:tcPr>
                <w:p w14:paraId="45C4BB9C">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100</w:t>
                  </w:r>
                </w:p>
              </w:tc>
            </w:tr>
            <w:tr w14:paraId="3470BB1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85" w:type="dxa"/>
                  <w:vMerge w:val="continue"/>
                  <w:tcBorders>
                    <w:tl2br w:val="nil"/>
                    <w:tr2bl w:val="nil"/>
                  </w:tcBorders>
                  <w:noWrap w:val="0"/>
                  <w:vAlign w:val="center"/>
                </w:tcPr>
                <w:p w14:paraId="3CB49CBF">
                  <w:pPr>
                    <w:bidi w:val="0"/>
                    <w:jc w:val="center"/>
                    <w:rPr>
                      <w:rFonts w:hint="default" w:ascii="Times New Roman" w:hAnsi="Times New Roman" w:cs="Times New Roman"/>
                      <w:color w:val="auto"/>
                    </w:rPr>
                  </w:pPr>
                </w:p>
              </w:tc>
              <w:tc>
                <w:tcPr>
                  <w:tcW w:w="1282" w:type="dxa"/>
                  <w:tcBorders>
                    <w:tl2br w:val="nil"/>
                    <w:tr2bl w:val="nil"/>
                  </w:tcBorders>
                  <w:noWrap w:val="0"/>
                  <w:vAlign w:val="center"/>
                </w:tcPr>
                <w:p w14:paraId="1A5081AB">
                  <w:pPr>
                    <w:jc w:val="center"/>
                    <w:rPr>
                      <w:rFonts w:hint="default" w:ascii="Times New Roman" w:hAnsi="Times New Roman" w:cs="Times New Roman"/>
                      <w:color w:val="auto"/>
                      <w:lang w:eastAsia="zh-CN"/>
                    </w:rPr>
                  </w:pPr>
                  <w:r>
                    <w:rPr>
                      <w:rFonts w:hint="default" w:ascii="Times New Roman" w:hAnsi="Times New Roman" w:eastAsia="宋体" w:cs="Times New Roman"/>
                      <w:color w:val="auto"/>
                      <w:szCs w:val="22"/>
                      <w:lang w:eastAsia="zh-CN"/>
                    </w:rPr>
                    <w:t>离心机</w:t>
                  </w:r>
                </w:p>
              </w:tc>
              <w:tc>
                <w:tcPr>
                  <w:tcW w:w="1036" w:type="dxa"/>
                  <w:tcBorders>
                    <w:tl2br w:val="nil"/>
                    <w:tr2bl w:val="nil"/>
                  </w:tcBorders>
                  <w:noWrap w:val="0"/>
                  <w:vAlign w:val="center"/>
                </w:tcPr>
                <w:p w14:paraId="33EACF02">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80</w:t>
                  </w:r>
                </w:p>
              </w:tc>
              <w:tc>
                <w:tcPr>
                  <w:tcW w:w="1159" w:type="dxa"/>
                  <w:tcBorders>
                    <w:tl2br w:val="nil"/>
                    <w:tr2bl w:val="nil"/>
                  </w:tcBorders>
                  <w:noWrap w:val="0"/>
                  <w:vAlign w:val="center"/>
                </w:tcPr>
                <w:p w14:paraId="083FB225">
                  <w:pPr>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941" w:type="dxa"/>
                  <w:vMerge w:val="continue"/>
                  <w:tcBorders>
                    <w:tl2br w:val="nil"/>
                    <w:tr2bl w:val="nil"/>
                  </w:tcBorders>
                  <w:noWrap w:val="0"/>
                  <w:vAlign w:val="center"/>
                </w:tcPr>
                <w:p w14:paraId="47D6D13E">
                  <w:pPr>
                    <w:bidi w:val="0"/>
                    <w:jc w:val="center"/>
                    <w:rPr>
                      <w:rFonts w:hint="default" w:ascii="Times New Roman" w:hAnsi="Times New Roman" w:cs="Times New Roman"/>
                      <w:color w:val="auto"/>
                    </w:rPr>
                  </w:pPr>
                </w:p>
              </w:tc>
              <w:tc>
                <w:tcPr>
                  <w:tcW w:w="873" w:type="dxa"/>
                  <w:vMerge w:val="continue"/>
                  <w:tcBorders>
                    <w:tl2br w:val="nil"/>
                    <w:tr2bl w:val="nil"/>
                  </w:tcBorders>
                  <w:noWrap w:val="0"/>
                  <w:vAlign w:val="center"/>
                </w:tcPr>
                <w:p w14:paraId="0563A91F">
                  <w:pPr>
                    <w:bidi w:val="0"/>
                    <w:jc w:val="center"/>
                    <w:rPr>
                      <w:rFonts w:hint="default" w:ascii="Times New Roman" w:hAnsi="Times New Roman" w:cs="Times New Roman"/>
                      <w:color w:val="auto"/>
                    </w:rPr>
                  </w:pPr>
                </w:p>
              </w:tc>
              <w:tc>
                <w:tcPr>
                  <w:tcW w:w="1030" w:type="dxa"/>
                  <w:tcBorders>
                    <w:tl2br w:val="nil"/>
                    <w:tr2bl w:val="nil"/>
                  </w:tcBorders>
                  <w:noWrap w:val="0"/>
                  <w:vAlign w:val="center"/>
                </w:tcPr>
                <w:p w14:paraId="2FBF335D">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3</w:t>
                  </w:r>
                </w:p>
              </w:tc>
              <w:tc>
                <w:tcPr>
                  <w:tcW w:w="822" w:type="dxa"/>
                  <w:tcBorders>
                    <w:tl2br w:val="nil"/>
                    <w:tr2bl w:val="nil"/>
                  </w:tcBorders>
                  <w:noWrap w:val="0"/>
                  <w:vAlign w:val="center"/>
                </w:tcPr>
                <w:p w14:paraId="0043FDE6">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18</w:t>
                  </w:r>
                </w:p>
              </w:tc>
            </w:tr>
            <w:tr w14:paraId="22D8EBB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85" w:type="dxa"/>
                  <w:vMerge w:val="continue"/>
                  <w:tcBorders>
                    <w:tl2br w:val="nil"/>
                    <w:tr2bl w:val="nil"/>
                  </w:tcBorders>
                  <w:noWrap w:val="0"/>
                  <w:vAlign w:val="center"/>
                </w:tcPr>
                <w:p w14:paraId="18AC2510">
                  <w:pPr>
                    <w:bidi w:val="0"/>
                    <w:jc w:val="center"/>
                    <w:rPr>
                      <w:rFonts w:hint="default" w:ascii="Times New Roman" w:hAnsi="Times New Roman" w:cs="Times New Roman"/>
                      <w:color w:val="auto"/>
                    </w:rPr>
                  </w:pPr>
                </w:p>
              </w:tc>
              <w:tc>
                <w:tcPr>
                  <w:tcW w:w="1282" w:type="dxa"/>
                  <w:tcBorders>
                    <w:tl2br w:val="nil"/>
                    <w:tr2bl w:val="nil"/>
                  </w:tcBorders>
                  <w:noWrap w:val="0"/>
                  <w:vAlign w:val="center"/>
                </w:tcPr>
                <w:p w14:paraId="62423422">
                  <w:pPr>
                    <w:jc w:val="center"/>
                    <w:rPr>
                      <w:rFonts w:hint="default" w:ascii="Times New Roman" w:hAnsi="Times New Roman" w:cs="Times New Roman"/>
                      <w:color w:val="auto"/>
                      <w:lang w:eastAsia="zh-CN"/>
                    </w:rPr>
                  </w:pPr>
                  <w:r>
                    <w:rPr>
                      <w:rFonts w:hint="default" w:ascii="Times New Roman" w:hAnsi="Times New Roman" w:eastAsia="宋体" w:cs="Times New Roman"/>
                      <w:color w:val="auto"/>
                      <w:szCs w:val="22"/>
                      <w:lang w:eastAsia="zh-CN"/>
                    </w:rPr>
                    <w:t>压风机</w:t>
                  </w:r>
                </w:p>
              </w:tc>
              <w:tc>
                <w:tcPr>
                  <w:tcW w:w="1036" w:type="dxa"/>
                  <w:tcBorders>
                    <w:tl2br w:val="nil"/>
                    <w:tr2bl w:val="nil"/>
                  </w:tcBorders>
                  <w:noWrap w:val="0"/>
                  <w:vAlign w:val="center"/>
                </w:tcPr>
                <w:p w14:paraId="2C009FB4">
                  <w:pPr>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90</w:t>
                  </w:r>
                </w:p>
              </w:tc>
              <w:tc>
                <w:tcPr>
                  <w:tcW w:w="1159" w:type="dxa"/>
                  <w:tcBorders>
                    <w:tl2br w:val="nil"/>
                    <w:tr2bl w:val="nil"/>
                  </w:tcBorders>
                  <w:noWrap w:val="0"/>
                  <w:vAlign w:val="center"/>
                </w:tcPr>
                <w:p w14:paraId="027147CF">
                  <w:pPr>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p>
              </w:tc>
              <w:tc>
                <w:tcPr>
                  <w:tcW w:w="941" w:type="dxa"/>
                  <w:vMerge w:val="continue"/>
                  <w:tcBorders>
                    <w:tl2br w:val="nil"/>
                    <w:tr2bl w:val="nil"/>
                  </w:tcBorders>
                  <w:noWrap w:val="0"/>
                  <w:vAlign w:val="center"/>
                </w:tcPr>
                <w:p w14:paraId="6394C5C7">
                  <w:pPr>
                    <w:bidi w:val="0"/>
                    <w:jc w:val="center"/>
                    <w:rPr>
                      <w:rFonts w:hint="default" w:ascii="Times New Roman" w:hAnsi="Times New Roman" w:cs="Times New Roman"/>
                      <w:color w:val="auto"/>
                    </w:rPr>
                  </w:pPr>
                </w:p>
              </w:tc>
              <w:tc>
                <w:tcPr>
                  <w:tcW w:w="873" w:type="dxa"/>
                  <w:vMerge w:val="continue"/>
                  <w:tcBorders>
                    <w:tl2br w:val="nil"/>
                    <w:tr2bl w:val="nil"/>
                  </w:tcBorders>
                  <w:noWrap w:val="0"/>
                  <w:vAlign w:val="center"/>
                </w:tcPr>
                <w:p w14:paraId="6A39752C">
                  <w:pPr>
                    <w:bidi w:val="0"/>
                    <w:jc w:val="center"/>
                    <w:rPr>
                      <w:rFonts w:hint="default" w:ascii="Times New Roman" w:hAnsi="Times New Roman" w:cs="Times New Roman"/>
                      <w:color w:val="auto"/>
                    </w:rPr>
                  </w:pPr>
                </w:p>
              </w:tc>
              <w:tc>
                <w:tcPr>
                  <w:tcW w:w="1030" w:type="dxa"/>
                  <w:tcBorders>
                    <w:tl2br w:val="nil"/>
                    <w:tr2bl w:val="nil"/>
                  </w:tcBorders>
                  <w:noWrap w:val="0"/>
                  <w:vAlign w:val="center"/>
                </w:tcPr>
                <w:p w14:paraId="3E67A292">
                  <w:pPr>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10</w:t>
                  </w:r>
                </w:p>
              </w:tc>
              <w:tc>
                <w:tcPr>
                  <w:tcW w:w="822" w:type="dxa"/>
                  <w:tcBorders>
                    <w:tl2br w:val="nil"/>
                    <w:tr2bl w:val="nil"/>
                  </w:tcBorders>
                  <w:noWrap w:val="0"/>
                  <w:vAlign w:val="center"/>
                </w:tcPr>
                <w:p w14:paraId="6A7AC553">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56</w:t>
                  </w:r>
                </w:p>
              </w:tc>
            </w:tr>
            <w:tr w14:paraId="43DD855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85" w:type="dxa"/>
                  <w:vMerge w:val="continue"/>
                  <w:tcBorders>
                    <w:tl2br w:val="nil"/>
                    <w:tr2bl w:val="nil"/>
                  </w:tcBorders>
                  <w:noWrap w:val="0"/>
                  <w:vAlign w:val="center"/>
                </w:tcPr>
                <w:p w14:paraId="6F736C6F">
                  <w:pPr>
                    <w:bidi w:val="0"/>
                    <w:jc w:val="center"/>
                    <w:rPr>
                      <w:rFonts w:hint="default" w:ascii="Times New Roman" w:hAnsi="Times New Roman" w:cs="Times New Roman"/>
                      <w:color w:val="auto"/>
                    </w:rPr>
                  </w:pPr>
                </w:p>
              </w:tc>
              <w:tc>
                <w:tcPr>
                  <w:tcW w:w="1282" w:type="dxa"/>
                  <w:tcBorders>
                    <w:tl2br w:val="nil"/>
                    <w:tr2bl w:val="nil"/>
                  </w:tcBorders>
                  <w:noWrap w:val="0"/>
                  <w:vAlign w:val="center"/>
                </w:tcPr>
                <w:p w14:paraId="0348DBF2">
                  <w:pPr>
                    <w:jc w:val="center"/>
                    <w:rPr>
                      <w:rFonts w:hint="default" w:ascii="Times New Roman" w:hAnsi="Times New Roman" w:cs="Times New Roman"/>
                      <w:color w:val="auto"/>
                    </w:rPr>
                  </w:pPr>
                  <w:r>
                    <w:rPr>
                      <w:rFonts w:hint="default" w:ascii="Times New Roman" w:hAnsi="Times New Roman" w:eastAsia="宋体" w:cs="Times New Roman"/>
                      <w:color w:val="auto"/>
                      <w:szCs w:val="22"/>
                    </w:rPr>
                    <w:t>钻</w:t>
                  </w:r>
                  <w:r>
                    <w:rPr>
                      <w:rFonts w:hint="eastAsia" w:ascii="Times New Roman" w:hAnsi="Times New Roman" w:eastAsia="宋体" w:cs="Times New Roman"/>
                      <w:color w:val="auto"/>
                      <w:szCs w:val="22"/>
                      <w:lang w:val="en-US" w:eastAsia="zh-CN"/>
                    </w:rPr>
                    <w:t>井泵</w:t>
                  </w:r>
                </w:p>
              </w:tc>
              <w:tc>
                <w:tcPr>
                  <w:tcW w:w="1036" w:type="dxa"/>
                  <w:tcBorders>
                    <w:tl2br w:val="nil"/>
                    <w:tr2bl w:val="nil"/>
                  </w:tcBorders>
                  <w:noWrap w:val="0"/>
                  <w:vAlign w:val="center"/>
                </w:tcPr>
                <w:p w14:paraId="4E4E8181">
                  <w:pPr>
                    <w:bidi w:val="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100</w:t>
                  </w:r>
                </w:p>
              </w:tc>
              <w:tc>
                <w:tcPr>
                  <w:tcW w:w="1159" w:type="dxa"/>
                  <w:tcBorders>
                    <w:tl2br w:val="nil"/>
                    <w:tr2bl w:val="nil"/>
                  </w:tcBorders>
                  <w:noWrap w:val="0"/>
                  <w:vAlign w:val="center"/>
                </w:tcPr>
                <w:p w14:paraId="02309510">
                  <w:pPr>
                    <w:bidi w:val="0"/>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1</w:t>
                  </w:r>
                </w:p>
              </w:tc>
              <w:tc>
                <w:tcPr>
                  <w:tcW w:w="941" w:type="dxa"/>
                  <w:vMerge w:val="continue"/>
                  <w:tcBorders>
                    <w:tl2br w:val="nil"/>
                    <w:tr2bl w:val="nil"/>
                  </w:tcBorders>
                  <w:noWrap w:val="0"/>
                  <w:vAlign w:val="center"/>
                </w:tcPr>
                <w:p w14:paraId="6992727B">
                  <w:pPr>
                    <w:bidi w:val="0"/>
                    <w:jc w:val="center"/>
                    <w:rPr>
                      <w:rFonts w:hint="default" w:ascii="Times New Roman" w:hAnsi="Times New Roman" w:cs="Times New Roman"/>
                      <w:color w:val="auto"/>
                    </w:rPr>
                  </w:pPr>
                </w:p>
              </w:tc>
              <w:tc>
                <w:tcPr>
                  <w:tcW w:w="873" w:type="dxa"/>
                  <w:vMerge w:val="continue"/>
                  <w:tcBorders>
                    <w:tl2br w:val="nil"/>
                    <w:tr2bl w:val="nil"/>
                  </w:tcBorders>
                  <w:noWrap w:val="0"/>
                  <w:vAlign w:val="center"/>
                </w:tcPr>
                <w:p w14:paraId="56F617AD">
                  <w:pPr>
                    <w:bidi w:val="0"/>
                    <w:jc w:val="center"/>
                    <w:rPr>
                      <w:rFonts w:hint="default" w:ascii="Times New Roman" w:hAnsi="Times New Roman" w:cs="Times New Roman"/>
                      <w:color w:val="auto"/>
                    </w:rPr>
                  </w:pPr>
                </w:p>
              </w:tc>
              <w:tc>
                <w:tcPr>
                  <w:tcW w:w="1030" w:type="dxa"/>
                  <w:tcBorders>
                    <w:tl2br w:val="nil"/>
                    <w:tr2bl w:val="nil"/>
                  </w:tcBorders>
                  <w:noWrap w:val="0"/>
                  <w:vAlign w:val="center"/>
                </w:tcPr>
                <w:p w14:paraId="759FF436">
                  <w:pPr>
                    <w:bidi w:val="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32</w:t>
                  </w:r>
                </w:p>
              </w:tc>
              <w:tc>
                <w:tcPr>
                  <w:tcW w:w="822" w:type="dxa"/>
                  <w:tcBorders>
                    <w:tl2br w:val="nil"/>
                    <w:tr2bl w:val="nil"/>
                  </w:tcBorders>
                  <w:noWrap w:val="0"/>
                  <w:vAlign w:val="center"/>
                </w:tcPr>
                <w:p w14:paraId="4B9E364A">
                  <w:pPr>
                    <w:bidi w:val="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178</w:t>
                  </w:r>
                </w:p>
              </w:tc>
            </w:tr>
            <w:tr w14:paraId="3C80D7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85" w:type="dxa"/>
                  <w:vMerge w:val="continue"/>
                  <w:tcBorders>
                    <w:tl2br w:val="nil"/>
                    <w:tr2bl w:val="nil"/>
                  </w:tcBorders>
                  <w:noWrap w:val="0"/>
                  <w:vAlign w:val="center"/>
                </w:tcPr>
                <w:p w14:paraId="4CBC0FED">
                  <w:pPr>
                    <w:bidi w:val="0"/>
                    <w:jc w:val="center"/>
                    <w:rPr>
                      <w:rFonts w:hint="default" w:ascii="Times New Roman" w:hAnsi="Times New Roman" w:cs="Times New Roman"/>
                      <w:color w:val="auto"/>
                    </w:rPr>
                  </w:pPr>
                </w:p>
              </w:tc>
              <w:tc>
                <w:tcPr>
                  <w:tcW w:w="1282" w:type="dxa"/>
                  <w:tcBorders>
                    <w:tl2br w:val="nil"/>
                    <w:tr2bl w:val="nil"/>
                  </w:tcBorders>
                  <w:noWrap w:val="0"/>
                  <w:vAlign w:val="center"/>
                </w:tcPr>
                <w:p w14:paraId="097E419E">
                  <w:pPr>
                    <w:jc w:val="center"/>
                    <w:rPr>
                      <w:rFonts w:hint="default" w:ascii="Times New Roman" w:hAnsi="Times New Roman" w:cs="Times New Roman"/>
                      <w:color w:val="auto"/>
                    </w:rPr>
                  </w:pPr>
                  <w:r>
                    <w:rPr>
                      <w:rFonts w:hint="eastAsia" w:ascii="Times New Roman" w:hAnsi="Times New Roman" w:eastAsia="宋体" w:cs="Times New Roman"/>
                      <w:color w:val="auto"/>
                      <w:szCs w:val="22"/>
                      <w:lang w:val="en-US" w:eastAsia="zh-CN"/>
                    </w:rPr>
                    <w:t>压滤机</w:t>
                  </w:r>
                </w:p>
              </w:tc>
              <w:tc>
                <w:tcPr>
                  <w:tcW w:w="1036" w:type="dxa"/>
                  <w:tcBorders>
                    <w:tl2br w:val="nil"/>
                    <w:tr2bl w:val="nil"/>
                  </w:tcBorders>
                  <w:noWrap w:val="0"/>
                  <w:vAlign w:val="center"/>
                </w:tcPr>
                <w:p w14:paraId="5CFC42C2">
                  <w:pPr>
                    <w:bidi w:val="0"/>
                    <w:jc w:val="center"/>
                    <w:rPr>
                      <w:rFonts w:hint="default" w:ascii="Times New Roman" w:hAnsi="Times New Roman" w:cs="Times New Roman"/>
                      <w:color w:val="auto"/>
                    </w:rPr>
                  </w:pPr>
                  <w:r>
                    <w:rPr>
                      <w:rFonts w:hint="default" w:ascii="Times New Roman" w:hAnsi="Times New Roman" w:cs="Times New Roman"/>
                      <w:color w:val="auto"/>
                    </w:rPr>
                    <w:t>90</w:t>
                  </w:r>
                </w:p>
              </w:tc>
              <w:tc>
                <w:tcPr>
                  <w:tcW w:w="1159" w:type="dxa"/>
                  <w:tcBorders>
                    <w:tl2br w:val="nil"/>
                    <w:tr2bl w:val="nil"/>
                  </w:tcBorders>
                  <w:noWrap w:val="0"/>
                  <w:vAlign w:val="center"/>
                </w:tcPr>
                <w:p w14:paraId="3FC11627">
                  <w:pPr>
                    <w:bidi w:val="0"/>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1</w:t>
                  </w:r>
                </w:p>
              </w:tc>
              <w:tc>
                <w:tcPr>
                  <w:tcW w:w="941" w:type="dxa"/>
                  <w:vMerge w:val="continue"/>
                  <w:tcBorders>
                    <w:tl2br w:val="nil"/>
                    <w:tr2bl w:val="nil"/>
                  </w:tcBorders>
                  <w:noWrap w:val="0"/>
                  <w:vAlign w:val="center"/>
                </w:tcPr>
                <w:p w14:paraId="15BEA734">
                  <w:pPr>
                    <w:bidi w:val="0"/>
                    <w:jc w:val="center"/>
                    <w:rPr>
                      <w:rFonts w:hint="default" w:ascii="Times New Roman" w:hAnsi="Times New Roman" w:cs="Times New Roman"/>
                      <w:color w:val="auto"/>
                    </w:rPr>
                  </w:pPr>
                </w:p>
              </w:tc>
              <w:tc>
                <w:tcPr>
                  <w:tcW w:w="873" w:type="dxa"/>
                  <w:vMerge w:val="continue"/>
                  <w:tcBorders>
                    <w:tl2br w:val="nil"/>
                    <w:tr2bl w:val="nil"/>
                  </w:tcBorders>
                  <w:noWrap w:val="0"/>
                  <w:vAlign w:val="center"/>
                </w:tcPr>
                <w:p w14:paraId="799EA63B">
                  <w:pPr>
                    <w:bidi w:val="0"/>
                    <w:jc w:val="center"/>
                    <w:rPr>
                      <w:rFonts w:hint="default" w:ascii="Times New Roman" w:hAnsi="Times New Roman" w:cs="Times New Roman"/>
                      <w:color w:val="auto"/>
                    </w:rPr>
                  </w:pPr>
                </w:p>
              </w:tc>
              <w:tc>
                <w:tcPr>
                  <w:tcW w:w="1030" w:type="dxa"/>
                  <w:tcBorders>
                    <w:tl2br w:val="nil"/>
                    <w:tr2bl w:val="nil"/>
                  </w:tcBorders>
                  <w:noWrap w:val="0"/>
                  <w:vAlign w:val="center"/>
                </w:tcPr>
                <w:p w14:paraId="294E412D">
                  <w:pPr>
                    <w:bidi w:val="0"/>
                    <w:jc w:val="center"/>
                    <w:rPr>
                      <w:rFonts w:hint="default" w:ascii="Times New Roman" w:hAnsi="Times New Roman" w:cs="Times New Roman"/>
                      <w:color w:val="auto"/>
                    </w:rPr>
                  </w:pPr>
                  <w:r>
                    <w:rPr>
                      <w:rFonts w:hint="default" w:ascii="Times New Roman" w:hAnsi="Times New Roman" w:cs="Times New Roman"/>
                      <w:color w:val="auto"/>
                      <w:lang w:val="en-US" w:eastAsia="zh-CN"/>
                    </w:rPr>
                    <w:t>10</w:t>
                  </w:r>
                </w:p>
              </w:tc>
              <w:tc>
                <w:tcPr>
                  <w:tcW w:w="822" w:type="dxa"/>
                  <w:tcBorders>
                    <w:tl2br w:val="nil"/>
                    <w:tr2bl w:val="nil"/>
                  </w:tcBorders>
                  <w:noWrap w:val="0"/>
                  <w:vAlign w:val="center"/>
                </w:tcPr>
                <w:p w14:paraId="29140E5A">
                  <w:pPr>
                    <w:bidi w:val="0"/>
                    <w:jc w:val="center"/>
                    <w:rPr>
                      <w:rFonts w:hint="default" w:ascii="Times New Roman" w:hAnsi="Times New Roman" w:cs="Times New Roman"/>
                      <w:color w:val="auto"/>
                    </w:rPr>
                  </w:pPr>
                  <w:r>
                    <w:rPr>
                      <w:rFonts w:hint="eastAsia" w:ascii="Times New Roman" w:hAnsi="Times New Roman" w:cs="Times New Roman"/>
                      <w:color w:val="auto"/>
                      <w:lang w:val="en-US" w:eastAsia="zh-CN"/>
                    </w:rPr>
                    <w:t>56</w:t>
                  </w:r>
                </w:p>
              </w:tc>
            </w:tr>
            <w:tr w14:paraId="430E341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85" w:type="dxa"/>
                  <w:vMerge w:val="continue"/>
                  <w:tcBorders>
                    <w:tl2br w:val="nil"/>
                    <w:tr2bl w:val="nil"/>
                  </w:tcBorders>
                  <w:noWrap w:val="0"/>
                  <w:vAlign w:val="center"/>
                </w:tcPr>
                <w:p w14:paraId="7CCCDDD7">
                  <w:pPr>
                    <w:bidi w:val="0"/>
                    <w:jc w:val="center"/>
                    <w:rPr>
                      <w:rFonts w:hint="default" w:ascii="Times New Roman" w:hAnsi="Times New Roman" w:cs="Times New Roman"/>
                      <w:color w:val="auto"/>
                    </w:rPr>
                  </w:pPr>
                </w:p>
              </w:tc>
              <w:tc>
                <w:tcPr>
                  <w:tcW w:w="1282" w:type="dxa"/>
                  <w:tcBorders>
                    <w:tl2br w:val="nil"/>
                    <w:tr2bl w:val="nil"/>
                  </w:tcBorders>
                  <w:noWrap w:val="0"/>
                  <w:vAlign w:val="center"/>
                </w:tcPr>
                <w:p w14:paraId="692D81C8">
                  <w:pPr>
                    <w:jc w:val="center"/>
                    <w:rPr>
                      <w:rFonts w:hint="default" w:ascii="Times New Roman" w:hAnsi="Times New Roman" w:cs="Times New Roman"/>
                      <w:color w:val="auto"/>
                      <w:lang w:eastAsia="zh-CN"/>
                    </w:rPr>
                  </w:pPr>
                  <w:r>
                    <w:rPr>
                      <w:rFonts w:hint="default" w:ascii="Times New Roman" w:hAnsi="Times New Roman" w:eastAsia="宋体" w:cs="Times New Roman"/>
                      <w:color w:val="auto"/>
                      <w:szCs w:val="22"/>
                      <w:lang w:eastAsia="zh-CN"/>
                    </w:rPr>
                    <w:t>振动筛</w:t>
                  </w:r>
                </w:p>
              </w:tc>
              <w:tc>
                <w:tcPr>
                  <w:tcW w:w="1036" w:type="dxa"/>
                  <w:tcBorders>
                    <w:tl2br w:val="nil"/>
                    <w:tr2bl w:val="nil"/>
                  </w:tcBorders>
                  <w:noWrap w:val="0"/>
                  <w:vAlign w:val="center"/>
                </w:tcPr>
                <w:p w14:paraId="15B5FF51">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95</w:t>
                  </w:r>
                </w:p>
              </w:tc>
              <w:tc>
                <w:tcPr>
                  <w:tcW w:w="1159" w:type="dxa"/>
                  <w:tcBorders>
                    <w:tl2br w:val="nil"/>
                    <w:tr2bl w:val="nil"/>
                  </w:tcBorders>
                  <w:noWrap w:val="0"/>
                  <w:vAlign w:val="center"/>
                </w:tcPr>
                <w:p w14:paraId="18F344A8">
                  <w:pPr>
                    <w:bidi w:val="0"/>
                    <w:jc w:val="center"/>
                    <w:rPr>
                      <w:rFonts w:hint="default" w:ascii="Times New Roman" w:hAnsi="Times New Roman" w:cs="Times New Roman"/>
                      <w:color w:val="auto"/>
                    </w:rPr>
                  </w:pPr>
                  <w:r>
                    <w:rPr>
                      <w:rFonts w:hint="default" w:ascii="Times New Roman" w:hAnsi="Times New Roman" w:cs="Times New Roman"/>
                      <w:color w:val="auto"/>
                      <w:lang w:val="en-US" w:eastAsia="zh-CN"/>
                    </w:rPr>
                    <w:t>1</w:t>
                  </w:r>
                </w:p>
              </w:tc>
              <w:tc>
                <w:tcPr>
                  <w:tcW w:w="941" w:type="dxa"/>
                  <w:vMerge w:val="continue"/>
                  <w:tcBorders>
                    <w:tl2br w:val="nil"/>
                    <w:tr2bl w:val="nil"/>
                  </w:tcBorders>
                  <w:noWrap w:val="0"/>
                  <w:vAlign w:val="center"/>
                </w:tcPr>
                <w:p w14:paraId="1B441310">
                  <w:pPr>
                    <w:bidi w:val="0"/>
                    <w:jc w:val="center"/>
                    <w:rPr>
                      <w:rFonts w:hint="default" w:ascii="Times New Roman" w:hAnsi="Times New Roman" w:cs="Times New Roman"/>
                      <w:color w:val="auto"/>
                    </w:rPr>
                  </w:pPr>
                </w:p>
              </w:tc>
              <w:tc>
                <w:tcPr>
                  <w:tcW w:w="873" w:type="dxa"/>
                  <w:vMerge w:val="continue"/>
                  <w:tcBorders>
                    <w:tl2br w:val="nil"/>
                    <w:tr2bl w:val="nil"/>
                  </w:tcBorders>
                  <w:noWrap w:val="0"/>
                  <w:vAlign w:val="center"/>
                </w:tcPr>
                <w:p w14:paraId="610E39E2">
                  <w:pPr>
                    <w:bidi w:val="0"/>
                    <w:jc w:val="center"/>
                    <w:rPr>
                      <w:rFonts w:hint="default" w:ascii="Times New Roman" w:hAnsi="Times New Roman" w:cs="Times New Roman"/>
                      <w:color w:val="auto"/>
                    </w:rPr>
                  </w:pPr>
                </w:p>
              </w:tc>
              <w:tc>
                <w:tcPr>
                  <w:tcW w:w="1030" w:type="dxa"/>
                  <w:tcBorders>
                    <w:tl2br w:val="nil"/>
                    <w:tr2bl w:val="nil"/>
                  </w:tcBorders>
                  <w:noWrap w:val="0"/>
                  <w:vAlign w:val="center"/>
                </w:tcPr>
                <w:p w14:paraId="68065CC6">
                  <w:pPr>
                    <w:bidi w:val="0"/>
                    <w:jc w:val="center"/>
                    <w:rPr>
                      <w:rFonts w:hint="default" w:ascii="Times New Roman" w:hAnsi="Times New Roman" w:cs="Times New Roman"/>
                      <w:color w:val="auto"/>
                      <w:lang w:val="en-US"/>
                    </w:rPr>
                  </w:pPr>
                  <w:r>
                    <w:rPr>
                      <w:rFonts w:hint="eastAsia" w:ascii="Times New Roman" w:hAnsi="Times New Roman" w:cs="Times New Roman"/>
                      <w:color w:val="auto"/>
                      <w:lang w:val="en-US" w:eastAsia="zh-CN"/>
                    </w:rPr>
                    <w:t>18</w:t>
                  </w:r>
                </w:p>
              </w:tc>
              <w:tc>
                <w:tcPr>
                  <w:tcW w:w="822" w:type="dxa"/>
                  <w:tcBorders>
                    <w:tl2br w:val="nil"/>
                    <w:tr2bl w:val="nil"/>
                  </w:tcBorders>
                  <w:noWrap w:val="0"/>
                  <w:vAlign w:val="center"/>
                </w:tcPr>
                <w:p w14:paraId="04C566E4">
                  <w:pPr>
                    <w:bidi w:val="0"/>
                    <w:jc w:val="center"/>
                    <w:rPr>
                      <w:rFonts w:hint="default" w:ascii="Times New Roman" w:hAnsi="Times New Roman" w:cs="Times New Roman"/>
                      <w:color w:val="auto"/>
                      <w:lang w:val="en-US"/>
                    </w:rPr>
                  </w:pPr>
                  <w:r>
                    <w:rPr>
                      <w:rFonts w:hint="eastAsia" w:ascii="Times New Roman" w:hAnsi="Times New Roman" w:cs="Times New Roman"/>
                      <w:color w:val="auto"/>
                      <w:lang w:val="en-US" w:eastAsia="zh-CN"/>
                    </w:rPr>
                    <w:t>100</w:t>
                  </w:r>
                </w:p>
              </w:tc>
            </w:tr>
            <w:tr w14:paraId="7A4EA24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85" w:type="dxa"/>
                  <w:tcBorders>
                    <w:tl2br w:val="nil"/>
                    <w:tr2bl w:val="nil"/>
                  </w:tcBorders>
                  <w:noWrap w:val="0"/>
                  <w:vAlign w:val="center"/>
                </w:tcPr>
                <w:p w14:paraId="6EA743AD">
                  <w:pPr>
                    <w:jc w:val="center"/>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管线施工</w:t>
                  </w:r>
                </w:p>
              </w:tc>
              <w:tc>
                <w:tcPr>
                  <w:tcW w:w="1282" w:type="dxa"/>
                  <w:tcBorders>
                    <w:tl2br w:val="nil"/>
                    <w:tr2bl w:val="nil"/>
                  </w:tcBorders>
                  <w:noWrap w:val="0"/>
                  <w:vAlign w:val="center"/>
                </w:tcPr>
                <w:p w14:paraId="1A073C1D">
                  <w:pPr>
                    <w:jc w:val="center"/>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lang w:eastAsia="zh-CN"/>
                    </w:rPr>
                    <w:t>挖掘机</w:t>
                  </w:r>
                  <w:r>
                    <w:rPr>
                      <w:rFonts w:hint="default" w:ascii="Times New Roman" w:hAnsi="Times New Roman" w:eastAsia="宋体" w:cs="Times New Roman"/>
                      <w:color w:val="auto"/>
                      <w:szCs w:val="22"/>
                    </w:rPr>
                    <w:t>、装载机等</w:t>
                  </w:r>
                </w:p>
              </w:tc>
              <w:tc>
                <w:tcPr>
                  <w:tcW w:w="1036" w:type="dxa"/>
                  <w:tcBorders>
                    <w:tl2br w:val="nil"/>
                    <w:tr2bl w:val="nil"/>
                  </w:tcBorders>
                  <w:noWrap w:val="0"/>
                  <w:vAlign w:val="center"/>
                </w:tcPr>
                <w:p w14:paraId="274E515A">
                  <w:pPr>
                    <w:bidi w:val="0"/>
                    <w:jc w:val="center"/>
                    <w:rPr>
                      <w:rFonts w:hint="eastAsia" w:ascii="Times New Roman" w:hAnsi="Times New Roman" w:eastAsia="宋体" w:cs="Times New Roman"/>
                      <w:color w:val="auto"/>
                      <w:lang w:val="en-US" w:eastAsia="zh-CN"/>
                    </w:rPr>
                  </w:pPr>
                  <w:r>
                    <w:rPr>
                      <w:rFonts w:hint="default" w:ascii="Times New Roman" w:hAnsi="Times New Roman" w:cs="Times New Roman"/>
                      <w:color w:val="auto"/>
                    </w:rPr>
                    <w:t>9</w:t>
                  </w:r>
                  <w:r>
                    <w:rPr>
                      <w:rFonts w:hint="eastAsia" w:ascii="Times New Roman" w:hAnsi="Times New Roman" w:cs="Times New Roman"/>
                      <w:color w:val="auto"/>
                      <w:lang w:val="en-US" w:eastAsia="zh-CN"/>
                    </w:rPr>
                    <w:t>5</w:t>
                  </w:r>
                </w:p>
              </w:tc>
              <w:tc>
                <w:tcPr>
                  <w:tcW w:w="1159" w:type="dxa"/>
                  <w:tcBorders>
                    <w:tl2br w:val="nil"/>
                    <w:tr2bl w:val="nil"/>
                  </w:tcBorders>
                  <w:noWrap w:val="0"/>
                  <w:vAlign w:val="center"/>
                </w:tcPr>
                <w:p w14:paraId="2D6C10D0">
                  <w:pPr>
                    <w:bidi w:val="0"/>
                    <w:jc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1</w:t>
                  </w:r>
                </w:p>
              </w:tc>
              <w:tc>
                <w:tcPr>
                  <w:tcW w:w="941" w:type="dxa"/>
                  <w:vMerge w:val="continue"/>
                  <w:tcBorders>
                    <w:tl2br w:val="nil"/>
                    <w:tr2bl w:val="nil"/>
                  </w:tcBorders>
                  <w:noWrap w:val="0"/>
                  <w:vAlign w:val="center"/>
                </w:tcPr>
                <w:p w14:paraId="0D1CA943">
                  <w:pPr>
                    <w:bidi w:val="0"/>
                    <w:jc w:val="center"/>
                    <w:rPr>
                      <w:rFonts w:hint="default" w:ascii="Times New Roman" w:hAnsi="Times New Roman" w:cs="Times New Roman"/>
                      <w:color w:val="auto"/>
                    </w:rPr>
                  </w:pPr>
                </w:p>
              </w:tc>
              <w:tc>
                <w:tcPr>
                  <w:tcW w:w="873" w:type="dxa"/>
                  <w:vMerge w:val="continue"/>
                  <w:tcBorders>
                    <w:tl2br w:val="nil"/>
                    <w:tr2bl w:val="nil"/>
                  </w:tcBorders>
                  <w:noWrap w:val="0"/>
                  <w:vAlign w:val="center"/>
                </w:tcPr>
                <w:p w14:paraId="7A0AD5A3">
                  <w:pPr>
                    <w:bidi w:val="0"/>
                    <w:jc w:val="center"/>
                    <w:rPr>
                      <w:rFonts w:hint="default" w:ascii="Times New Roman" w:hAnsi="Times New Roman" w:cs="Times New Roman"/>
                      <w:color w:val="auto"/>
                    </w:rPr>
                  </w:pPr>
                </w:p>
              </w:tc>
              <w:tc>
                <w:tcPr>
                  <w:tcW w:w="1030" w:type="dxa"/>
                  <w:tcBorders>
                    <w:tl2br w:val="nil"/>
                    <w:tr2bl w:val="nil"/>
                  </w:tcBorders>
                  <w:noWrap w:val="0"/>
                  <w:vAlign w:val="center"/>
                </w:tcPr>
                <w:p w14:paraId="402A0514">
                  <w:pPr>
                    <w:bidi w:val="0"/>
                    <w:jc w:val="center"/>
                    <w:rPr>
                      <w:rFonts w:hint="default" w:ascii="Times New Roman" w:hAnsi="Times New Roman" w:cs="Times New Roman"/>
                      <w:color w:val="auto"/>
                    </w:rPr>
                  </w:pPr>
                  <w:r>
                    <w:rPr>
                      <w:rFonts w:hint="eastAsia" w:ascii="Times New Roman" w:hAnsi="Times New Roman" w:cs="Times New Roman"/>
                      <w:color w:val="auto"/>
                      <w:lang w:val="en-US" w:eastAsia="zh-CN"/>
                    </w:rPr>
                    <w:t>18</w:t>
                  </w:r>
                </w:p>
              </w:tc>
              <w:tc>
                <w:tcPr>
                  <w:tcW w:w="822" w:type="dxa"/>
                  <w:tcBorders>
                    <w:tl2br w:val="nil"/>
                    <w:tr2bl w:val="nil"/>
                  </w:tcBorders>
                  <w:noWrap w:val="0"/>
                  <w:vAlign w:val="center"/>
                </w:tcPr>
                <w:p w14:paraId="4B6F0CA5">
                  <w:pPr>
                    <w:bidi w:val="0"/>
                    <w:jc w:val="center"/>
                    <w:rPr>
                      <w:rFonts w:hint="default" w:ascii="Times New Roman" w:hAnsi="Times New Roman" w:cs="Times New Roman"/>
                      <w:color w:val="auto"/>
                      <w:lang w:val="en-US"/>
                    </w:rPr>
                  </w:pPr>
                  <w:r>
                    <w:rPr>
                      <w:rFonts w:hint="eastAsia" w:ascii="Times New Roman" w:hAnsi="Times New Roman" w:cs="Times New Roman"/>
                      <w:color w:val="auto"/>
                      <w:lang w:val="en-US" w:eastAsia="zh-CN"/>
                    </w:rPr>
                    <w:t>100</w:t>
                  </w:r>
                </w:p>
              </w:tc>
            </w:tr>
          </w:tbl>
          <w:p w14:paraId="64B10223">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color w:val="auto"/>
              </w:rPr>
            </w:pPr>
            <w:r>
              <w:rPr>
                <w:rFonts w:hint="eastAsia"/>
                <w:color w:val="auto"/>
              </w:rPr>
              <w:t>对于</w:t>
            </w:r>
            <w:r>
              <w:rPr>
                <w:rFonts w:hint="eastAsia"/>
                <w:color w:val="auto"/>
                <w:lang w:val="en-US" w:eastAsia="zh-CN"/>
              </w:rPr>
              <w:t>回灌</w:t>
            </w:r>
            <w:r>
              <w:rPr>
                <w:rFonts w:hint="eastAsia"/>
                <w:color w:val="auto"/>
              </w:rPr>
              <w:t>井及管线施工，由表4-3可知，施工机械声级较高，在空旷地带噪声传播距离较远，昼间最大影响范围在50m内，夜间在</w:t>
            </w:r>
            <w:r>
              <w:rPr>
                <w:rFonts w:hint="eastAsia"/>
                <w:color w:val="auto"/>
                <w:lang w:val="en-US" w:eastAsia="zh-CN"/>
              </w:rPr>
              <w:t>178</w:t>
            </w:r>
            <w:r>
              <w:rPr>
                <w:rFonts w:hint="eastAsia"/>
                <w:color w:val="auto"/>
              </w:rPr>
              <w:t>m内，经现场调查距离</w:t>
            </w:r>
            <w:r>
              <w:rPr>
                <w:rFonts w:hint="eastAsia"/>
                <w:color w:val="auto"/>
                <w:lang w:val="en-US" w:eastAsia="zh-CN"/>
              </w:rPr>
              <w:t>回灌井</w:t>
            </w:r>
            <w:r>
              <w:rPr>
                <w:rFonts w:hint="eastAsia"/>
                <w:color w:val="auto"/>
              </w:rPr>
              <w:t>场最近敏感点为</w:t>
            </w:r>
            <w:r>
              <w:rPr>
                <w:rFonts w:hint="eastAsia"/>
                <w:color w:val="auto"/>
                <w:lang w:val="en-US" w:eastAsia="zh-CN"/>
              </w:rPr>
              <w:t>回灌井西</w:t>
            </w:r>
            <w:r>
              <w:rPr>
                <w:rFonts w:hint="eastAsia"/>
                <w:color w:val="auto"/>
              </w:rPr>
              <w:t>侧</w:t>
            </w:r>
            <w:r>
              <w:rPr>
                <w:rFonts w:hint="eastAsia"/>
                <w:color w:val="auto"/>
                <w:lang w:val="en-US" w:eastAsia="zh-CN"/>
              </w:rPr>
              <w:t>190</w:t>
            </w:r>
            <w:r>
              <w:rPr>
                <w:rFonts w:hint="eastAsia"/>
                <w:color w:val="auto"/>
              </w:rPr>
              <w:t>m的</w:t>
            </w:r>
            <w:r>
              <w:rPr>
                <w:rFonts w:hint="eastAsia"/>
                <w:color w:val="auto"/>
                <w:lang w:val="en-US" w:eastAsia="zh-CN"/>
              </w:rPr>
              <w:t>紫境城小区24号楼</w:t>
            </w:r>
            <w:r>
              <w:rPr>
                <w:rFonts w:hint="eastAsia"/>
                <w:color w:val="auto"/>
              </w:rPr>
              <w:t>，因此项目施工会对周围声环境影响</w:t>
            </w:r>
            <w:r>
              <w:rPr>
                <w:rFonts w:hint="eastAsia"/>
                <w:color w:val="auto"/>
                <w:lang w:val="en-US" w:eastAsia="zh-CN"/>
              </w:rPr>
              <w:t>较小</w:t>
            </w:r>
            <w:r>
              <w:rPr>
                <w:rFonts w:hint="eastAsia"/>
                <w:color w:val="auto"/>
              </w:rPr>
              <w:t>。</w:t>
            </w:r>
          </w:p>
          <w:p w14:paraId="36CCA41F">
            <w:pPr>
              <w:pStyle w:val="22"/>
              <w:bidi w:val="0"/>
              <w:rPr>
                <w:rFonts w:hint="eastAsia"/>
                <w:b/>
                <w:bCs/>
                <w:color w:val="auto"/>
              </w:rPr>
            </w:pPr>
            <w:r>
              <w:rPr>
                <w:rFonts w:hint="eastAsia"/>
                <w:b/>
                <w:bCs/>
                <w:color w:val="auto"/>
              </w:rPr>
              <w:t>5、固体废物</w:t>
            </w:r>
          </w:p>
          <w:p w14:paraId="3F6AA397">
            <w:pPr>
              <w:pStyle w:val="22"/>
              <w:keepNext w:val="0"/>
              <w:keepLines w:val="0"/>
              <w:pageBreakBefore w:val="0"/>
              <w:widowControl w:val="0"/>
              <w:kinsoku/>
              <w:wordWrap/>
              <w:overflowPunct/>
              <w:topLinePunct w:val="0"/>
              <w:autoSpaceDE/>
              <w:autoSpaceDN/>
              <w:bidi w:val="0"/>
              <w:adjustRightInd/>
              <w:snapToGrid/>
              <w:textAlignment w:val="auto"/>
              <w:rPr>
                <w:rFonts w:hint="eastAsia"/>
                <w:color w:val="auto"/>
              </w:rPr>
            </w:pPr>
            <w:r>
              <w:rPr>
                <w:rFonts w:hint="eastAsia"/>
                <w:color w:val="auto"/>
              </w:rPr>
              <w:t>（</w:t>
            </w:r>
            <w:r>
              <w:rPr>
                <w:rFonts w:hint="eastAsia"/>
                <w:color w:val="auto"/>
                <w:lang w:val="en-US" w:eastAsia="zh-CN"/>
              </w:rPr>
              <w:t>1</w:t>
            </w:r>
            <w:r>
              <w:rPr>
                <w:rFonts w:hint="eastAsia"/>
                <w:color w:val="auto"/>
              </w:rPr>
              <w:t>）生活垃圾</w:t>
            </w:r>
          </w:p>
          <w:p w14:paraId="6C1F52F8">
            <w:pPr>
              <w:pStyle w:val="22"/>
              <w:bidi w:val="0"/>
              <w:rPr>
                <w:rFonts w:hint="eastAsia"/>
                <w:color w:val="auto"/>
              </w:rPr>
            </w:pPr>
            <w:r>
              <w:rPr>
                <w:rFonts w:hint="eastAsia"/>
                <w:color w:val="auto"/>
              </w:rPr>
              <w:t>本项目施工人数</w:t>
            </w:r>
            <w:r>
              <w:rPr>
                <w:rFonts w:hint="eastAsia"/>
                <w:color w:val="auto"/>
                <w:lang w:val="en-US" w:eastAsia="zh-CN"/>
              </w:rPr>
              <w:t>32</w:t>
            </w:r>
            <w:r>
              <w:rPr>
                <w:rFonts w:hint="eastAsia"/>
                <w:color w:val="auto"/>
              </w:rPr>
              <w:t>人，日常生活产生的生活垃圾按照0.5kg/人·天，施工周期为90d，则项目生活垃圾产生量为</w:t>
            </w:r>
            <w:r>
              <w:rPr>
                <w:rFonts w:hint="eastAsia"/>
                <w:color w:val="auto"/>
                <w:lang w:val="en-US" w:eastAsia="zh-CN"/>
              </w:rPr>
              <w:t>16kg/d，1.44</w:t>
            </w:r>
            <w:r>
              <w:rPr>
                <w:rFonts w:hint="eastAsia"/>
                <w:color w:val="auto"/>
              </w:rPr>
              <w:t>t/a，生活垃圾依托所在小区垃圾收集点收集后，由环卫部门定期清运。</w:t>
            </w:r>
          </w:p>
          <w:p w14:paraId="1678EAB7">
            <w:pPr>
              <w:pStyle w:val="22"/>
              <w:bidi w:val="0"/>
              <w:rPr>
                <w:rFonts w:hint="eastAsia"/>
                <w:color w:val="auto"/>
              </w:rPr>
            </w:pPr>
            <w:r>
              <w:rPr>
                <w:rFonts w:hint="eastAsia"/>
                <w:color w:val="auto"/>
              </w:rPr>
              <w:t>（</w:t>
            </w:r>
            <w:r>
              <w:rPr>
                <w:rFonts w:hint="eastAsia"/>
                <w:color w:val="auto"/>
                <w:lang w:val="en-US" w:eastAsia="zh-CN"/>
              </w:rPr>
              <w:t>2</w:t>
            </w:r>
            <w:r>
              <w:rPr>
                <w:rFonts w:hint="eastAsia"/>
                <w:color w:val="auto"/>
              </w:rPr>
              <w:t>）建筑垃圾及弃土</w:t>
            </w:r>
          </w:p>
          <w:p w14:paraId="3E7329CE">
            <w:pPr>
              <w:pStyle w:val="22"/>
              <w:bidi w:val="0"/>
              <w:rPr>
                <w:rFonts w:hint="eastAsia"/>
                <w:color w:val="auto"/>
              </w:rPr>
            </w:pPr>
            <w:r>
              <w:rPr>
                <w:rFonts w:hint="eastAsia"/>
                <w:color w:val="auto"/>
              </w:rPr>
              <w:t>顶管施工管网</w:t>
            </w:r>
            <w:r>
              <w:rPr>
                <w:rFonts w:hint="eastAsia"/>
                <w:color w:val="auto"/>
                <w:lang w:val="en-US" w:eastAsia="zh-CN"/>
              </w:rPr>
              <w:t>为</w:t>
            </w:r>
            <w:r>
              <w:rPr>
                <w:rFonts w:hint="eastAsia"/>
                <w:color w:val="auto"/>
              </w:rPr>
              <w:t>非开挖施工方法</w:t>
            </w:r>
            <w:r>
              <w:rPr>
                <w:rFonts w:hint="eastAsia"/>
                <w:color w:val="auto"/>
                <w:lang w:eastAsia="zh-CN"/>
              </w:rPr>
              <w:t>，</w:t>
            </w:r>
            <w:r>
              <w:rPr>
                <w:rFonts w:hint="eastAsia"/>
                <w:color w:val="auto"/>
                <w:lang w:val="en-US" w:eastAsia="zh-CN"/>
              </w:rPr>
              <w:t>少量</w:t>
            </w:r>
            <w:r>
              <w:rPr>
                <w:rFonts w:hint="eastAsia"/>
                <w:color w:val="auto"/>
              </w:rPr>
              <w:t>开挖</w:t>
            </w:r>
            <w:r>
              <w:rPr>
                <w:rFonts w:hint="eastAsia"/>
                <w:color w:val="auto"/>
                <w:lang w:val="en-US" w:eastAsia="zh-CN"/>
              </w:rPr>
              <w:t>作业产生少量</w:t>
            </w:r>
            <w:r>
              <w:rPr>
                <w:rFonts w:hint="eastAsia"/>
                <w:color w:val="auto"/>
              </w:rPr>
              <w:t>建筑垃圾</w:t>
            </w:r>
            <w:r>
              <w:rPr>
                <w:rFonts w:hint="eastAsia"/>
                <w:color w:val="auto"/>
                <w:lang w:eastAsia="zh-CN"/>
              </w:rPr>
              <w:t>，</w:t>
            </w:r>
            <w:r>
              <w:rPr>
                <w:rFonts w:hint="eastAsia"/>
                <w:color w:val="auto"/>
              </w:rPr>
              <w:t>开挖土方用于回填和场地平整，由于管道体积</w:t>
            </w:r>
            <w:r>
              <w:rPr>
                <w:rFonts w:hint="eastAsia"/>
                <w:color w:val="auto"/>
                <w:lang w:eastAsia="zh-CN"/>
              </w:rPr>
              <w:t>（</w:t>
            </w:r>
            <w:r>
              <w:rPr>
                <w:rFonts w:hint="eastAsia"/>
                <w:color w:val="auto"/>
                <w:lang w:val="en-US" w:eastAsia="zh-CN"/>
              </w:rPr>
              <w:t>管径125mm</w:t>
            </w:r>
            <w:r>
              <w:rPr>
                <w:rFonts w:hint="eastAsia"/>
                <w:color w:val="auto"/>
                <w:lang w:eastAsia="zh-CN"/>
              </w:rPr>
              <w:t>）</w:t>
            </w:r>
            <w:r>
              <w:rPr>
                <w:rFonts w:hint="eastAsia"/>
                <w:color w:val="auto"/>
              </w:rPr>
              <w:t>占据管沟空间，故会产生少量弃土，经估算废弃土方产生量约</w:t>
            </w:r>
            <w:r>
              <w:rPr>
                <w:rFonts w:hint="eastAsia"/>
                <w:color w:val="auto"/>
                <w:lang w:val="en-US" w:eastAsia="zh-CN"/>
              </w:rPr>
              <w:t>0.8</w:t>
            </w:r>
            <w:r>
              <w:rPr>
                <w:rFonts w:hint="eastAsia"/>
                <w:color w:val="auto"/>
              </w:rPr>
              <w:t>m</w:t>
            </w:r>
            <w:r>
              <w:rPr>
                <w:rFonts w:hint="eastAsia"/>
                <w:color w:val="auto"/>
                <w:vertAlign w:val="superscript"/>
              </w:rPr>
              <w:t>3</w:t>
            </w:r>
            <w:r>
              <w:rPr>
                <w:rFonts w:hint="eastAsia"/>
                <w:color w:val="auto"/>
              </w:rPr>
              <w:t>，</w:t>
            </w:r>
            <w:r>
              <w:rPr>
                <w:rFonts w:hint="eastAsia"/>
                <w:color w:val="auto"/>
                <w:lang w:val="en-US" w:eastAsia="zh-CN"/>
              </w:rPr>
              <w:t>弃土压成泥饼后由施工单位统一联系清运</w:t>
            </w:r>
            <w:r>
              <w:rPr>
                <w:rFonts w:hint="eastAsia"/>
                <w:color w:val="auto"/>
              </w:rPr>
              <w:t>。管道施工采用分段施工，施工完成后及时对地表进行恢复。</w:t>
            </w:r>
          </w:p>
          <w:p w14:paraId="699AA79C">
            <w:pPr>
              <w:pStyle w:val="22"/>
              <w:bidi w:val="0"/>
              <w:rPr>
                <w:rFonts w:hint="eastAsia"/>
                <w:color w:val="auto"/>
              </w:rPr>
            </w:pPr>
            <w:r>
              <w:rPr>
                <w:rFonts w:hint="eastAsia"/>
                <w:color w:val="auto"/>
                <w:lang w:eastAsia="zh-CN"/>
              </w:rPr>
              <w:t>（</w:t>
            </w:r>
            <w:r>
              <w:rPr>
                <w:rFonts w:hint="eastAsia"/>
                <w:color w:val="auto"/>
                <w:lang w:val="en-US" w:eastAsia="zh-CN"/>
              </w:rPr>
              <w:t>3</w:t>
            </w:r>
            <w:r>
              <w:rPr>
                <w:rFonts w:hint="eastAsia"/>
                <w:color w:val="auto"/>
                <w:lang w:eastAsia="zh-CN"/>
              </w:rPr>
              <w:t>）</w:t>
            </w:r>
            <w:r>
              <w:rPr>
                <w:rFonts w:hint="eastAsia"/>
                <w:color w:val="auto"/>
              </w:rPr>
              <w:t>废弃钻井泥浆及钻井岩屑</w:t>
            </w:r>
          </w:p>
          <w:p w14:paraId="135FA1AA">
            <w:pPr>
              <w:pStyle w:val="22"/>
              <w:bidi w:val="0"/>
              <w:rPr>
                <w:rFonts w:hint="eastAsia"/>
                <w:color w:val="auto"/>
              </w:rPr>
            </w:pPr>
            <w:r>
              <w:rPr>
                <w:rFonts w:hint="eastAsia"/>
                <w:color w:val="auto"/>
              </w:rPr>
              <w:t>钻井泥浆：建设单位在钻井现场配制泥浆，泥浆在上反过程中带出岩屑，经振动筛、除砂器、离心机</w:t>
            </w:r>
            <w:r>
              <w:rPr>
                <w:rFonts w:hint="eastAsia"/>
                <w:color w:val="auto"/>
                <w:lang w:eastAsia="zh-CN"/>
              </w:rPr>
              <w:t>、</w:t>
            </w:r>
            <w:r>
              <w:rPr>
                <w:rFonts w:hint="eastAsia"/>
                <w:color w:val="auto"/>
                <w:lang w:val="en-US" w:eastAsia="zh-CN"/>
              </w:rPr>
              <w:t>压滤机</w:t>
            </w:r>
            <w:r>
              <w:rPr>
                <w:rFonts w:hint="eastAsia"/>
                <w:color w:val="auto"/>
              </w:rPr>
              <w:t>等分离出岩屑</w:t>
            </w:r>
            <w:r>
              <w:rPr>
                <w:rFonts w:hint="eastAsia"/>
                <w:color w:val="auto"/>
                <w:lang w:eastAsia="zh-CN"/>
              </w:rPr>
              <w:t>，</w:t>
            </w:r>
            <w:r>
              <w:rPr>
                <w:rFonts w:hint="eastAsia"/>
                <w:color w:val="auto"/>
              </w:rPr>
              <w:t>最终泥浆中会混入少量岩屑（以粘土物质为主），钻井泥浆实际是钻井液与岩屑的混合物，泥浆弃置于泥浆罐中，不定期进行压滤处置，压滤处置后的泥浆按照国家固废</w:t>
            </w:r>
            <w:r>
              <w:rPr>
                <w:rFonts w:hint="eastAsia"/>
                <w:color w:val="auto"/>
                <w:lang w:eastAsia="zh-CN"/>
              </w:rPr>
              <w:t>无害</w:t>
            </w:r>
            <w:r>
              <w:rPr>
                <w:rFonts w:hint="eastAsia"/>
                <w:color w:val="auto"/>
              </w:rPr>
              <w:t>化利用，最终用于修路利用。</w:t>
            </w:r>
          </w:p>
          <w:p w14:paraId="3F769529">
            <w:pPr>
              <w:pStyle w:val="22"/>
              <w:bidi w:val="0"/>
              <w:rPr>
                <w:rFonts w:hint="eastAsia"/>
                <w:color w:val="auto"/>
              </w:rPr>
            </w:pPr>
            <w:r>
              <w:rPr>
                <w:rFonts w:hint="eastAsia"/>
                <w:color w:val="auto"/>
              </w:rPr>
              <w:t>钻井岩屑：钻井岩屑产生量根据井深而变化，本项目钻井岩屑产生量</w:t>
            </w:r>
            <w:r>
              <w:rPr>
                <w:rFonts w:hint="eastAsia"/>
                <w:color w:val="auto"/>
                <w:lang w:val="en-US" w:eastAsia="zh-CN"/>
              </w:rPr>
              <w:t>约380</w:t>
            </w:r>
            <w:r>
              <w:rPr>
                <w:rFonts w:hint="eastAsia"/>
                <w:color w:val="auto"/>
              </w:rPr>
              <w:t>m</w:t>
            </w:r>
            <w:r>
              <w:rPr>
                <w:rFonts w:hint="eastAsia"/>
                <w:color w:val="auto"/>
                <w:vertAlign w:val="superscript"/>
              </w:rPr>
              <w:t>3</w:t>
            </w:r>
            <w:r>
              <w:rPr>
                <w:rFonts w:hint="eastAsia"/>
                <w:color w:val="auto"/>
              </w:rPr>
              <w:t>。其中</w:t>
            </w:r>
            <w:r>
              <w:rPr>
                <w:rFonts w:hint="eastAsia"/>
                <w:color w:val="auto"/>
                <w:lang w:val="en-US" w:eastAsia="zh-CN"/>
              </w:rPr>
              <w:t>0~450m每10m取一个样，450~1900m每</w:t>
            </w:r>
            <w:r>
              <w:rPr>
                <w:rFonts w:hint="eastAsia"/>
                <w:color w:val="auto"/>
              </w:rPr>
              <w:t>5m取一个样，</w:t>
            </w:r>
            <w:r>
              <w:rPr>
                <w:rFonts w:hint="eastAsia"/>
                <w:color w:val="auto"/>
                <w:lang w:val="en-US" w:eastAsia="zh-CN"/>
              </w:rPr>
              <w:t>1900~2750m</w:t>
            </w:r>
            <w:r>
              <w:rPr>
                <w:rFonts w:hint="eastAsia"/>
                <w:color w:val="auto"/>
              </w:rPr>
              <w:t>每2m一个样，样品留存用于分析其岩性及含水性，一个样0.5kg，剩余岩屑同钻井泥浆一同处置。</w:t>
            </w:r>
          </w:p>
          <w:p w14:paraId="41572392">
            <w:pPr>
              <w:pStyle w:val="22"/>
              <w:bidi w:val="0"/>
              <w:rPr>
                <w:rFonts w:hint="eastAsia"/>
                <w:color w:val="auto"/>
              </w:rPr>
            </w:pPr>
            <w:r>
              <w:rPr>
                <w:rFonts w:hint="eastAsia"/>
                <w:color w:val="auto"/>
              </w:rPr>
              <w:t>根据国内外对钻井固废（含泥浆及岩屑）的划分，钻井固废不划入危险废物管理，属于一般工业固体废物，本井场施工队进行压滤处置，统一运转至附近修路单位，最后统一用来铺设路基。</w:t>
            </w:r>
          </w:p>
          <w:p w14:paraId="663ADFE8">
            <w:pPr>
              <w:pStyle w:val="22"/>
              <w:bidi w:val="0"/>
              <w:rPr>
                <w:rFonts w:hint="eastAsia"/>
                <w:color w:val="auto"/>
              </w:rPr>
            </w:pPr>
            <w:r>
              <w:rPr>
                <w:rFonts w:hint="eastAsia"/>
                <w:color w:val="auto"/>
              </w:rPr>
              <w:t>项目各类固废经合理处置后不会对周围环境产生影响。</w:t>
            </w:r>
          </w:p>
          <w:p w14:paraId="087344D0">
            <w:pPr>
              <w:pStyle w:val="22"/>
              <w:bidi w:val="0"/>
              <w:rPr>
                <w:rFonts w:hint="eastAsia"/>
                <w:b/>
                <w:bCs/>
                <w:color w:val="auto"/>
              </w:rPr>
            </w:pPr>
            <w:r>
              <w:rPr>
                <w:rFonts w:hint="eastAsia"/>
                <w:b/>
                <w:bCs/>
                <w:color w:val="auto"/>
              </w:rPr>
              <w:t>6、生态环境影响</w:t>
            </w:r>
          </w:p>
          <w:p w14:paraId="78D0FBBE">
            <w:pPr>
              <w:pStyle w:val="22"/>
              <w:bidi w:val="0"/>
              <w:rPr>
                <w:rFonts w:hint="eastAsia" w:ascii="宋体" w:hAnsi="宋体" w:eastAsia="宋体" w:cs="宋体"/>
                <w:bCs/>
                <w:color w:val="auto"/>
                <w:szCs w:val="21"/>
                <w:lang w:val="en-US" w:eastAsia="zh-CN"/>
              </w:rPr>
            </w:pPr>
            <w:r>
              <w:rPr>
                <w:rFonts w:hint="eastAsia"/>
                <w:color w:val="auto"/>
              </w:rPr>
              <w:t>本项目施工期生态影响主要为施工占地，管线开挖</w:t>
            </w:r>
            <w:r>
              <w:rPr>
                <w:rFonts w:hint="eastAsia"/>
                <w:color w:val="auto"/>
                <w:lang w:eastAsia="zh-CN"/>
              </w:rPr>
              <w:t>。</w:t>
            </w:r>
            <w:r>
              <w:rPr>
                <w:rFonts w:hint="eastAsia"/>
                <w:color w:val="auto"/>
              </w:rPr>
              <w:t>项目管线开挖长度较短，作业宽度较窄，不会造成严重的水土流失。施工时应强化生态环境保护意识，严格控制施工作业区，不得随意扩大范围，对开挖土方实行分层堆放，全部表土都应分开堆放并标注清楚，至少地表0.3m厚的土层应被视作表土。施工完成后应及时分层回填，恢复原有地貌形态；对于弃土渣在堆放过程中应及时覆盖。</w:t>
            </w:r>
          </w:p>
        </w:tc>
      </w:tr>
      <w:tr w14:paraId="5F3F70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8" w:hRule="atLeast"/>
          <w:jc w:val="center"/>
        </w:trPr>
        <w:tc>
          <w:tcPr>
            <w:tcW w:w="879" w:type="dxa"/>
            <w:noWrap w:val="0"/>
            <w:tcMar>
              <w:left w:w="28" w:type="dxa"/>
              <w:right w:w="28" w:type="dxa"/>
            </w:tcMar>
            <w:vAlign w:val="center"/>
          </w:tcPr>
          <w:p w14:paraId="10FD9865">
            <w:pPr>
              <w:adjustRightInd w:val="0"/>
              <w:snapToGrid w:val="0"/>
              <w:spacing w:before="0" w:beforeAutospacing="0" w:after="0" w:afterAutospacing="0"/>
              <w:jc w:val="center"/>
              <w:rPr>
                <w:rFonts w:cs="宋体"/>
                <w:bCs/>
                <w:color w:val="auto"/>
                <w:kern w:val="2"/>
                <w:sz w:val="24"/>
                <w:szCs w:val="24"/>
              </w:rPr>
            </w:pPr>
            <w:r>
              <w:rPr>
                <w:rFonts w:hint="eastAsia" w:cs="宋体"/>
                <w:bCs/>
                <w:color w:val="auto"/>
                <w:spacing w:val="10"/>
                <w:kern w:val="2"/>
                <w:sz w:val="24"/>
                <w:szCs w:val="24"/>
              </w:rPr>
              <w:t>运营期生态环境影响分析</w:t>
            </w:r>
          </w:p>
        </w:tc>
        <w:tc>
          <w:tcPr>
            <w:tcW w:w="8363" w:type="dxa"/>
            <w:noWrap w:val="0"/>
            <w:vAlign w:val="top"/>
          </w:tcPr>
          <w:p w14:paraId="1ED18443">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b/>
                <w:bCs/>
                <w:color w:val="auto"/>
              </w:rPr>
            </w:pPr>
            <w:r>
              <w:rPr>
                <w:rFonts w:hint="eastAsia"/>
                <w:b/>
                <w:bCs/>
                <w:color w:val="auto"/>
              </w:rPr>
              <w:t>1、废气</w:t>
            </w:r>
          </w:p>
          <w:p w14:paraId="4F81668B">
            <w:pPr>
              <w:pStyle w:val="22"/>
              <w:bidi w:val="0"/>
              <w:rPr>
                <w:rFonts w:hint="eastAsia"/>
                <w:color w:val="auto"/>
                <w:lang w:val="en-US" w:eastAsia="zh-CN"/>
              </w:rPr>
            </w:pPr>
            <w:r>
              <w:rPr>
                <w:rFonts w:hint="eastAsia"/>
                <w:color w:val="auto"/>
                <w:lang w:val="en-US" w:eastAsia="zh-CN"/>
              </w:rPr>
              <w:t>本项目建成运营过程中无工艺废气排放。</w:t>
            </w:r>
          </w:p>
          <w:p w14:paraId="0A9B6C1C">
            <w:pPr>
              <w:pStyle w:val="22"/>
              <w:bidi w:val="0"/>
              <w:rPr>
                <w:rFonts w:hint="eastAsia"/>
                <w:b/>
                <w:bCs/>
                <w:color w:val="auto"/>
                <w:lang w:val="en-US" w:eastAsia="zh-CN"/>
              </w:rPr>
            </w:pPr>
            <w:r>
              <w:rPr>
                <w:rFonts w:hint="eastAsia"/>
                <w:b/>
                <w:bCs/>
                <w:color w:val="auto"/>
                <w:lang w:val="en-US" w:eastAsia="zh-CN"/>
              </w:rPr>
              <w:t>2、废水</w:t>
            </w:r>
          </w:p>
          <w:p w14:paraId="418B9550">
            <w:pPr>
              <w:pStyle w:val="22"/>
              <w:bidi w:val="0"/>
              <w:rPr>
                <w:rFonts w:hint="eastAsia"/>
                <w:color w:val="auto"/>
                <w:lang w:val="en-US" w:eastAsia="zh-CN"/>
              </w:rPr>
            </w:pPr>
            <w:r>
              <w:rPr>
                <w:rFonts w:hint="eastAsia"/>
                <w:color w:val="auto"/>
                <w:lang w:val="en-US" w:eastAsia="zh-CN"/>
              </w:rPr>
              <w:t>（1）换热尾水</w:t>
            </w:r>
          </w:p>
          <w:p w14:paraId="70251905">
            <w:pPr>
              <w:pStyle w:val="22"/>
              <w:bidi w:val="0"/>
              <w:rPr>
                <w:rFonts w:hint="eastAsia"/>
                <w:color w:val="auto"/>
                <w:lang w:val="en-US" w:eastAsia="zh-CN"/>
              </w:rPr>
            </w:pPr>
            <w:r>
              <w:rPr>
                <w:rFonts w:hint="eastAsia"/>
                <w:color w:val="auto"/>
                <w:lang w:val="en-US" w:eastAsia="zh-CN"/>
              </w:rPr>
              <w:t>尾水处理主要采用完全回灌的方式。项目地热生产井通过潜水泵抽取高温地热水，通过板换换热+热泵梯级利用，将地热热量传递至末端采暖用户，利用后的低温地热水全部回灌至回灌井，实现地热水“采灌均衡、间接换热、同层开采回灌”的取热不取水的开采方式。</w:t>
            </w:r>
          </w:p>
          <w:p w14:paraId="7D87FA51">
            <w:pPr>
              <w:pStyle w:val="22"/>
              <w:bidi w:val="0"/>
              <w:rPr>
                <w:rFonts w:hint="eastAsia"/>
                <w:color w:val="auto"/>
                <w:lang w:val="en-US" w:eastAsia="zh-CN"/>
              </w:rPr>
            </w:pPr>
            <w:r>
              <w:rPr>
                <w:rFonts w:hint="eastAsia"/>
                <w:color w:val="auto"/>
                <w:lang w:val="en-US" w:eastAsia="zh-CN"/>
              </w:rPr>
              <w:t>生产井出水经过换热器换热后经回灌设施处理后回灌进入回灌井，地热水在换热过程中仅进行热量的交换，无其他污染物进入地热水中。因此不会对地表水体产生影响。</w:t>
            </w:r>
          </w:p>
          <w:p w14:paraId="16FD2D28">
            <w:pPr>
              <w:pStyle w:val="22"/>
              <w:bidi w:val="0"/>
              <w:rPr>
                <w:rFonts w:hint="eastAsia"/>
                <w:color w:val="auto"/>
                <w:lang w:val="en-US" w:eastAsia="zh-CN"/>
              </w:rPr>
            </w:pPr>
            <w:r>
              <w:rPr>
                <w:rFonts w:hint="eastAsia"/>
                <w:color w:val="auto"/>
                <w:lang w:val="en-US" w:eastAsia="zh-CN"/>
              </w:rPr>
              <w:t>（2）生活污水</w:t>
            </w:r>
          </w:p>
          <w:p w14:paraId="32752D2A">
            <w:pPr>
              <w:pStyle w:val="22"/>
              <w:bidi w:val="0"/>
              <w:rPr>
                <w:rFonts w:hint="eastAsia"/>
                <w:color w:val="auto"/>
                <w:lang w:val="en-US" w:eastAsia="zh-CN"/>
              </w:rPr>
            </w:pPr>
            <w:r>
              <w:rPr>
                <w:rFonts w:hint="eastAsia" w:ascii="Times New Roman" w:hAnsi="Times New Roman" w:eastAsia="宋体" w:cs="Times New Roman"/>
                <w:color w:val="auto"/>
                <w:sz w:val="24"/>
                <w:highlight w:val="none"/>
              </w:rPr>
              <w:t>项目生活污水产生量为</w:t>
            </w:r>
            <w:r>
              <w:rPr>
                <w:rFonts w:hint="eastAsia" w:cs="Times New Roman"/>
                <w:color w:val="auto"/>
                <w:sz w:val="24"/>
                <w:highlight w:val="none"/>
                <w:lang w:val="en-US" w:eastAsia="zh-CN"/>
              </w:rPr>
              <w:t>1</w:t>
            </w:r>
            <w:r>
              <w:rPr>
                <w:rFonts w:hint="eastAsia" w:ascii="Times New Roman" w:hAnsi="Times New Roman" w:eastAsia="宋体" w:cs="Times New Roman"/>
                <w:color w:val="auto"/>
                <w:sz w:val="24"/>
                <w:highlight w:val="none"/>
              </w:rPr>
              <w:t>m</w:t>
            </w:r>
            <w:r>
              <w:rPr>
                <w:rFonts w:hint="eastAsia"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rPr>
              <w:t>/d，</w:t>
            </w:r>
            <w:r>
              <w:rPr>
                <w:rFonts w:hint="eastAsia" w:ascii="Times New Roman" w:hAnsi="Times New Roman" w:eastAsia="宋体" w:cs="Times New Roman"/>
                <w:color w:val="auto"/>
                <w:sz w:val="24"/>
                <w:highlight w:val="none"/>
                <w:lang w:val="en-US" w:eastAsia="zh-CN"/>
              </w:rPr>
              <w:t>120</w:t>
            </w:r>
            <w:r>
              <w:rPr>
                <w:rFonts w:hint="eastAsia" w:ascii="Times New Roman" w:hAnsi="Times New Roman" w:eastAsia="宋体" w:cs="Times New Roman"/>
                <w:color w:val="auto"/>
                <w:sz w:val="24"/>
                <w:highlight w:val="none"/>
              </w:rPr>
              <w:t>m</w:t>
            </w:r>
            <w:r>
              <w:rPr>
                <w:rFonts w:hint="eastAsia"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rPr>
              <w:t>/a，主要污染物为COD、BOD</w:t>
            </w:r>
            <w:r>
              <w:rPr>
                <w:rFonts w:hint="eastAsia" w:ascii="Times New Roman" w:hAnsi="Times New Roman" w:eastAsia="宋体" w:cs="Times New Roman"/>
                <w:color w:val="auto"/>
                <w:sz w:val="24"/>
                <w:highlight w:val="none"/>
                <w:vertAlign w:val="subscript"/>
              </w:rPr>
              <w:t>5</w:t>
            </w:r>
            <w:r>
              <w:rPr>
                <w:rFonts w:hint="eastAsia" w:ascii="Times New Roman" w:hAnsi="Times New Roman" w:eastAsia="宋体" w:cs="Times New Roman"/>
                <w:color w:val="auto"/>
                <w:sz w:val="24"/>
                <w:highlight w:val="none"/>
              </w:rPr>
              <w:t>、SS、氨氮</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TN、TP</w:t>
            </w:r>
            <w:r>
              <w:rPr>
                <w:rFonts w:hint="eastAsia" w:ascii="Times New Roman" w:hAnsi="Times New Roman" w:eastAsia="宋体" w:cs="Times New Roman"/>
                <w:color w:val="auto"/>
                <w:sz w:val="24"/>
                <w:highlight w:val="none"/>
              </w:rPr>
              <w:t>等，</w:t>
            </w:r>
            <w:r>
              <w:rPr>
                <w:rFonts w:hint="eastAsia"/>
                <w:color w:val="auto"/>
                <w:lang w:val="en-US" w:eastAsia="zh-CN"/>
              </w:rPr>
              <w:t>生活污水依托紫境城小区化粪池处理后，经市政污水管网排入西安净水处理有限责任公司第六再生水厂进行处理。</w:t>
            </w:r>
          </w:p>
          <w:p w14:paraId="33D81A4A">
            <w:pPr>
              <w:adjustRightInd w:val="0"/>
              <w:snapToGrid w:val="0"/>
              <w:spacing w:line="360" w:lineRule="auto"/>
              <w:ind w:firstLine="480" w:firstLineChars="200"/>
              <w:rPr>
                <w:rFonts w:hint="eastAsia"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类比同类项目，项目生活污水产生及排放情况见下表。</w:t>
            </w:r>
          </w:p>
          <w:p w14:paraId="74743D9F">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Ansi="Times New Roman" w:cs="Times New Roman"/>
                <w:b/>
                <w:bCs/>
                <w:color w:val="auto"/>
                <w:kern w:val="21"/>
                <w:szCs w:val="24"/>
              </w:rPr>
            </w:pPr>
            <w:r>
              <w:rPr>
                <w:rFonts w:hint="eastAsia" w:hAnsi="Times New Roman" w:cs="Times New Roman"/>
                <w:b/>
                <w:bCs/>
                <w:color w:val="auto"/>
                <w:kern w:val="21"/>
                <w:szCs w:val="24"/>
              </w:rPr>
              <w:t>表4-</w:t>
            </w:r>
            <w:r>
              <w:rPr>
                <w:rFonts w:hint="eastAsia" w:hAnsi="Times New Roman" w:cs="Times New Roman"/>
                <w:b/>
                <w:bCs/>
                <w:color w:val="auto"/>
                <w:kern w:val="21"/>
                <w:szCs w:val="24"/>
                <w:lang w:val="en-US" w:eastAsia="zh-CN"/>
              </w:rPr>
              <w:t>4</w:t>
            </w:r>
            <w:r>
              <w:rPr>
                <w:rFonts w:hint="eastAsia" w:hAnsi="Times New Roman" w:cs="Times New Roman"/>
                <w:b/>
                <w:bCs/>
                <w:color w:val="auto"/>
                <w:kern w:val="21"/>
                <w:szCs w:val="24"/>
              </w:rPr>
              <w:t xml:space="preserve">  生活</w:t>
            </w:r>
            <w:r>
              <w:rPr>
                <w:rFonts w:hint="eastAsia" w:hAnsi="Times New Roman" w:cs="Times New Roman"/>
                <w:b/>
                <w:bCs/>
                <w:color w:val="auto"/>
                <w:kern w:val="21"/>
                <w:szCs w:val="24"/>
                <w:lang w:val="en-US" w:eastAsia="zh-CN"/>
              </w:rPr>
              <w:t>污水</w:t>
            </w:r>
            <w:r>
              <w:rPr>
                <w:rFonts w:hint="eastAsia" w:hAnsi="Times New Roman" w:cs="Times New Roman"/>
                <w:b/>
                <w:bCs/>
                <w:color w:val="auto"/>
                <w:kern w:val="21"/>
                <w:szCs w:val="24"/>
              </w:rPr>
              <w:t>产排情况</w:t>
            </w:r>
          </w:p>
          <w:tbl>
            <w:tblPr>
              <w:tblStyle w:val="15"/>
              <w:tblW w:w="504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831"/>
              <w:gridCol w:w="1629"/>
              <w:gridCol w:w="1394"/>
              <w:gridCol w:w="895"/>
              <w:gridCol w:w="897"/>
              <w:gridCol w:w="859"/>
              <w:gridCol w:w="857"/>
              <w:gridCol w:w="864"/>
            </w:tblGrid>
            <w:tr w14:paraId="75E196D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1495" w:type="pct"/>
                  <w:gridSpan w:val="2"/>
                  <w:noWrap w:val="0"/>
                  <w:vAlign w:val="center"/>
                </w:tcPr>
                <w:p w14:paraId="6E713601">
                  <w:pPr>
                    <w:jc w:val="center"/>
                    <w:rPr>
                      <w:b/>
                      <w:bCs/>
                      <w:color w:val="auto"/>
                      <w:sz w:val="21"/>
                      <w:szCs w:val="21"/>
                      <w:highlight w:val="none"/>
                    </w:rPr>
                  </w:pPr>
                  <w:r>
                    <w:rPr>
                      <w:b/>
                      <w:bCs/>
                      <w:color w:val="auto"/>
                      <w:sz w:val="21"/>
                      <w:szCs w:val="21"/>
                      <w:highlight w:val="none"/>
                    </w:rPr>
                    <w:t>项目</w:t>
                  </w:r>
                </w:p>
              </w:tc>
              <w:tc>
                <w:tcPr>
                  <w:tcW w:w="847" w:type="pct"/>
                  <w:noWrap w:val="0"/>
                  <w:vAlign w:val="center"/>
                </w:tcPr>
                <w:p w14:paraId="3420FBE0">
                  <w:pPr>
                    <w:jc w:val="center"/>
                    <w:rPr>
                      <w:b/>
                      <w:bCs/>
                      <w:color w:val="auto"/>
                      <w:sz w:val="21"/>
                      <w:szCs w:val="21"/>
                      <w:highlight w:val="none"/>
                    </w:rPr>
                  </w:pPr>
                  <w:r>
                    <w:rPr>
                      <w:b/>
                      <w:bCs/>
                      <w:color w:val="auto"/>
                      <w:sz w:val="21"/>
                      <w:szCs w:val="21"/>
                      <w:highlight w:val="none"/>
                    </w:rPr>
                    <w:t>COD</w:t>
                  </w:r>
                </w:p>
              </w:tc>
              <w:tc>
                <w:tcPr>
                  <w:tcW w:w="544" w:type="pct"/>
                  <w:noWrap w:val="0"/>
                  <w:vAlign w:val="center"/>
                </w:tcPr>
                <w:p w14:paraId="6B08C9F5">
                  <w:pPr>
                    <w:jc w:val="center"/>
                    <w:rPr>
                      <w:b/>
                      <w:bCs/>
                      <w:color w:val="auto"/>
                      <w:sz w:val="21"/>
                      <w:szCs w:val="21"/>
                      <w:highlight w:val="none"/>
                    </w:rPr>
                  </w:pPr>
                  <w:r>
                    <w:rPr>
                      <w:b/>
                      <w:bCs/>
                      <w:color w:val="auto"/>
                      <w:sz w:val="21"/>
                      <w:szCs w:val="21"/>
                      <w:highlight w:val="none"/>
                    </w:rPr>
                    <w:t>BOD</w:t>
                  </w:r>
                  <w:r>
                    <w:rPr>
                      <w:b/>
                      <w:bCs/>
                      <w:color w:val="auto"/>
                      <w:sz w:val="21"/>
                      <w:szCs w:val="21"/>
                      <w:highlight w:val="none"/>
                      <w:vertAlign w:val="subscript"/>
                    </w:rPr>
                    <w:t>5</w:t>
                  </w:r>
                </w:p>
              </w:tc>
              <w:tc>
                <w:tcPr>
                  <w:tcW w:w="545" w:type="pct"/>
                  <w:noWrap w:val="0"/>
                  <w:vAlign w:val="center"/>
                </w:tcPr>
                <w:p w14:paraId="4FBC3B23">
                  <w:pPr>
                    <w:jc w:val="center"/>
                    <w:rPr>
                      <w:b/>
                      <w:bCs/>
                      <w:color w:val="auto"/>
                      <w:sz w:val="21"/>
                      <w:szCs w:val="21"/>
                      <w:highlight w:val="none"/>
                    </w:rPr>
                  </w:pPr>
                  <w:r>
                    <w:rPr>
                      <w:b/>
                      <w:bCs/>
                      <w:color w:val="auto"/>
                      <w:sz w:val="21"/>
                      <w:szCs w:val="21"/>
                      <w:highlight w:val="none"/>
                    </w:rPr>
                    <w:t>SS</w:t>
                  </w:r>
                </w:p>
              </w:tc>
              <w:tc>
                <w:tcPr>
                  <w:tcW w:w="522" w:type="pct"/>
                  <w:noWrap w:val="0"/>
                  <w:vAlign w:val="center"/>
                </w:tcPr>
                <w:p w14:paraId="7E29AC6C">
                  <w:pPr>
                    <w:jc w:val="center"/>
                    <w:rPr>
                      <w:b/>
                      <w:bCs/>
                      <w:color w:val="auto"/>
                      <w:sz w:val="21"/>
                      <w:szCs w:val="21"/>
                      <w:highlight w:val="none"/>
                    </w:rPr>
                  </w:pPr>
                  <w:r>
                    <w:rPr>
                      <w:b/>
                      <w:bCs/>
                      <w:color w:val="auto"/>
                      <w:sz w:val="21"/>
                      <w:szCs w:val="21"/>
                      <w:highlight w:val="none"/>
                    </w:rPr>
                    <w:t>氨氮</w:t>
                  </w:r>
                </w:p>
              </w:tc>
              <w:tc>
                <w:tcPr>
                  <w:tcW w:w="520" w:type="pct"/>
                  <w:noWrap w:val="0"/>
                  <w:vAlign w:val="center"/>
                </w:tcPr>
                <w:p w14:paraId="2071CA54">
                  <w:pPr>
                    <w:jc w:val="center"/>
                    <w:rPr>
                      <w:rFonts w:hint="default" w:eastAsia="宋体"/>
                      <w:b/>
                      <w:bCs/>
                      <w:color w:val="auto"/>
                      <w:sz w:val="21"/>
                      <w:szCs w:val="21"/>
                      <w:highlight w:val="none"/>
                      <w:lang w:val="en-US" w:eastAsia="zh-CN"/>
                    </w:rPr>
                  </w:pPr>
                  <w:r>
                    <w:rPr>
                      <w:rFonts w:hint="eastAsia"/>
                      <w:b/>
                      <w:bCs/>
                      <w:color w:val="auto"/>
                      <w:sz w:val="21"/>
                      <w:szCs w:val="21"/>
                      <w:highlight w:val="none"/>
                      <w:lang w:val="en-US" w:eastAsia="zh-CN"/>
                    </w:rPr>
                    <w:t>TN</w:t>
                  </w:r>
                </w:p>
              </w:tc>
              <w:tc>
                <w:tcPr>
                  <w:tcW w:w="525" w:type="pct"/>
                  <w:noWrap w:val="0"/>
                  <w:vAlign w:val="center"/>
                </w:tcPr>
                <w:p w14:paraId="6E3F1545">
                  <w:pPr>
                    <w:jc w:val="center"/>
                    <w:rPr>
                      <w:rFonts w:hint="default" w:eastAsia="宋体"/>
                      <w:b/>
                      <w:bCs/>
                      <w:color w:val="auto"/>
                      <w:sz w:val="21"/>
                      <w:szCs w:val="21"/>
                      <w:highlight w:val="none"/>
                      <w:lang w:val="en-US" w:eastAsia="zh-CN"/>
                    </w:rPr>
                  </w:pPr>
                  <w:r>
                    <w:rPr>
                      <w:rFonts w:hint="eastAsia"/>
                      <w:b/>
                      <w:bCs/>
                      <w:color w:val="auto"/>
                      <w:sz w:val="21"/>
                      <w:szCs w:val="21"/>
                      <w:highlight w:val="none"/>
                      <w:lang w:val="en-US" w:eastAsia="zh-CN"/>
                    </w:rPr>
                    <w:t>TP</w:t>
                  </w:r>
                </w:p>
              </w:tc>
            </w:tr>
            <w:tr w14:paraId="67A186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5" w:type="pct"/>
                  <w:vMerge w:val="restart"/>
                  <w:noWrap w:val="0"/>
                  <w:vAlign w:val="center"/>
                </w:tcPr>
                <w:p w14:paraId="04949A42">
                  <w:pPr>
                    <w:jc w:val="center"/>
                    <w:rPr>
                      <w:color w:val="auto"/>
                      <w:sz w:val="21"/>
                      <w:szCs w:val="21"/>
                      <w:highlight w:val="none"/>
                    </w:rPr>
                  </w:pPr>
                  <w:r>
                    <w:rPr>
                      <w:color w:val="auto"/>
                      <w:sz w:val="21"/>
                      <w:szCs w:val="21"/>
                      <w:highlight w:val="none"/>
                    </w:rPr>
                    <w:t>产生情况</w:t>
                  </w:r>
                </w:p>
              </w:tc>
              <w:tc>
                <w:tcPr>
                  <w:tcW w:w="990" w:type="pct"/>
                  <w:noWrap w:val="0"/>
                  <w:vAlign w:val="center"/>
                </w:tcPr>
                <w:p w14:paraId="574A328F">
                  <w:pPr>
                    <w:jc w:val="center"/>
                    <w:rPr>
                      <w:color w:val="auto"/>
                      <w:sz w:val="21"/>
                      <w:szCs w:val="21"/>
                      <w:highlight w:val="none"/>
                    </w:rPr>
                  </w:pPr>
                  <w:r>
                    <w:rPr>
                      <w:color w:val="auto"/>
                      <w:sz w:val="21"/>
                      <w:szCs w:val="21"/>
                      <w:highlight w:val="none"/>
                    </w:rPr>
                    <w:t>产生浓度（mg/L）</w:t>
                  </w:r>
                </w:p>
              </w:tc>
              <w:tc>
                <w:tcPr>
                  <w:tcW w:w="847" w:type="pct"/>
                  <w:noWrap w:val="0"/>
                  <w:vAlign w:val="center"/>
                </w:tcPr>
                <w:p w14:paraId="49818627">
                  <w:pPr>
                    <w:jc w:val="center"/>
                    <w:rPr>
                      <w:color w:val="auto"/>
                      <w:sz w:val="21"/>
                      <w:szCs w:val="21"/>
                      <w:highlight w:val="none"/>
                    </w:rPr>
                  </w:pPr>
                  <w:r>
                    <w:rPr>
                      <w:rFonts w:hint="eastAsia"/>
                      <w:color w:val="auto"/>
                      <w:sz w:val="21"/>
                      <w:szCs w:val="21"/>
                      <w:highlight w:val="none"/>
                    </w:rPr>
                    <w:t>350</w:t>
                  </w:r>
                </w:p>
              </w:tc>
              <w:tc>
                <w:tcPr>
                  <w:tcW w:w="544" w:type="pct"/>
                  <w:noWrap w:val="0"/>
                  <w:vAlign w:val="center"/>
                </w:tcPr>
                <w:p w14:paraId="7815A4E6">
                  <w:pPr>
                    <w:jc w:val="center"/>
                    <w:rPr>
                      <w:color w:val="auto"/>
                      <w:sz w:val="21"/>
                      <w:szCs w:val="21"/>
                      <w:highlight w:val="none"/>
                    </w:rPr>
                  </w:pPr>
                  <w:r>
                    <w:rPr>
                      <w:color w:val="auto"/>
                      <w:sz w:val="21"/>
                      <w:szCs w:val="21"/>
                      <w:highlight w:val="none"/>
                    </w:rPr>
                    <w:t>2</w:t>
                  </w:r>
                  <w:r>
                    <w:rPr>
                      <w:rFonts w:hint="eastAsia"/>
                      <w:color w:val="auto"/>
                      <w:sz w:val="21"/>
                      <w:szCs w:val="21"/>
                      <w:highlight w:val="none"/>
                    </w:rPr>
                    <w:t>2</w:t>
                  </w:r>
                  <w:r>
                    <w:rPr>
                      <w:color w:val="auto"/>
                      <w:sz w:val="21"/>
                      <w:szCs w:val="21"/>
                      <w:highlight w:val="none"/>
                    </w:rPr>
                    <w:t>0</w:t>
                  </w:r>
                </w:p>
              </w:tc>
              <w:tc>
                <w:tcPr>
                  <w:tcW w:w="545" w:type="pct"/>
                  <w:noWrap w:val="0"/>
                  <w:vAlign w:val="center"/>
                </w:tcPr>
                <w:p w14:paraId="045F68CB">
                  <w:pPr>
                    <w:jc w:val="center"/>
                    <w:rPr>
                      <w:color w:val="auto"/>
                      <w:sz w:val="21"/>
                      <w:szCs w:val="21"/>
                      <w:highlight w:val="none"/>
                    </w:rPr>
                  </w:pPr>
                  <w:r>
                    <w:rPr>
                      <w:color w:val="auto"/>
                      <w:sz w:val="21"/>
                      <w:szCs w:val="21"/>
                      <w:highlight w:val="none"/>
                    </w:rPr>
                    <w:t>300</w:t>
                  </w:r>
                </w:p>
              </w:tc>
              <w:tc>
                <w:tcPr>
                  <w:tcW w:w="522" w:type="pct"/>
                  <w:noWrap w:val="0"/>
                  <w:vAlign w:val="center"/>
                </w:tcPr>
                <w:p w14:paraId="7A6CAFDB">
                  <w:pPr>
                    <w:jc w:val="center"/>
                    <w:rPr>
                      <w:color w:val="auto"/>
                      <w:sz w:val="21"/>
                      <w:szCs w:val="21"/>
                      <w:highlight w:val="none"/>
                    </w:rPr>
                  </w:pPr>
                  <w:r>
                    <w:rPr>
                      <w:rFonts w:hint="eastAsia"/>
                      <w:color w:val="auto"/>
                      <w:sz w:val="21"/>
                      <w:szCs w:val="21"/>
                      <w:highlight w:val="none"/>
                    </w:rPr>
                    <w:t>36</w:t>
                  </w:r>
                </w:p>
              </w:tc>
              <w:tc>
                <w:tcPr>
                  <w:tcW w:w="520" w:type="pct"/>
                  <w:noWrap w:val="0"/>
                  <w:vAlign w:val="center"/>
                </w:tcPr>
                <w:p w14:paraId="4B221E3C">
                  <w:pPr>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50</w:t>
                  </w:r>
                </w:p>
              </w:tc>
              <w:tc>
                <w:tcPr>
                  <w:tcW w:w="525" w:type="pct"/>
                  <w:noWrap w:val="0"/>
                  <w:vAlign w:val="center"/>
                </w:tcPr>
                <w:p w14:paraId="6AEE4076">
                  <w:pPr>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5</w:t>
                  </w:r>
                </w:p>
              </w:tc>
            </w:tr>
            <w:tr w14:paraId="5853A66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5" w:type="pct"/>
                  <w:vMerge w:val="continue"/>
                  <w:noWrap w:val="0"/>
                  <w:vAlign w:val="center"/>
                </w:tcPr>
                <w:p w14:paraId="4EBC8F94">
                  <w:pPr>
                    <w:jc w:val="center"/>
                    <w:rPr>
                      <w:color w:val="auto"/>
                      <w:sz w:val="21"/>
                      <w:szCs w:val="21"/>
                      <w:highlight w:val="none"/>
                    </w:rPr>
                  </w:pPr>
                </w:p>
              </w:tc>
              <w:tc>
                <w:tcPr>
                  <w:tcW w:w="990" w:type="pct"/>
                  <w:noWrap w:val="0"/>
                  <w:vAlign w:val="center"/>
                </w:tcPr>
                <w:p w14:paraId="212AD6EB">
                  <w:pPr>
                    <w:jc w:val="center"/>
                    <w:rPr>
                      <w:color w:val="auto"/>
                      <w:sz w:val="21"/>
                      <w:szCs w:val="21"/>
                      <w:highlight w:val="none"/>
                    </w:rPr>
                  </w:pPr>
                  <w:r>
                    <w:rPr>
                      <w:color w:val="auto"/>
                      <w:sz w:val="21"/>
                      <w:szCs w:val="21"/>
                      <w:highlight w:val="none"/>
                    </w:rPr>
                    <w:t>产生量（t/a）</w:t>
                  </w:r>
                </w:p>
              </w:tc>
              <w:tc>
                <w:tcPr>
                  <w:tcW w:w="847" w:type="pct"/>
                  <w:noWrap w:val="0"/>
                  <w:vAlign w:val="center"/>
                </w:tcPr>
                <w:p w14:paraId="42D9BCE7">
                  <w:pPr>
                    <w:widowControl/>
                    <w:jc w:val="center"/>
                    <w:textAlignment w:val="center"/>
                    <w:rPr>
                      <w:rFonts w:hint="default" w:eastAsia="宋体"/>
                      <w:color w:val="auto"/>
                      <w:sz w:val="21"/>
                      <w:szCs w:val="21"/>
                      <w:highlight w:val="none"/>
                      <w:lang w:val="en-US" w:eastAsia="zh-CN"/>
                    </w:rPr>
                  </w:pPr>
                  <w:r>
                    <w:rPr>
                      <w:rFonts w:hint="eastAsia"/>
                      <w:color w:val="auto"/>
                      <w:kern w:val="0"/>
                      <w:sz w:val="21"/>
                      <w:szCs w:val="21"/>
                      <w:highlight w:val="none"/>
                      <w:lang w:val="en-US" w:eastAsia="zh-CN" w:bidi="ar"/>
                    </w:rPr>
                    <w:t>0.042</w:t>
                  </w:r>
                </w:p>
              </w:tc>
              <w:tc>
                <w:tcPr>
                  <w:tcW w:w="544" w:type="pct"/>
                  <w:noWrap w:val="0"/>
                  <w:vAlign w:val="center"/>
                </w:tcPr>
                <w:p w14:paraId="57CA6715">
                  <w:pPr>
                    <w:widowControl/>
                    <w:jc w:val="center"/>
                    <w:textAlignment w:val="center"/>
                    <w:rPr>
                      <w:rFonts w:hint="default" w:eastAsia="宋体"/>
                      <w:color w:val="auto"/>
                      <w:sz w:val="21"/>
                      <w:szCs w:val="21"/>
                      <w:highlight w:val="none"/>
                      <w:lang w:val="en-US" w:eastAsia="zh-CN"/>
                    </w:rPr>
                  </w:pPr>
                  <w:r>
                    <w:rPr>
                      <w:color w:val="auto"/>
                      <w:kern w:val="0"/>
                      <w:sz w:val="21"/>
                      <w:szCs w:val="21"/>
                      <w:highlight w:val="none"/>
                      <w:lang w:bidi="ar"/>
                    </w:rPr>
                    <w:t>0.</w:t>
                  </w:r>
                  <w:r>
                    <w:rPr>
                      <w:rFonts w:hint="eastAsia"/>
                      <w:color w:val="auto"/>
                      <w:kern w:val="0"/>
                      <w:sz w:val="21"/>
                      <w:szCs w:val="21"/>
                      <w:highlight w:val="none"/>
                      <w:lang w:val="en-US" w:eastAsia="zh-CN" w:bidi="ar"/>
                    </w:rPr>
                    <w:t>026</w:t>
                  </w:r>
                </w:p>
              </w:tc>
              <w:tc>
                <w:tcPr>
                  <w:tcW w:w="545" w:type="pct"/>
                  <w:noWrap w:val="0"/>
                  <w:vAlign w:val="center"/>
                </w:tcPr>
                <w:p w14:paraId="0827EE51">
                  <w:pPr>
                    <w:widowControl/>
                    <w:jc w:val="center"/>
                    <w:textAlignment w:val="center"/>
                    <w:rPr>
                      <w:rFonts w:hint="default" w:eastAsia="宋体"/>
                      <w:color w:val="auto"/>
                      <w:sz w:val="21"/>
                      <w:szCs w:val="21"/>
                      <w:highlight w:val="none"/>
                      <w:lang w:val="en-US" w:eastAsia="zh-CN"/>
                    </w:rPr>
                  </w:pPr>
                  <w:r>
                    <w:rPr>
                      <w:color w:val="auto"/>
                      <w:kern w:val="0"/>
                      <w:sz w:val="21"/>
                      <w:szCs w:val="21"/>
                      <w:highlight w:val="none"/>
                      <w:lang w:bidi="ar"/>
                    </w:rPr>
                    <w:t>0</w:t>
                  </w:r>
                  <w:r>
                    <w:rPr>
                      <w:rFonts w:hint="eastAsia"/>
                      <w:color w:val="auto"/>
                      <w:kern w:val="0"/>
                      <w:sz w:val="21"/>
                      <w:szCs w:val="21"/>
                      <w:highlight w:val="none"/>
                      <w:lang w:val="en-US" w:eastAsia="zh-CN" w:bidi="ar"/>
                    </w:rPr>
                    <w:t>.036</w:t>
                  </w:r>
                </w:p>
              </w:tc>
              <w:tc>
                <w:tcPr>
                  <w:tcW w:w="522" w:type="pct"/>
                  <w:noWrap w:val="0"/>
                  <w:vAlign w:val="center"/>
                </w:tcPr>
                <w:p w14:paraId="43067D85">
                  <w:pPr>
                    <w:widowControl/>
                    <w:jc w:val="center"/>
                    <w:textAlignment w:val="center"/>
                    <w:rPr>
                      <w:rFonts w:hint="default" w:eastAsia="宋体"/>
                      <w:color w:val="auto"/>
                      <w:sz w:val="21"/>
                      <w:szCs w:val="21"/>
                      <w:highlight w:val="none"/>
                      <w:lang w:val="en-US" w:eastAsia="zh-CN"/>
                    </w:rPr>
                  </w:pPr>
                  <w:r>
                    <w:rPr>
                      <w:color w:val="auto"/>
                      <w:kern w:val="0"/>
                      <w:sz w:val="21"/>
                      <w:szCs w:val="21"/>
                      <w:highlight w:val="none"/>
                      <w:lang w:bidi="ar"/>
                    </w:rPr>
                    <w:t>0.</w:t>
                  </w:r>
                  <w:r>
                    <w:rPr>
                      <w:rFonts w:hint="eastAsia"/>
                      <w:color w:val="auto"/>
                      <w:kern w:val="0"/>
                      <w:sz w:val="21"/>
                      <w:szCs w:val="21"/>
                      <w:highlight w:val="none"/>
                      <w:lang w:val="en-US" w:eastAsia="zh-CN" w:bidi="ar"/>
                    </w:rPr>
                    <w:t>0043</w:t>
                  </w:r>
                </w:p>
              </w:tc>
              <w:tc>
                <w:tcPr>
                  <w:tcW w:w="520" w:type="pct"/>
                  <w:noWrap w:val="0"/>
                  <w:vAlign w:val="center"/>
                </w:tcPr>
                <w:p w14:paraId="56FA57E2">
                  <w:pPr>
                    <w:widowControl/>
                    <w:jc w:val="center"/>
                    <w:textAlignment w:val="center"/>
                    <w:rPr>
                      <w:rFonts w:hint="default" w:eastAsia="宋体"/>
                      <w:color w:val="auto"/>
                      <w:kern w:val="0"/>
                      <w:sz w:val="21"/>
                      <w:szCs w:val="21"/>
                      <w:highlight w:val="none"/>
                      <w:lang w:val="en-US" w:eastAsia="zh-CN" w:bidi="ar"/>
                    </w:rPr>
                  </w:pPr>
                  <w:r>
                    <w:rPr>
                      <w:rFonts w:hint="eastAsia"/>
                      <w:color w:val="auto"/>
                      <w:kern w:val="0"/>
                      <w:sz w:val="21"/>
                      <w:szCs w:val="21"/>
                      <w:highlight w:val="none"/>
                      <w:lang w:val="en-US" w:eastAsia="zh-CN" w:bidi="ar"/>
                    </w:rPr>
                    <w:t>0.006</w:t>
                  </w:r>
                </w:p>
              </w:tc>
              <w:tc>
                <w:tcPr>
                  <w:tcW w:w="525" w:type="pct"/>
                  <w:noWrap w:val="0"/>
                  <w:vAlign w:val="center"/>
                </w:tcPr>
                <w:p w14:paraId="39BBC297">
                  <w:pPr>
                    <w:widowControl/>
                    <w:jc w:val="center"/>
                    <w:textAlignment w:val="center"/>
                    <w:rPr>
                      <w:rFonts w:hint="default" w:eastAsia="宋体"/>
                      <w:color w:val="auto"/>
                      <w:kern w:val="0"/>
                      <w:sz w:val="21"/>
                      <w:szCs w:val="21"/>
                      <w:highlight w:val="none"/>
                      <w:lang w:val="en-US" w:eastAsia="zh-CN" w:bidi="ar"/>
                    </w:rPr>
                  </w:pPr>
                  <w:r>
                    <w:rPr>
                      <w:rFonts w:hint="eastAsia"/>
                      <w:color w:val="auto"/>
                      <w:kern w:val="0"/>
                      <w:sz w:val="21"/>
                      <w:szCs w:val="21"/>
                      <w:highlight w:val="none"/>
                      <w:lang w:val="en-US" w:eastAsia="zh-CN" w:bidi="ar"/>
                    </w:rPr>
                    <w:t>0.0006</w:t>
                  </w:r>
                </w:p>
              </w:tc>
            </w:tr>
            <w:tr w14:paraId="0837CCE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495" w:type="pct"/>
                  <w:gridSpan w:val="2"/>
                  <w:noWrap w:val="0"/>
                  <w:vAlign w:val="center"/>
                </w:tcPr>
                <w:p w14:paraId="2AE3BE15">
                  <w:pPr>
                    <w:jc w:val="center"/>
                    <w:rPr>
                      <w:color w:val="auto"/>
                      <w:sz w:val="21"/>
                      <w:szCs w:val="21"/>
                      <w:highlight w:val="none"/>
                    </w:rPr>
                  </w:pPr>
                  <w:r>
                    <w:rPr>
                      <w:rFonts w:hint="eastAsia"/>
                      <w:color w:val="auto"/>
                      <w:sz w:val="21"/>
                      <w:szCs w:val="21"/>
                      <w:highlight w:val="none"/>
                    </w:rPr>
                    <w:t>处理设施</w:t>
                  </w:r>
                </w:p>
              </w:tc>
              <w:tc>
                <w:tcPr>
                  <w:tcW w:w="3504" w:type="pct"/>
                  <w:gridSpan w:val="6"/>
                  <w:noWrap w:val="0"/>
                  <w:vAlign w:val="center"/>
                </w:tcPr>
                <w:p w14:paraId="0682371D">
                  <w:pPr>
                    <w:jc w:val="center"/>
                    <w:rPr>
                      <w:rFonts w:hint="eastAsia"/>
                      <w:color w:val="auto"/>
                      <w:sz w:val="21"/>
                      <w:szCs w:val="21"/>
                      <w:highlight w:val="none"/>
                    </w:rPr>
                  </w:pPr>
                  <w:r>
                    <w:rPr>
                      <w:rFonts w:hint="eastAsia"/>
                      <w:color w:val="auto"/>
                      <w:sz w:val="21"/>
                      <w:szCs w:val="21"/>
                      <w:highlight w:val="none"/>
                    </w:rPr>
                    <w:t>化粪池</w:t>
                  </w:r>
                </w:p>
              </w:tc>
            </w:tr>
            <w:tr w14:paraId="78E06C9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495" w:type="pct"/>
                  <w:gridSpan w:val="2"/>
                  <w:noWrap w:val="0"/>
                  <w:vAlign w:val="center"/>
                </w:tcPr>
                <w:p w14:paraId="2F213373">
                  <w:pPr>
                    <w:jc w:val="center"/>
                    <w:rPr>
                      <w:color w:val="auto"/>
                      <w:sz w:val="21"/>
                      <w:szCs w:val="21"/>
                      <w:highlight w:val="none"/>
                    </w:rPr>
                  </w:pPr>
                  <w:r>
                    <w:rPr>
                      <w:rFonts w:hint="eastAsia"/>
                      <w:color w:val="auto"/>
                      <w:sz w:val="21"/>
                      <w:szCs w:val="21"/>
                      <w:highlight w:val="none"/>
                    </w:rPr>
                    <w:t>是否为可行技术</w:t>
                  </w:r>
                </w:p>
              </w:tc>
              <w:tc>
                <w:tcPr>
                  <w:tcW w:w="3504" w:type="pct"/>
                  <w:gridSpan w:val="6"/>
                  <w:noWrap w:val="0"/>
                  <w:vAlign w:val="center"/>
                </w:tcPr>
                <w:p w14:paraId="73816F18">
                  <w:pPr>
                    <w:jc w:val="center"/>
                    <w:rPr>
                      <w:rFonts w:hint="eastAsia"/>
                      <w:color w:val="auto"/>
                      <w:sz w:val="21"/>
                      <w:szCs w:val="21"/>
                      <w:highlight w:val="none"/>
                    </w:rPr>
                  </w:pPr>
                  <w:r>
                    <w:rPr>
                      <w:rFonts w:hint="eastAsia"/>
                      <w:color w:val="auto"/>
                      <w:sz w:val="21"/>
                      <w:szCs w:val="21"/>
                      <w:highlight w:val="none"/>
                    </w:rPr>
                    <w:t>是</w:t>
                  </w:r>
                </w:p>
              </w:tc>
            </w:tr>
            <w:tr w14:paraId="5E1CEE5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495" w:type="pct"/>
                  <w:gridSpan w:val="2"/>
                  <w:noWrap w:val="0"/>
                  <w:vAlign w:val="center"/>
                </w:tcPr>
                <w:p w14:paraId="5A3E0927">
                  <w:pPr>
                    <w:jc w:val="center"/>
                    <w:rPr>
                      <w:color w:val="auto"/>
                      <w:sz w:val="21"/>
                      <w:szCs w:val="21"/>
                      <w:highlight w:val="none"/>
                    </w:rPr>
                  </w:pPr>
                  <w:r>
                    <w:rPr>
                      <w:color w:val="auto"/>
                      <w:sz w:val="21"/>
                      <w:szCs w:val="21"/>
                      <w:highlight w:val="none"/>
                    </w:rPr>
                    <w:t>处理效率</w:t>
                  </w:r>
                  <w:r>
                    <w:rPr>
                      <w:rFonts w:hint="eastAsia"/>
                      <w:color w:val="auto"/>
                      <w:sz w:val="21"/>
                      <w:szCs w:val="21"/>
                      <w:highlight w:val="none"/>
                    </w:rPr>
                    <w:t>（%）</w:t>
                  </w:r>
                </w:p>
              </w:tc>
              <w:tc>
                <w:tcPr>
                  <w:tcW w:w="847" w:type="pct"/>
                  <w:noWrap w:val="0"/>
                  <w:vAlign w:val="center"/>
                </w:tcPr>
                <w:p w14:paraId="3AC92230">
                  <w:pPr>
                    <w:widowControl/>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15</w:t>
                  </w:r>
                </w:p>
              </w:tc>
              <w:tc>
                <w:tcPr>
                  <w:tcW w:w="544" w:type="pct"/>
                  <w:noWrap w:val="0"/>
                  <w:vAlign w:val="center"/>
                </w:tcPr>
                <w:p w14:paraId="122CFF0E">
                  <w:pPr>
                    <w:widowControl/>
                    <w:jc w:val="center"/>
                    <w:textAlignment w:val="center"/>
                    <w:rPr>
                      <w:rFonts w:hint="eastAsia" w:ascii="Times New Roman" w:hAnsi="Times New Roman" w:eastAsia="宋体" w:cs="Times New Roman"/>
                      <w:color w:val="auto"/>
                      <w:kern w:val="0"/>
                      <w:sz w:val="21"/>
                      <w:szCs w:val="21"/>
                      <w:highlight w:val="none"/>
                      <w:lang w:eastAsia="zh-CN" w:bidi="ar"/>
                    </w:rPr>
                  </w:pPr>
                  <w:r>
                    <w:rPr>
                      <w:rFonts w:hint="eastAsia" w:ascii="Times New Roman" w:hAnsi="Times New Roman" w:eastAsia="宋体" w:cs="Times New Roman"/>
                      <w:color w:val="auto"/>
                      <w:kern w:val="0"/>
                      <w:sz w:val="21"/>
                      <w:szCs w:val="21"/>
                      <w:highlight w:val="none"/>
                      <w:lang w:val="en-US" w:eastAsia="zh-CN" w:bidi="ar"/>
                    </w:rPr>
                    <w:t>9</w:t>
                  </w:r>
                </w:p>
              </w:tc>
              <w:tc>
                <w:tcPr>
                  <w:tcW w:w="545" w:type="pct"/>
                  <w:noWrap w:val="0"/>
                  <w:vAlign w:val="center"/>
                </w:tcPr>
                <w:p w14:paraId="4E4E9437">
                  <w:pPr>
                    <w:widowControl/>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20</w:t>
                  </w:r>
                </w:p>
              </w:tc>
              <w:tc>
                <w:tcPr>
                  <w:tcW w:w="522" w:type="pct"/>
                  <w:noWrap w:val="0"/>
                  <w:vAlign w:val="center"/>
                </w:tcPr>
                <w:p w14:paraId="268F911F">
                  <w:pPr>
                    <w:widowControl/>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0</w:t>
                  </w:r>
                </w:p>
              </w:tc>
              <w:tc>
                <w:tcPr>
                  <w:tcW w:w="520" w:type="pct"/>
                  <w:noWrap w:val="0"/>
                  <w:vAlign w:val="center"/>
                </w:tcPr>
                <w:p w14:paraId="7CCBE37B">
                  <w:pPr>
                    <w:widowControl/>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0</w:t>
                  </w:r>
                </w:p>
              </w:tc>
              <w:tc>
                <w:tcPr>
                  <w:tcW w:w="525" w:type="pct"/>
                  <w:noWrap w:val="0"/>
                  <w:vAlign w:val="center"/>
                </w:tcPr>
                <w:p w14:paraId="5C0F0F18">
                  <w:pPr>
                    <w:widowControl/>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0</w:t>
                  </w:r>
                </w:p>
              </w:tc>
            </w:tr>
            <w:tr w14:paraId="1327D93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5" w:type="pct"/>
                  <w:vMerge w:val="restart"/>
                  <w:noWrap w:val="0"/>
                  <w:vAlign w:val="center"/>
                </w:tcPr>
                <w:p w14:paraId="7105244C">
                  <w:pPr>
                    <w:jc w:val="center"/>
                    <w:rPr>
                      <w:color w:val="auto"/>
                      <w:sz w:val="21"/>
                      <w:szCs w:val="21"/>
                      <w:highlight w:val="none"/>
                    </w:rPr>
                  </w:pPr>
                  <w:r>
                    <w:rPr>
                      <w:color w:val="auto"/>
                      <w:sz w:val="21"/>
                      <w:szCs w:val="21"/>
                      <w:highlight w:val="none"/>
                    </w:rPr>
                    <w:t>排放情况</w:t>
                  </w:r>
                </w:p>
              </w:tc>
              <w:tc>
                <w:tcPr>
                  <w:tcW w:w="990" w:type="pct"/>
                  <w:noWrap w:val="0"/>
                  <w:vAlign w:val="center"/>
                </w:tcPr>
                <w:p w14:paraId="4D22F4AA">
                  <w:pPr>
                    <w:jc w:val="center"/>
                    <w:rPr>
                      <w:color w:val="auto"/>
                      <w:sz w:val="21"/>
                      <w:szCs w:val="21"/>
                      <w:highlight w:val="none"/>
                    </w:rPr>
                  </w:pPr>
                  <w:r>
                    <w:rPr>
                      <w:color w:val="auto"/>
                      <w:sz w:val="21"/>
                      <w:szCs w:val="21"/>
                      <w:highlight w:val="none"/>
                    </w:rPr>
                    <w:t>排放浓度（mg/L）</w:t>
                  </w:r>
                </w:p>
              </w:tc>
              <w:tc>
                <w:tcPr>
                  <w:tcW w:w="847" w:type="pct"/>
                  <w:noWrap w:val="0"/>
                  <w:vAlign w:val="center"/>
                </w:tcPr>
                <w:p w14:paraId="5D33B9EF">
                  <w:pPr>
                    <w:widowControl/>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ascii="Times New Roman" w:hAnsi="Times New Roman" w:eastAsia="宋体" w:cs="Times New Roman"/>
                      <w:color w:val="auto"/>
                      <w:kern w:val="0"/>
                      <w:sz w:val="21"/>
                      <w:szCs w:val="21"/>
                      <w:highlight w:val="none"/>
                      <w:lang w:bidi="ar"/>
                    </w:rPr>
                    <w:t>2</w:t>
                  </w:r>
                  <w:r>
                    <w:rPr>
                      <w:rFonts w:hint="eastAsia" w:ascii="Times New Roman" w:hAnsi="Times New Roman" w:eastAsia="宋体" w:cs="Times New Roman"/>
                      <w:color w:val="auto"/>
                      <w:kern w:val="0"/>
                      <w:sz w:val="21"/>
                      <w:szCs w:val="21"/>
                      <w:highlight w:val="none"/>
                      <w:lang w:val="en-US" w:eastAsia="zh-CN" w:bidi="ar"/>
                    </w:rPr>
                    <w:t>98</w:t>
                  </w:r>
                </w:p>
              </w:tc>
              <w:tc>
                <w:tcPr>
                  <w:tcW w:w="544" w:type="pct"/>
                  <w:noWrap w:val="0"/>
                  <w:vAlign w:val="center"/>
                </w:tcPr>
                <w:p w14:paraId="4A5614BE">
                  <w:pPr>
                    <w:widowControl/>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200</w:t>
                  </w:r>
                </w:p>
              </w:tc>
              <w:tc>
                <w:tcPr>
                  <w:tcW w:w="545" w:type="pct"/>
                  <w:noWrap w:val="0"/>
                  <w:vAlign w:val="center"/>
                </w:tcPr>
                <w:p w14:paraId="4E18C8F9">
                  <w:pPr>
                    <w:widowControl/>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240</w:t>
                  </w:r>
                </w:p>
              </w:tc>
              <w:tc>
                <w:tcPr>
                  <w:tcW w:w="522" w:type="pct"/>
                  <w:shd w:val="clear" w:color="auto" w:fill="auto"/>
                  <w:noWrap w:val="0"/>
                  <w:vAlign w:val="center"/>
                </w:tcPr>
                <w:p w14:paraId="0532E7F7">
                  <w:pPr>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36</w:t>
                  </w:r>
                </w:p>
              </w:tc>
              <w:tc>
                <w:tcPr>
                  <w:tcW w:w="520" w:type="pct"/>
                  <w:shd w:val="clear" w:color="auto" w:fill="auto"/>
                  <w:noWrap w:val="0"/>
                  <w:vAlign w:val="center"/>
                </w:tcPr>
                <w:p w14:paraId="74A2BFBE">
                  <w:pPr>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50</w:t>
                  </w:r>
                </w:p>
              </w:tc>
              <w:tc>
                <w:tcPr>
                  <w:tcW w:w="525" w:type="pct"/>
                  <w:shd w:val="clear" w:color="auto" w:fill="auto"/>
                  <w:noWrap w:val="0"/>
                  <w:vAlign w:val="center"/>
                </w:tcPr>
                <w:p w14:paraId="78DF87A8">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5</w:t>
                  </w:r>
                </w:p>
              </w:tc>
            </w:tr>
            <w:tr w14:paraId="431581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5" w:type="pct"/>
                  <w:vMerge w:val="continue"/>
                  <w:noWrap w:val="0"/>
                  <w:vAlign w:val="center"/>
                </w:tcPr>
                <w:p w14:paraId="2C23CA78">
                  <w:pPr>
                    <w:jc w:val="center"/>
                    <w:rPr>
                      <w:color w:val="auto"/>
                      <w:sz w:val="21"/>
                      <w:szCs w:val="21"/>
                      <w:highlight w:val="none"/>
                    </w:rPr>
                  </w:pPr>
                </w:p>
              </w:tc>
              <w:tc>
                <w:tcPr>
                  <w:tcW w:w="990" w:type="pct"/>
                  <w:noWrap w:val="0"/>
                  <w:vAlign w:val="center"/>
                </w:tcPr>
                <w:p w14:paraId="10910D70">
                  <w:pPr>
                    <w:jc w:val="center"/>
                    <w:rPr>
                      <w:color w:val="auto"/>
                      <w:sz w:val="21"/>
                      <w:szCs w:val="21"/>
                      <w:highlight w:val="none"/>
                    </w:rPr>
                  </w:pPr>
                  <w:r>
                    <w:rPr>
                      <w:color w:val="auto"/>
                      <w:sz w:val="21"/>
                      <w:szCs w:val="21"/>
                      <w:highlight w:val="none"/>
                    </w:rPr>
                    <w:t>排放量（t/a）</w:t>
                  </w:r>
                </w:p>
              </w:tc>
              <w:tc>
                <w:tcPr>
                  <w:tcW w:w="847" w:type="pct"/>
                  <w:noWrap w:val="0"/>
                  <w:vAlign w:val="center"/>
                </w:tcPr>
                <w:p w14:paraId="58D95E78">
                  <w:pPr>
                    <w:widowControl/>
                    <w:jc w:val="center"/>
                    <w:textAlignment w:val="center"/>
                    <w:rPr>
                      <w:rFonts w:hint="default" w:eastAsia="宋体"/>
                      <w:color w:val="auto"/>
                      <w:sz w:val="21"/>
                      <w:szCs w:val="21"/>
                      <w:highlight w:val="none"/>
                      <w:lang w:val="en-US" w:eastAsia="zh-CN"/>
                    </w:rPr>
                  </w:pPr>
                  <w:r>
                    <w:rPr>
                      <w:rFonts w:hint="eastAsia" w:eastAsia="宋体"/>
                      <w:color w:val="auto"/>
                      <w:kern w:val="0"/>
                      <w:sz w:val="21"/>
                      <w:szCs w:val="21"/>
                      <w:highlight w:val="none"/>
                      <w:lang w:eastAsia="zh-CN" w:bidi="ar"/>
                    </w:rPr>
                    <w:t>0.0</w:t>
                  </w:r>
                  <w:r>
                    <w:rPr>
                      <w:rFonts w:hint="eastAsia" w:eastAsia="宋体"/>
                      <w:color w:val="auto"/>
                      <w:kern w:val="0"/>
                      <w:sz w:val="21"/>
                      <w:szCs w:val="21"/>
                      <w:highlight w:val="none"/>
                      <w:lang w:val="en-US" w:eastAsia="zh-CN" w:bidi="ar"/>
                    </w:rPr>
                    <w:t>36</w:t>
                  </w:r>
                </w:p>
              </w:tc>
              <w:tc>
                <w:tcPr>
                  <w:tcW w:w="544" w:type="pct"/>
                  <w:noWrap w:val="0"/>
                  <w:vAlign w:val="center"/>
                </w:tcPr>
                <w:p w14:paraId="7DA5BC05">
                  <w:pPr>
                    <w:widowControl/>
                    <w:jc w:val="center"/>
                    <w:textAlignment w:val="center"/>
                    <w:rPr>
                      <w:rFonts w:hint="default" w:eastAsia="宋体"/>
                      <w:color w:val="auto"/>
                      <w:sz w:val="21"/>
                      <w:szCs w:val="21"/>
                      <w:highlight w:val="none"/>
                      <w:lang w:val="en-US" w:eastAsia="zh-CN"/>
                    </w:rPr>
                  </w:pPr>
                  <w:r>
                    <w:rPr>
                      <w:rFonts w:hint="eastAsia" w:eastAsia="宋体"/>
                      <w:color w:val="auto"/>
                      <w:kern w:val="0"/>
                      <w:sz w:val="21"/>
                      <w:szCs w:val="21"/>
                      <w:highlight w:val="none"/>
                      <w:lang w:eastAsia="zh-CN" w:bidi="ar"/>
                    </w:rPr>
                    <w:t>0.0</w:t>
                  </w:r>
                  <w:r>
                    <w:rPr>
                      <w:rFonts w:hint="eastAsia" w:eastAsia="宋体"/>
                      <w:color w:val="auto"/>
                      <w:kern w:val="0"/>
                      <w:sz w:val="21"/>
                      <w:szCs w:val="21"/>
                      <w:highlight w:val="none"/>
                      <w:lang w:val="en-US" w:eastAsia="zh-CN" w:bidi="ar"/>
                    </w:rPr>
                    <w:t>24</w:t>
                  </w:r>
                </w:p>
              </w:tc>
              <w:tc>
                <w:tcPr>
                  <w:tcW w:w="545" w:type="pct"/>
                  <w:noWrap w:val="0"/>
                  <w:vAlign w:val="center"/>
                </w:tcPr>
                <w:p w14:paraId="620C4833">
                  <w:pPr>
                    <w:widowControl/>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eastAsia="zh-CN" w:bidi="ar"/>
                    </w:rPr>
                    <w:t>0.0</w:t>
                  </w:r>
                  <w:r>
                    <w:rPr>
                      <w:rFonts w:hint="eastAsia" w:ascii="Times New Roman" w:hAnsi="Times New Roman" w:eastAsia="宋体" w:cs="Times New Roman"/>
                      <w:color w:val="auto"/>
                      <w:kern w:val="0"/>
                      <w:sz w:val="21"/>
                      <w:szCs w:val="21"/>
                      <w:highlight w:val="none"/>
                      <w:lang w:val="en-US" w:eastAsia="zh-CN" w:bidi="ar"/>
                    </w:rPr>
                    <w:t>29</w:t>
                  </w:r>
                </w:p>
              </w:tc>
              <w:tc>
                <w:tcPr>
                  <w:tcW w:w="522" w:type="pct"/>
                  <w:shd w:val="clear" w:color="auto" w:fill="auto"/>
                  <w:noWrap w:val="0"/>
                  <w:vAlign w:val="center"/>
                </w:tcPr>
                <w:p w14:paraId="6F2F60A3">
                  <w:pPr>
                    <w:widowControl/>
                    <w:jc w:val="center"/>
                    <w:textAlignment w:val="center"/>
                    <w:rPr>
                      <w:rFonts w:hint="default" w:ascii="Times New Roman" w:hAnsi="Times New Roman" w:eastAsia="宋体" w:cs="Times New Roman"/>
                      <w:color w:val="auto"/>
                      <w:kern w:val="2"/>
                      <w:sz w:val="21"/>
                      <w:szCs w:val="21"/>
                      <w:highlight w:val="none"/>
                      <w:lang w:val="en-US" w:eastAsia="zh-CN" w:bidi="ar-SA"/>
                    </w:rPr>
                  </w:pPr>
                  <w:r>
                    <w:rPr>
                      <w:color w:val="auto"/>
                      <w:kern w:val="0"/>
                      <w:sz w:val="21"/>
                      <w:szCs w:val="21"/>
                      <w:highlight w:val="none"/>
                      <w:lang w:bidi="ar"/>
                    </w:rPr>
                    <w:t>0.</w:t>
                  </w:r>
                  <w:r>
                    <w:rPr>
                      <w:rFonts w:hint="eastAsia"/>
                      <w:color w:val="auto"/>
                      <w:kern w:val="0"/>
                      <w:sz w:val="21"/>
                      <w:szCs w:val="21"/>
                      <w:highlight w:val="none"/>
                      <w:lang w:val="en-US" w:eastAsia="zh-CN" w:bidi="ar"/>
                    </w:rPr>
                    <w:t>0043</w:t>
                  </w:r>
                </w:p>
              </w:tc>
              <w:tc>
                <w:tcPr>
                  <w:tcW w:w="520" w:type="pct"/>
                  <w:shd w:val="clear" w:color="auto" w:fill="auto"/>
                  <w:noWrap w:val="0"/>
                  <w:vAlign w:val="center"/>
                </w:tcPr>
                <w:p w14:paraId="229320A5">
                  <w:pPr>
                    <w:widowControl/>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olor w:val="auto"/>
                      <w:kern w:val="0"/>
                      <w:sz w:val="21"/>
                      <w:szCs w:val="21"/>
                      <w:highlight w:val="none"/>
                      <w:lang w:val="en-US" w:eastAsia="zh-CN" w:bidi="ar"/>
                    </w:rPr>
                    <w:t>0.006</w:t>
                  </w:r>
                </w:p>
              </w:tc>
              <w:tc>
                <w:tcPr>
                  <w:tcW w:w="525" w:type="pct"/>
                  <w:shd w:val="clear" w:color="auto" w:fill="auto"/>
                  <w:noWrap w:val="0"/>
                  <w:vAlign w:val="center"/>
                </w:tcPr>
                <w:p w14:paraId="344C1A38">
                  <w:pPr>
                    <w:widowControl/>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olor w:val="auto"/>
                      <w:kern w:val="0"/>
                      <w:sz w:val="21"/>
                      <w:szCs w:val="21"/>
                      <w:highlight w:val="none"/>
                      <w:lang w:val="en-US" w:eastAsia="zh-CN" w:bidi="ar"/>
                    </w:rPr>
                    <w:t>0.0006</w:t>
                  </w:r>
                </w:p>
              </w:tc>
            </w:tr>
            <w:tr w14:paraId="590DAA8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05" w:type="pct"/>
                  <w:vMerge w:val="continue"/>
                  <w:noWrap w:val="0"/>
                  <w:vAlign w:val="center"/>
                </w:tcPr>
                <w:p w14:paraId="159F63B3">
                  <w:pPr>
                    <w:jc w:val="center"/>
                    <w:rPr>
                      <w:color w:val="auto"/>
                      <w:sz w:val="21"/>
                      <w:szCs w:val="21"/>
                      <w:highlight w:val="none"/>
                    </w:rPr>
                  </w:pPr>
                </w:p>
              </w:tc>
              <w:tc>
                <w:tcPr>
                  <w:tcW w:w="990" w:type="pct"/>
                  <w:noWrap w:val="0"/>
                  <w:vAlign w:val="center"/>
                </w:tcPr>
                <w:p w14:paraId="7A923133">
                  <w:pPr>
                    <w:jc w:val="center"/>
                    <w:rPr>
                      <w:color w:val="auto"/>
                      <w:sz w:val="21"/>
                      <w:szCs w:val="21"/>
                      <w:highlight w:val="none"/>
                    </w:rPr>
                  </w:pPr>
                  <w:r>
                    <w:rPr>
                      <w:rFonts w:hint="eastAsia"/>
                      <w:color w:val="auto"/>
                      <w:sz w:val="21"/>
                      <w:szCs w:val="21"/>
                      <w:highlight w:val="none"/>
                    </w:rPr>
                    <w:t>排放方式</w:t>
                  </w:r>
                </w:p>
              </w:tc>
              <w:tc>
                <w:tcPr>
                  <w:tcW w:w="3504" w:type="pct"/>
                  <w:gridSpan w:val="6"/>
                  <w:noWrap w:val="0"/>
                  <w:vAlign w:val="center"/>
                </w:tcPr>
                <w:p w14:paraId="4CC94D95">
                  <w:pPr>
                    <w:jc w:val="center"/>
                    <w:rPr>
                      <w:rFonts w:hint="eastAsia"/>
                      <w:color w:val="auto"/>
                      <w:sz w:val="21"/>
                      <w:szCs w:val="21"/>
                      <w:highlight w:val="none"/>
                    </w:rPr>
                  </w:pPr>
                  <w:r>
                    <w:rPr>
                      <w:rFonts w:hint="eastAsia"/>
                      <w:color w:val="auto"/>
                      <w:sz w:val="21"/>
                      <w:szCs w:val="21"/>
                      <w:highlight w:val="none"/>
                    </w:rPr>
                    <w:t>间接排放</w:t>
                  </w:r>
                </w:p>
              </w:tc>
            </w:tr>
          </w:tbl>
          <w:p w14:paraId="5A07C42E">
            <w:pPr>
              <w:spacing w:before="120" w:beforeLines="50" w:line="360" w:lineRule="auto"/>
              <w:ind w:firstLine="480" w:firstLineChars="200"/>
              <w:rPr>
                <w:rFonts w:hint="eastAsia"/>
                <w:color w:val="auto"/>
              </w:rPr>
            </w:pPr>
            <w:r>
              <w:rPr>
                <w:rFonts w:hint="eastAsia"/>
                <w:color w:val="auto"/>
                <w:sz w:val="24"/>
                <w:szCs w:val="32"/>
              </w:rPr>
              <w:t>本项目总排水情况见下表：</w:t>
            </w:r>
          </w:p>
          <w:p w14:paraId="37B47A58">
            <w:pPr>
              <w:pStyle w:val="24"/>
              <w:spacing w:line="240" w:lineRule="auto"/>
              <w:ind w:firstLine="0" w:firstLineChars="0"/>
              <w:jc w:val="center"/>
              <w:rPr>
                <w:rFonts w:hAnsi="Times New Roman" w:cs="Times New Roman"/>
                <w:b/>
                <w:bCs/>
                <w:color w:val="auto"/>
                <w:kern w:val="21"/>
                <w:szCs w:val="24"/>
              </w:rPr>
            </w:pPr>
            <w:r>
              <w:rPr>
                <w:rFonts w:hint="eastAsia" w:hAnsi="Times New Roman" w:cs="Times New Roman"/>
                <w:b/>
                <w:bCs/>
                <w:color w:val="auto"/>
                <w:kern w:val="21"/>
                <w:szCs w:val="24"/>
              </w:rPr>
              <w:t>表4-</w:t>
            </w:r>
            <w:r>
              <w:rPr>
                <w:rFonts w:hint="eastAsia" w:hAnsi="Times New Roman" w:cs="Times New Roman"/>
                <w:b/>
                <w:bCs/>
                <w:color w:val="auto"/>
                <w:kern w:val="21"/>
                <w:szCs w:val="24"/>
                <w:lang w:val="en-US" w:eastAsia="zh-CN"/>
              </w:rPr>
              <w:t>5</w:t>
            </w:r>
            <w:r>
              <w:rPr>
                <w:rFonts w:hint="eastAsia" w:hAnsi="Times New Roman" w:cs="Times New Roman"/>
                <w:b/>
                <w:bCs/>
                <w:color w:val="auto"/>
                <w:kern w:val="21"/>
                <w:szCs w:val="24"/>
              </w:rPr>
              <w:t xml:space="preserve">  总排水情况</w:t>
            </w:r>
          </w:p>
          <w:tbl>
            <w:tblPr>
              <w:tblStyle w:val="15"/>
              <w:tblW w:w="5049"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856"/>
              <w:gridCol w:w="1105"/>
              <w:gridCol w:w="1635"/>
              <w:gridCol w:w="839"/>
              <w:gridCol w:w="822"/>
              <w:gridCol w:w="726"/>
              <w:gridCol w:w="756"/>
              <w:gridCol w:w="713"/>
              <w:gridCol w:w="775"/>
            </w:tblGrid>
            <w:tr w14:paraId="478149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520" w:type="pct"/>
                  <w:noWrap w:val="0"/>
                  <w:vAlign w:val="center"/>
                </w:tcPr>
                <w:p w14:paraId="7A29F6B0">
                  <w:pPr>
                    <w:jc w:val="center"/>
                    <w:rPr>
                      <w:b/>
                      <w:bCs/>
                      <w:color w:val="auto"/>
                      <w:szCs w:val="21"/>
                    </w:rPr>
                  </w:pPr>
                  <w:r>
                    <w:rPr>
                      <w:b/>
                      <w:bCs/>
                      <w:color w:val="auto"/>
                      <w:szCs w:val="21"/>
                    </w:rPr>
                    <w:t>项目</w:t>
                  </w:r>
                </w:p>
              </w:tc>
              <w:tc>
                <w:tcPr>
                  <w:tcW w:w="671" w:type="pct"/>
                  <w:noWrap w:val="0"/>
                  <w:vAlign w:val="center"/>
                </w:tcPr>
                <w:p w14:paraId="4AF111DA">
                  <w:pPr>
                    <w:jc w:val="center"/>
                    <w:rPr>
                      <w:b/>
                      <w:bCs/>
                      <w:color w:val="auto"/>
                      <w:szCs w:val="21"/>
                    </w:rPr>
                  </w:pPr>
                  <w:r>
                    <w:rPr>
                      <w:rFonts w:hint="eastAsia"/>
                      <w:b/>
                      <w:bCs/>
                      <w:color w:val="auto"/>
                      <w:szCs w:val="21"/>
                    </w:rPr>
                    <w:t>废水排放量</w:t>
                  </w:r>
                </w:p>
              </w:tc>
              <w:tc>
                <w:tcPr>
                  <w:tcW w:w="993" w:type="pct"/>
                  <w:noWrap w:val="0"/>
                  <w:vAlign w:val="center"/>
                </w:tcPr>
                <w:p w14:paraId="35206E32">
                  <w:pPr>
                    <w:jc w:val="center"/>
                    <w:rPr>
                      <w:b/>
                      <w:bCs/>
                      <w:color w:val="auto"/>
                      <w:szCs w:val="21"/>
                    </w:rPr>
                  </w:pPr>
                  <w:r>
                    <w:rPr>
                      <w:rFonts w:hint="eastAsia"/>
                      <w:b/>
                      <w:bCs/>
                      <w:color w:val="auto"/>
                      <w:szCs w:val="21"/>
                    </w:rPr>
                    <w:t>排放情况</w:t>
                  </w:r>
                </w:p>
              </w:tc>
              <w:tc>
                <w:tcPr>
                  <w:tcW w:w="509" w:type="pct"/>
                  <w:noWrap w:val="0"/>
                  <w:vAlign w:val="center"/>
                </w:tcPr>
                <w:p w14:paraId="40749FA6">
                  <w:pPr>
                    <w:jc w:val="center"/>
                    <w:rPr>
                      <w:b/>
                      <w:bCs/>
                      <w:color w:val="auto"/>
                      <w:szCs w:val="21"/>
                    </w:rPr>
                  </w:pPr>
                  <w:r>
                    <w:rPr>
                      <w:b/>
                      <w:bCs/>
                      <w:color w:val="auto"/>
                      <w:szCs w:val="21"/>
                    </w:rPr>
                    <w:t>COD</w:t>
                  </w:r>
                </w:p>
              </w:tc>
              <w:tc>
                <w:tcPr>
                  <w:tcW w:w="499" w:type="pct"/>
                  <w:noWrap w:val="0"/>
                  <w:vAlign w:val="center"/>
                </w:tcPr>
                <w:p w14:paraId="6AE18ABB">
                  <w:pPr>
                    <w:jc w:val="center"/>
                    <w:rPr>
                      <w:b/>
                      <w:bCs/>
                      <w:color w:val="auto"/>
                      <w:szCs w:val="21"/>
                    </w:rPr>
                  </w:pPr>
                  <w:r>
                    <w:rPr>
                      <w:b/>
                      <w:bCs/>
                      <w:color w:val="auto"/>
                      <w:szCs w:val="21"/>
                    </w:rPr>
                    <w:t>BOD</w:t>
                  </w:r>
                  <w:r>
                    <w:rPr>
                      <w:b/>
                      <w:bCs/>
                      <w:color w:val="auto"/>
                      <w:szCs w:val="21"/>
                      <w:vertAlign w:val="subscript"/>
                    </w:rPr>
                    <w:t>5</w:t>
                  </w:r>
                </w:p>
              </w:tc>
              <w:tc>
                <w:tcPr>
                  <w:tcW w:w="441" w:type="pct"/>
                  <w:noWrap w:val="0"/>
                  <w:vAlign w:val="center"/>
                </w:tcPr>
                <w:p w14:paraId="09674BEC">
                  <w:pPr>
                    <w:jc w:val="center"/>
                    <w:rPr>
                      <w:b/>
                      <w:bCs/>
                      <w:color w:val="auto"/>
                      <w:szCs w:val="21"/>
                    </w:rPr>
                  </w:pPr>
                  <w:r>
                    <w:rPr>
                      <w:b/>
                      <w:bCs/>
                      <w:color w:val="auto"/>
                      <w:szCs w:val="21"/>
                    </w:rPr>
                    <w:t>SS</w:t>
                  </w:r>
                </w:p>
              </w:tc>
              <w:tc>
                <w:tcPr>
                  <w:tcW w:w="459" w:type="pct"/>
                  <w:noWrap w:val="0"/>
                  <w:vAlign w:val="center"/>
                </w:tcPr>
                <w:p w14:paraId="7100C4D9">
                  <w:pPr>
                    <w:jc w:val="center"/>
                    <w:rPr>
                      <w:b/>
                      <w:bCs/>
                      <w:color w:val="auto"/>
                      <w:szCs w:val="21"/>
                    </w:rPr>
                  </w:pPr>
                  <w:r>
                    <w:rPr>
                      <w:b/>
                      <w:bCs/>
                      <w:color w:val="auto"/>
                      <w:szCs w:val="21"/>
                    </w:rPr>
                    <w:t>氨氮</w:t>
                  </w:r>
                </w:p>
              </w:tc>
              <w:tc>
                <w:tcPr>
                  <w:tcW w:w="433" w:type="pct"/>
                  <w:noWrap w:val="0"/>
                  <w:vAlign w:val="center"/>
                </w:tcPr>
                <w:p w14:paraId="7092B227">
                  <w:pPr>
                    <w:jc w:val="center"/>
                    <w:rPr>
                      <w:b/>
                      <w:bCs/>
                      <w:color w:val="auto"/>
                      <w:szCs w:val="21"/>
                    </w:rPr>
                  </w:pPr>
                  <w:r>
                    <w:rPr>
                      <w:rFonts w:hint="eastAsia"/>
                      <w:b/>
                      <w:bCs/>
                      <w:color w:val="auto"/>
                      <w:szCs w:val="21"/>
                    </w:rPr>
                    <w:t>TN</w:t>
                  </w:r>
                </w:p>
              </w:tc>
              <w:tc>
                <w:tcPr>
                  <w:tcW w:w="471" w:type="pct"/>
                  <w:noWrap w:val="0"/>
                  <w:vAlign w:val="center"/>
                </w:tcPr>
                <w:p w14:paraId="3E1DBD42">
                  <w:pPr>
                    <w:jc w:val="center"/>
                    <w:rPr>
                      <w:b/>
                      <w:bCs/>
                      <w:color w:val="auto"/>
                      <w:szCs w:val="21"/>
                    </w:rPr>
                  </w:pPr>
                  <w:r>
                    <w:rPr>
                      <w:rFonts w:hint="eastAsia"/>
                      <w:b/>
                      <w:bCs/>
                      <w:color w:val="auto"/>
                      <w:szCs w:val="21"/>
                    </w:rPr>
                    <w:t>TP</w:t>
                  </w:r>
                </w:p>
              </w:tc>
            </w:tr>
            <w:tr w14:paraId="52AED76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520" w:type="pct"/>
                  <w:vMerge w:val="restart"/>
                  <w:noWrap w:val="0"/>
                  <w:vAlign w:val="center"/>
                </w:tcPr>
                <w:p w14:paraId="0F4BA397">
                  <w:pPr>
                    <w:jc w:val="center"/>
                    <w:rPr>
                      <w:color w:val="auto"/>
                      <w:szCs w:val="21"/>
                    </w:rPr>
                  </w:pPr>
                  <w:r>
                    <w:rPr>
                      <w:rFonts w:hint="eastAsia"/>
                      <w:color w:val="auto"/>
                      <w:szCs w:val="21"/>
                    </w:rPr>
                    <w:t>生活污水</w:t>
                  </w:r>
                </w:p>
              </w:tc>
              <w:tc>
                <w:tcPr>
                  <w:tcW w:w="671" w:type="pct"/>
                  <w:vMerge w:val="restart"/>
                  <w:noWrap w:val="0"/>
                  <w:vAlign w:val="center"/>
                </w:tcPr>
                <w:p w14:paraId="1E90736D">
                  <w:pPr>
                    <w:jc w:val="center"/>
                    <w:rPr>
                      <w:color w:val="auto"/>
                      <w:szCs w:val="21"/>
                    </w:rPr>
                  </w:pPr>
                  <w:r>
                    <w:rPr>
                      <w:rFonts w:hint="eastAsia"/>
                      <w:color w:val="auto"/>
                      <w:szCs w:val="21"/>
                    </w:rPr>
                    <w:t>1</w:t>
                  </w:r>
                  <w:r>
                    <w:rPr>
                      <w:rFonts w:hint="eastAsia"/>
                      <w:color w:val="auto"/>
                      <w:szCs w:val="21"/>
                      <w:lang w:val="en-US" w:eastAsia="zh-CN"/>
                    </w:rPr>
                    <w:t>2</w:t>
                  </w:r>
                  <w:r>
                    <w:rPr>
                      <w:rFonts w:hint="eastAsia"/>
                      <w:color w:val="auto"/>
                      <w:szCs w:val="21"/>
                    </w:rPr>
                    <w:t>0m</w:t>
                  </w:r>
                  <w:r>
                    <w:rPr>
                      <w:rFonts w:hint="eastAsia"/>
                      <w:color w:val="auto"/>
                      <w:szCs w:val="21"/>
                      <w:vertAlign w:val="superscript"/>
                    </w:rPr>
                    <w:t>3</w:t>
                  </w:r>
                  <w:r>
                    <w:rPr>
                      <w:rFonts w:hint="eastAsia"/>
                      <w:color w:val="auto"/>
                      <w:szCs w:val="21"/>
                    </w:rPr>
                    <w:t>/a</w:t>
                  </w:r>
                </w:p>
              </w:tc>
              <w:tc>
                <w:tcPr>
                  <w:tcW w:w="993" w:type="pct"/>
                  <w:noWrap w:val="0"/>
                  <w:vAlign w:val="center"/>
                </w:tcPr>
                <w:p w14:paraId="7D846BA7">
                  <w:pPr>
                    <w:jc w:val="center"/>
                    <w:rPr>
                      <w:color w:val="auto"/>
                      <w:szCs w:val="21"/>
                    </w:rPr>
                  </w:pPr>
                  <w:r>
                    <w:rPr>
                      <w:rFonts w:hint="eastAsia"/>
                      <w:color w:val="auto"/>
                      <w:szCs w:val="21"/>
                    </w:rPr>
                    <w:t>排放</w:t>
                  </w:r>
                  <w:r>
                    <w:rPr>
                      <w:color w:val="auto"/>
                      <w:szCs w:val="21"/>
                    </w:rPr>
                    <w:t>浓度（mg/L）</w:t>
                  </w:r>
                </w:p>
              </w:tc>
              <w:tc>
                <w:tcPr>
                  <w:tcW w:w="509" w:type="pct"/>
                  <w:noWrap w:val="0"/>
                  <w:vAlign w:val="center"/>
                </w:tcPr>
                <w:p w14:paraId="213CCACD">
                  <w:pPr>
                    <w:widowControl/>
                    <w:jc w:val="center"/>
                    <w:textAlignment w:val="center"/>
                    <w:rPr>
                      <w:color w:val="auto"/>
                      <w:kern w:val="0"/>
                      <w:szCs w:val="21"/>
                      <w:lang w:bidi="ar"/>
                    </w:rPr>
                  </w:pPr>
                  <w:r>
                    <w:rPr>
                      <w:color w:val="auto"/>
                      <w:kern w:val="0"/>
                      <w:szCs w:val="21"/>
                      <w:lang w:bidi="ar"/>
                    </w:rPr>
                    <w:t>2</w:t>
                  </w:r>
                  <w:r>
                    <w:rPr>
                      <w:rFonts w:hint="eastAsia"/>
                      <w:color w:val="auto"/>
                      <w:kern w:val="0"/>
                      <w:szCs w:val="21"/>
                      <w:lang w:bidi="ar"/>
                    </w:rPr>
                    <w:t>98</w:t>
                  </w:r>
                </w:p>
              </w:tc>
              <w:tc>
                <w:tcPr>
                  <w:tcW w:w="499" w:type="pct"/>
                  <w:noWrap w:val="0"/>
                  <w:vAlign w:val="center"/>
                </w:tcPr>
                <w:p w14:paraId="3E1C5CF5">
                  <w:pPr>
                    <w:widowControl/>
                    <w:jc w:val="center"/>
                    <w:textAlignment w:val="center"/>
                    <w:rPr>
                      <w:color w:val="auto"/>
                      <w:kern w:val="0"/>
                      <w:szCs w:val="21"/>
                      <w:lang w:bidi="ar"/>
                    </w:rPr>
                  </w:pPr>
                  <w:r>
                    <w:rPr>
                      <w:rFonts w:hint="eastAsia"/>
                      <w:color w:val="auto"/>
                      <w:kern w:val="0"/>
                      <w:szCs w:val="21"/>
                      <w:lang w:bidi="ar"/>
                    </w:rPr>
                    <w:t>200</w:t>
                  </w:r>
                </w:p>
              </w:tc>
              <w:tc>
                <w:tcPr>
                  <w:tcW w:w="441" w:type="pct"/>
                  <w:noWrap w:val="0"/>
                  <w:vAlign w:val="center"/>
                </w:tcPr>
                <w:p w14:paraId="1368CC3D">
                  <w:pPr>
                    <w:widowControl/>
                    <w:jc w:val="center"/>
                    <w:textAlignment w:val="center"/>
                    <w:rPr>
                      <w:color w:val="auto"/>
                      <w:kern w:val="0"/>
                      <w:szCs w:val="21"/>
                      <w:lang w:bidi="ar"/>
                    </w:rPr>
                  </w:pPr>
                  <w:r>
                    <w:rPr>
                      <w:rFonts w:hint="eastAsia"/>
                      <w:color w:val="auto"/>
                      <w:kern w:val="0"/>
                      <w:szCs w:val="21"/>
                      <w:lang w:bidi="ar"/>
                    </w:rPr>
                    <w:t>240</w:t>
                  </w:r>
                </w:p>
              </w:tc>
              <w:tc>
                <w:tcPr>
                  <w:tcW w:w="459" w:type="pct"/>
                  <w:noWrap w:val="0"/>
                  <w:vAlign w:val="center"/>
                </w:tcPr>
                <w:p w14:paraId="053BF134">
                  <w:pPr>
                    <w:widowControl/>
                    <w:jc w:val="center"/>
                    <w:textAlignment w:val="center"/>
                    <w:rPr>
                      <w:color w:val="auto"/>
                      <w:kern w:val="0"/>
                      <w:szCs w:val="21"/>
                      <w:lang w:bidi="ar"/>
                    </w:rPr>
                  </w:pPr>
                  <w:r>
                    <w:rPr>
                      <w:color w:val="auto"/>
                      <w:kern w:val="0"/>
                      <w:szCs w:val="21"/>
                      <w:lang w:bidi="ar"/>
                    </w:rPr>
                    <w:t>3</w:t>
                  </w:r>
                  <w:r>
                    <w:rPr>
                      <w:rFonts w:hint="eastAsia"/>
                      <w:color w:val="auto"/>
                      <w:kern w:val="0"/>
                      <w:szCs w:val="21"/>
                      <w:lang w:bidi="ar"/>
                    </w:rPr>
                    <w:t>5</w:t>
                  </w:r>
                </w:p>
              </w:tc>
              <w:tc>
                <w:tcPr>
                  <w:tcW w:w="433" w:type="pct"/>
                  <w:noWrap w:val="0"/>
                  <w:vAlign w:val="center"/>
                </w:tcPr>
                <w:p w14:paraId="1DB84E1E">
                  <w:pPr>
                    <w:widowControl/>
                    <w:jc w:val="center"/>
                    <w:textAlignment w:val="center"/>
                    <w:rPr>
                      <w:color w:val="auto"/>
                      <w:kern w:val="0"/>
                      <w:szCs w:val="21"/>
                      <w:lang w:bidi="ar"/>
                    </w:rPr>
                  </w:pPr>
                  <w:r>
                    <w:rPr>
                      <w:rFonts w:hint="eastAsia"/>
                      <w:color w:val="auto"/>
                      <w:kern w:val="0"/>
                      <w:szCs w:val="21"/>
                      <w:lang w:bidi="ar"/>
                    </w:rPr>
                    <w:t>45</w:t>
                  </w:r>
                </w:p>
              </w:tc>
              <w:tc>
                <w:tcPr>
                  <w:tcW w:w="471" w:type="pct"/>
                  <w:noWrap w:val="0"/>
                  <w:vAlign w:val="center"/>
                </w:tcPr>
                <w:p w14:paraId="15CC0D4B">
                  <w:pPr>
                    <w:widowControl/>
                    <w:jc w:val="center"/>
                    <w:textAlignment w:val="center"/>
                    <w:rPr>
                      <w:rFonts w:hint="eastAsia"/>
                      <w:color w:val="auto"/>
                      <w:kern w:val="0"/>
                      <w:szCs w:val="21"/>
                      <w:lang w:bidi="ar"/>
                    </w:rPr>
                  </w:pPr>
                  <w:r>
                    <w:rPr>
                      <w:rFonts w:hint="eastAsia"/>
                      <w:color w:val="auto"/>
                      <w:kern w:val="0"/>
                      <w:szCs w:val="21"/>
                      <w:lang w:bidi="ar"/>
                    </w:rPr>
                    <w:t>5</w:t>
                  </w:r>
                </w:p>
              </w:tc>
            </w:tr>
            <w:tr w14:paraId="1CF0184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520" w:type="pct"/>
                  <w:vMerge w:val="continue"/>
                  <w:noWrap w:val="0"/>
                  <w:vAlign w:val="center"/>
                </w:tcPr>
                <w:p w14:paraId="607B38AA">
                  <w:pPr>
                    <w:jc w:val="center"/>
                    <w:rPr>
                      <w:color w:val="auto"/>
                      <w:szCs w:val="21"/>
                    </w:rPr>
                  </w:pPr>
                </w:p>
              </w:tc>
              <w:tc>
                <w:tcPr>
                  <w:tcW w:w="671" w:type="pct"/>
                  <w:vMerge w:val="continue"/>
                  <w:noWrap w:val="0"/>
                  <w:vAlign w:val="center"/>
                </w:tcPr>
                <w:p w14:paraId="525BDACA">
                  <w:pPr>
                    <w:jc w:val="center"/>
                    <w:rPr>
                      <w:color w:val="auto"/>
                      <w:szCs w:val="21"/>
                    </w:rPr>
                  </w:pPr>
                </w:p>
              </w:tc>
              <w:tc>
                <w:tcPr>
                  <w:tcW w:w="993" w:type="pct"/>
                  <w:noWrap w:val="0"/>
                  <w:vAlign w:val="center"/>
                </w:tcPr>
                <w:p w14:paraId="6C1E882A">
                  <w:pPr>
                    <w:jc w:val="center"/>
                    <w:rPr>
                      <w:color w:val="auto"/>
                      <w:szCs w:val="21"/>
                    </w:rPr>
                  </w:pPr>
                  <w:r>
                    <w:rPr>
                      <w:rFonts w:hint="eastAsia"/>
                      <w:color w:val="auto"/>
                      <w:szCs w:val="21"/>
                    </w:rPr>
                    <w:t>排放</w:t>
                  </w:r>
                  <w:r>
                    <w:rPr>
                      <w:color w:val="auto"/>
                      <w:szCs w:val="21"/>
                    </w:rPr>
                    <w:t>量（t/a）</w:t>
                  </w:r>
                </w:p>
              </w:tc>
              <w:tc>
                <w:tcPr>
                  <w:tcW w:w="509" w:type="pct"/>
                  <w:shd w:val="clear"/>
                  <w:noWrap w:val="0"/>
                  <w:vAlign w:val="center"/>
                </w:tcPr>
                <w:p w14:paraId="7090FBA4">
                  <w:pPr>
                    <w:widowControl/>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eastAsia="宋体"/>
                      <w:color w:val="auto"/>
                      <w:kern w:val="0"/>
                      <w:sz w:val="21"/>
                      <w:szCs w:val="21"/>
                      <w:highlight w:val="none"/>
                      <w:lang w:eastAsia="zh-CN" w:bidi="ar"/>
                    </w:rPr>
                    <w:t>0.0</w:t>
                  </w:r>
                  <w:r>
                    <w:rPr>
                      <w:rFonts w:hint="eastAsia" w:eastAsia="宋体"/>
                      <w:color w:val="auto"/>
                      <w:kern w:val="0"/>
                      <w:sz w:val="21"/>
                      <w:szCs w:val="21"/>
                      <w:highlight w:val="none"/>
                      <w:lang w:val="en-US" w:eastAsia="zh-CN" w:bidi="ar"/>
                    </w:rPr>
                    <w:t>36</w:t>
                  </w:r>
                </w:p>
              </w:tc>
              <w:tc>
                <w:tcPr>
                  <w:tcW w:w="499" w:type="pct"/>
                  <w:shd w:val="clear"/>
                  <w:noWrap w:val="0"/>
                  <w:vAlign w:val="center"/>
                </w:tcPr>
                <w:p w14:paraId="653B744F">
                  <w:pPr>
                    <w:widowControl/>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eastAsia="宋体"/>
                      <w:color w:val="auto"/>
                      <w:kern w:val="0"/>
                      <w:sz w:val="21"/>
                      <w:szCs w:val="21"/>
                      <w:highlight w:val="none"/>
                      <w:lang w:eastAsia="zh-CN" w:bidi="ar"/>
                    </w:rPr>
                    <w:t>0.0</w:t>
                  </w:r>
                  <w:r>
                    <w:rPr>
                      <w:rFonts w:hint="eastAsia" w:eastAsia="宋体"/>
                      <w:color w:val="auto"/>
                      <w:kern w:val="0"/>
                      <w:sz w:val="21"/>
                      <w:szCs w:val="21"/>
                      <w:highlight w:val="none"/>
                      <w:lang w:val="en-US" w:eastAsia="zh-CN" w:bidi="ar"/>
                    </w:rPr>
                    <w:t>24</w:t>
                  </w:r>
                </w:p>
              </w:tc>
              <w:tc>
                <w:tcPr>
                  <w:tcW w:w="441" w:type="pct"/>
                  <w:shd w:val="clear"/>
                  <w:noWrap w:val="0"/>
                  <w:vAlign w:val="center"/>
                </w:tcPr>
                <w:p w14:paraId="6D6FBFF8">
                  <w:pPr>
                    <w:widowControl/>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eastAsia="zh-CN" w:bidi="ar"/>
                    </w:rPr>
                    <w:t>0.0</w:t>
                  </w:r>
                  <w:r>
                    <w:rPr>
                      <w:rFonts w:hint="eastAsia" w:ascii="Times New Roman" w:hAnsi="Times New Roman" w:eastAsia="宋体" w:cs="Times New Roman"/>
                      <w:color w:val="auto"/>
                      <w:kern w:val="0"/>
                      <w:sz w:val="21"/>
                      <w:szCs w:val="21"/>
                      <w:highlight w:val="none"/>
                      <w:lang w:val="en-US" w:eastAsia="zh-CN" w:bidi="ar"/>
                    </w:rPr>
                    <w:t>29</w:t>
                  </w:r>
                </w:p>
              </w:tc>
              <w:tc>
                <w:tcPr>
                  <w:tcW w:w="459" w:type="pct"/>
                  <w:shd w:val="clear" w:color="auto" w:fill="auto"/>
                  <w:noWrap w:val="0"/>
                  <w:vAlign w:val="center"/>
                </w:tcPr>
                <w:p w14:paraId="5919044B">
                  <w:pPr>
                    <w:widowControl/>
                    <w:jc w:val="center"/>
                    <w:textAlignment w:val="center"/>
                    <w:rPr>
                      <w:rFonts w:hint="default" w:ascii="Times New Roman" w:hAnsi="Times New Roman" w:eastAsia="宋体" w:cs="Times New Roman"/>
                      <w:color w:val="auto"/>
                      <w:kern w:val="2"/>
                      <w:sz w:val="21"/>
                      <w:szCs w:val="21"/>
                      <w:highlight w:val="none"/>
                      <w:lang w:val="en-US" w:eastAsia="zh-CN" w:bidi="ar-SA"/>
                    </w:rPr>
                  </w:pPr>
                  <w:r>
                    <w:rPr>
                      <w:color w:val="auto"/>
                      <w:kern w:val="0"/>
                      <w:sz w:val="21"/>
                      <w:szCs w:val="21"/>
                      <w:highlight w:val="none"/>
                      <w:lang w:bidi="ar"/>
                    </w:rPr>
                    <w:t>0.</w:t>
                  </w:r>
                  <w:r>
                    <w:rPr>
                      <w:rFonts w:hint="eastAsia"/>
                      <w:color w:val="auto"/>
                      <w:kern w:val="0"/>
                      <w:sz w:val="21"/>
                      <w:szCs w:val="21"/>
                      <w:highlight w:val="none"/>
                      <w:lang w:val="en-US" w:eastAsia="zh-CN" w:bidi="ar"/>
                    </w:rPr>
                    <w:t>0043</w:t>
                  </w:r>
                </w:p>
              </w:tc>
              <w:tc>
                <w:tcPr>
                  <w:tcW w:w="433" w:type="pct"/>
                  <w:shd w:val="clear" w:color="auto" w:fill="auto"/>
                  <w:noWrap w:val="0"/>
                  <w:vAlign w:val="center"/>
                </w:tcPr>
                <w:p w14:paraId="2286818E">
                  <w:pPr>
                    <w:widowControl/>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olor w:val="auto"/>
                      <w:kern w:val="0"/>
                      <w:sz w:val="21"/>
                      <w:szCs w:val="21"/>
                      <w:highlight w:val="none"/>
                      <w:lang w:val="en-US" w:eastAsia="zh-CN" w:bidi="ar"/>
                    </w:rPr>
                    <w:t>0.006</w:t>
                  </w:r>
                </w:p>
              </w:tc>
              <w:tc>
                <w:tcPr>
                  <w:tcW w:w="471" w:type="pct"/>
                  <w:shd w:val="clear" w:color="auto" w:fill="auto"/>
                  <w:noWrap w:val="0"/>
                  <w:vAlign w:val="center"/>
                </w:tcPr>
                <w:p w14:paraId="7243C7DE">
                  <w:pPr>
                    <w:widowControl/>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olor w:val="auto"/>
                      <w:kern w:val="0"/>
                      <w:sz w:val="21"/>
                      <w:szCs w:val="21"/>
                      <w:highlight w:val="none"/>
                      <w:lang w:val="en-US" w:eastAsia="zh-CN" w:bidi="ar"/>
                    </w:rPr>
                    <w:t>0.0006</w:t>
                  </w:r>
                </w:p>
              </w:tc>
            </w:tr>
            <w:tr w14:paraId="021C1F8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520" w:type="pct"/>
                  <w:vMerge w:val="restart"/>
                  <w:noWrap w:val="0"/>
                  <w:vAlign w:val="center"/>
                </w:tcPr>
                <w:p w14:paraId="4C95F4FB">
                  <w:pPr>
                    <w:jc w:val="center"/>
                    <w:rPr>
                      <w:color w:val="auto"/>
                      <w:szCs w:val="21"/>
                    </w:rPr>
                  </w:pPr>
                  <w:r>
                    <w:rPr>
                      <w:rFonts w:hint="eastAsia"/>
                      <w:color w:val="auto"/>
                      <w:szCs w:val="21"/>
                    </w:rPr>
                    <w:t>软化浓水和反冲洗废水</w:t>
                  </w:r>
                </w:p>
              </w:tc>
              <w:tc>
                <w:tcPr>
                  <w:tcW w:w="671" w:type="pct"/>
                  <w:vMerge w:val="restart"/>
                  <w:noWrap w:val="0"/>
                  <w:vAlign w:val="center"/>
                </w:tcPr>
                <w:p w14:paraId="1E5A1C49">
                  <w:pPr>
                    <w:jc w:val="center"/>
                    <w:rPr>
                      <w:color w:val="auto"/>
                      <w:szCs w:val="21"/>
                    </w:rPr>
                  </w:pPr>
                  <w:r>
                    <w:rPr>
                      <w:rFonts w:hint="eastAsia"/>
                      <w:color w:val="auto"/>
                      <w:szCs w:val="21"/>
                      <w:lang w:val="en-US" w:eastAsia="zh-CN"/>
                    </w:rPr>
                    <w:t>229.1</w:t>
                  </w:r>
                  <w:r>
                    <w:rPr>
                      <w:rFonts w:hint="eastAsia"/>
                      <w:color w:val="auto"/>
                      <w:szCs w:val="21"/>
                    </w:rPr>
                    <w:t>m</w:t>
                  </w:r>
                  <w:r>
                    <w:rPr>
                      <w:rFonts w:hint="eastAsia"/>
                      <w:color w:val="auto"/>
                      <w:szCs w:val="21"/>
                      <w:vertAlign w:val="superscript"/>
                    </w:rPr>
                    <w:t>3</w:t>
                  </w:r>
                  <w:r>
                    <w:rPr>
                      <w:rFonts w:hint="eastAsia"/>
                      <w:color w:val="auto"/>
                      <w:szCs w:val="21"/>
                    </w:rPr>
                    <w:t>/a</w:t>
                  </w:r>
                </w:p>
              </w:tc>
              <w:tc>
                <w:tcPr>
                  <w:tcW w:w="993" w:type="pct"/>
                  <w:noWrap w:val="0"/>
                  <w:vAlign w:val="center"/>
                </w:tcPr>
                <w:p w14:paraId="49028233">
                  <w:pPr>
                    <w:jc w:val="center"/>
                    <w:rPr>
                      <w:rFonts w:hint="eastAsia"/>
                      <w:color w:val="auto"/>
                      <w:szCs w:val="21"/>
                    </w:rPr>
                  </w:pPr>
                  <w:r>
                    <w:rPr>
                      <w:rFonts w:hint="eastAsia"/>
                      <w:color w:val="auto"/>
                      <w:szCs w:val="21"/>
                    </w:rPr>
                    <w:t>排放</w:t>
                  </w:r>
                  <w:r>
                    <w:rPr>
                      <w:color w:val="auto"/>
                      <w:szCs w:val="21"/>
                    </w:rPr>
                    <w:t>浓度（mg/L）</w:t>
                  </w:r>
                </w:p>
              </w:tc>
              <w:tc>
                <w:tcPr>
                  <w:tcW w:w="509" w:type="pct"/>
                  <w:noWrap w:val="0"/>
                  <w:vAlign w:val="center"/>
                </w:tcPr>
                <w:p w14:paraId="48D7C4FE">
                  <w:pPr>
                    <w:widowControl/>
                    <w:jc w:val="center"/>
                    <w:textAlignment w:val="center"/>
                    <w:rPr>
                      <w:color w:val="auto"/>
                      <w:kern w:val="0"/>
                      <w:szCs w:val="21"/>
                      <w:lang w:bidi="ar"/>
                    </w:rPr>
                  </w:pPr>
                  <w:r>
                    <w:rPr>
                      <w:rFonts w:hint="eastAsia"/>
                      <w:color w:val="auto"/>
                      <w:kern w:val="0"/>
                      <w:szCs w:val="21"/>
                      <w:lang w:bidi="ar"/>
                    </w:rPr>
                    <w:t>0</w:t>
                  </w:r>
                </w:p>
              </w:tc>
              <w:tc>
                <w:tcPr>
                  <w:tcW w:w="499" w:type="pct"/>
                  <w:noWrap w:val="0"/>
                  <w:vAlign w:val="center"/>
                </w:tcPr>
                <w:p w14:paraId="22417D69">
                  <w:pPr>
                    <w:widowControl/>
                    <w:jc w:val="center"/>
                    <w:textAlignment w:val="center"/>
                    <w:rPr>
                      <w:color w:val="auto"/>
                      <w:kern w:val="0"/>
                      <w:szCs w:val="21"/>
                      <w:lang w:bidi="ar"/>
                    </w:rPr>
                  </w:pPr>
                  <w:r>
                    <w:rPr>
                      <w:rFonts w:hint="eastAsia"/>
                      <w:color w:val="auto"/>
                      <w:kern w:val="0"/>
                      <w:szCs w:val="21"/>
                      <w:lang w:bidi="ar"/>
                    </w:rPr>
                    <w:t>0</w:t>
                  </w:r>
                </w:p>
              </w:tc>
              <w:tc>
                <w:tcPr>
                  <w:tcW w:w="441" w:type="pct"/>
                  <w:noWrap w:val="0"/>
                  <w:vAlign w:val="center"/>
                </w:tcPr>
                <w:p w14:paraId="1CD708C0">
                  <w:pPr>
                    <w:widowControl/>
                    <w:jc w:val="center"/>
                    <w:textAlignment w:val="center"/>
                    <w:rPr>
                      <w:color w:val="auto"/>
                      <w:kern w:val="0"/>
                      <w:szCs w:val="21"/>
                      <w:lang w:bidi="ar"/>
                    </w:rPr>
                  </w:pPr>
                  <w:r>
                    <w:rPr>
                      <w:rFonts w:hint="eastAsia"/>
                      <w:color w:val="auto"/>
                      <w:kern w:val="0"/>
                      <w:szCs w:val="21"/>
                      <w:lang w:bidi="ar"/>
                    </w:rPr>
                    <w:t>100</w:t>
                  </w:r>
                </w:p>
              </w:tc>
              <w:tc>
                <w:tcPr>
                  <w:tcW w:w="459" w:type="pct"/>
                  <w:noWrap w:val="0"/>
                  <w:vAlign w:val="center"/>
                </w:tcPr>
                <w:p w14:paraId="6AADB703">
                  <w:pPr>
                    <w:widowControl/>
                    <w:jc w:val="center"/>
                    <w:textAlignment w:val="center"/>
                    <w:rPr>
                      <w:color w:val="auto"/>
                      <w:kern w:val="0"/>
                      <w:szCs w:val="21"/>
                      <w:lang w:bidi="ar"/>
                    </w:rPr>
                  </w:pPr>
                  <w:r>
                    <w:rPr>
                      <w:rFonts w:hint="eastAsia"/>
                      <w:color w:val="auto"/>
                      <w:kern w:val="0"/>
                      <w:szCs w:val="21"/>
                      <w:lang w:bidi="ar"/>
                    </w:rPr>
                    <w:t>0</w:t>
                  </w:r>
                </w:p>
              </w:tc>
              <w:tc>
                <w:tcPr>
                  <w:tcW w:w="433" w:type="pct"/>
                  <w:noWrap w:val="0"/>
                  <w:vAlign w:val="center"/>
                </w:tcPr>
                <w:p w14:paraId="4A578F5D">
                  <w:pPr>
                    <w:widowControl/>
                    <w:jc w:val="center"/>
                    <w:textAlignment w:val="center"/>
                    <w:rPr>
                      <w:color w:val="auto"/>
                      <w:kern w:val="0"/>
                      <w:szCs w:val="21"/>
                      <w:lang w:bidi="ar"/>
                    </w:rPr>
                  </w:pPr>
                  <w:r>
                    <w:rPr>
                      <w:rFonts w:hint="eastAsia"/>
                      <w:color w:val="auto"/>
                      <w:kern w:val="0"/>
                      <w:szCs w:val="21"/>
                      <w:lang w:bidi="ar"/>
                    </w:rPr>
                    <w:t>0</w:t>
                  </w:r>
                </w:p>
              </w:tc>
              <w:tc>
                <w:tcPr>
                  <w:tcW w:w="471" w:type="pct"/>
                  <w:noWrap w:val="0"/>
                  <w:vAlign w:val="center"/>
                </w:tcPr>
                <w:p w14:paraId="1FF60591">
                  <w:pPr>
                    <w:widowControl/>
                    <w:jc w:val="center"/>
                    <w:textAlignment w:val="center"/>
                    <w:rPr>
                      <w:color w:val="auto"/>
                      <w:kern w:val="0"/>
                      <w:szCs w:val="21"/>
                      <w:lang w:bidi="ar"/>
                    </w:rPr>
                  </w:pPr>
                  <w:r>
                    <w:rPr>
                      <w:rFonts w:hint="eastAsia"/>
                      <w:color w:val="auto"/>
                      <w:kern w:val="0"/>
                      <w:szCs w:val="21"/>
                      <w:lang w:bidi="ar"/>
                    </w:rPr>
                    <w:t>0</w:t>
                  </w:r>
                </w:p>
              </w:tc>
            </w:tr>
            <w:tr w14:paraId="366E1EE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520" w:type="pct"/>
                  <w:vMerge w:val="continue"/>
                  <w:noWrap w:val="0"/>
                  <w:vAlign w:val="center"/>
                </w:tcPr>
                <w:p w14:paraId="26B29440">
                  <w:pPr>
                    <w:jc w:val="center"/>
                    <w:rPr>
                      <w:rFonts w:hint="eastAsia"/>
                      <w:color w:val="auto"/>
                      <w:szCs w:val="21"/>
                    </w:rPr>
                  </w:pPr>
                </w:p>
              </w:tc>
              <w:tc>
                <w:tcPr>
                  <w:tcW w:w="671" w:type="pct"/>
                  <w:vMerge w:val="continue"/>
                  <w:noWrap w:val="0"/>
                  <w:vAlign w:val="center"/>
                </w:tcPr>
                <w:p w14:paraId="7C0D6CEF">
                  <w:pPr>
                    <w:jc w:val="center"/>
                    <w:rPr>
                      <w:rFonts w:hint="eastAsia"/>
                      <w:color w:val="auto"/>
                      <w:szCs w:val="21"/>
                    </w:rPr>
                  </w:pPr>
                </w:p>
              </w:tc>
              <w:tc>
                <w:tcPr>
                  <w:tcW w:w="993" w:type="pct"/>
                  <w:noWrap w:val="0"/>
                  <w:vAlign w:val="center"/>
                </w:tcPr>
                <w:p w14:paraId="21C80EE5">
                  <w:pPr>
                    <w:jc w:val="center"/>
                    <w:rPr>
                      <w:rFonts w:hint="eastAsia"/>
                      <w:color w:val="auto"/>
                      <w:szCs w:val="21"/>
                    </w:rPr>
                  </w:pPr>
                  <w:r>
                    <w:rPr>
                      <w:rFonts w:hint="eastAsia"/>
                      <w:color w:val="auto"/>
                      <w:szCs w:val="21"/>
                    </w:rPr>
                    <w:t>排放</w:t>
                  </w:r>
                  <w:r>
                    <w:rPr>
                      <w:color w:val="auto"/>
                      <w:szCs w:val="21"/>
                    </w:rPr>
                    <w:t>量（t/a）</w:t>
                  </w:r>
                </w:p>
              </w:tc>
              <w:tc>
                <w:tcPr>
                  <w:tcW w:w="509" w:type="pct"/>
                  <w:noWrap w:val="0"/>
                  <w:vAlign w:val="center"/>
                </w:tcPr>
                <w:p w14:paraId="198ADD8A">
                  <w:pPr>
                    <w:widowControl/>
                    <w:jc w:val="center"/>
                    <w:textAlignment w:val="center"/>
                    <w:rPr>
                      <w:rFonts w:hint="eastAsia"/>
                      <w:color w:val="auto"/>
                      <w:kern w:val="0"/>
                      <w:szCs w:val="21"/>
                      <w:lang w:bidi="ar"/>
                    </w:rPr>
                  </w:pPr>
                  <w:r>
                    <w:rPr>
                      <w:rFonts w:hint="eastAsia"/>
                      <w:color w:val="auto"/>
                      <w:kern w:val="0"/>
                      <w:szCs w:val="21"/>
                      <w:lang w:bidi="ar"/>
                    </w:rPr>
                    <w:t>0</w:t>
                  </w:r>
                </w:p>
              </w:tc>
              <w:tc>
                <w:tcPr>
                  <w:tcW w:w="499" w:type="pct"/>
                  <w:noWrap w:val="0"/>
                  <w:vAlign w:val="center"/>
                </w:tcPr>
                <w:p w14:paraId="72CCA52E">
                  <w:pPr>
                    <w:widowControl/>
                    <w:jc w:val="center"/>
                    <w:textAlignment w:val="center"/>
                    <w:rPr>
                      <w:rFonts w:hint="eastAsia"/>
                      <w:color w:val="auto"/>
                      <w:kern w:val="0"/>
                      <w:szCs w:val="21"/>
                      <w:lang w:bidi="ar"/>
                    </w:rPr>
                  </w:pPr>
                  <w:r>
                    <w:rPr>
                      <w:rFonts w:hint="eastAsia"/>
                      <w:color w:val="auto"/>
                      <w:kern w:val="0"/>
                      <w:szCs w:val="21"/>
                      <w:lang w:bidi="ar"/>
                    </w:rPr>
                    <w:t>0</w:t>
                  </w:r>
                </w:p>
              </w:tc>
              <w:tc>
                <w:tcPr>
                  <w:tcW w:w="441" w:type="pct"/>
                  <w:noWrap w:val="0"/>
                  <w:vAlign w:val="center"/>
                </w:tcPr>
                <w:p w14:paraId="073EB0EF">
                  <w:pPr>
                    <w:widowControl/>
                    <w:jc w:val="center"/>
                    <w:textAlignment w:val="center"/>
                    <w:rPr>
                      <w:rFonts w:hint="default" w:eastAsia="宋体"/>
                      <w:color w:val="auto"/>
                      <w:kern w:val="0"/>
                      <w:szCs w:val="21"/>
                      <w:lang w:val="en-US" w:eastAsia="zh-CN" w:bidi="ar"/>
                    </w:rPr>
                  </w:pPr>
                  <w:r>
                    <w:rPr>
                      <w:rFonts w:hint="eastAsia"/>
                      <w:color w:val="auto"/>
                      <w:kern w:val="0"/>
                      <w:szCs w:val="21"/>
                      <w:lang w:bidi="ar"/>
                    </w:rPr>
                    <w:t>0.0</w:t>
                  </w:r>
                  <w:r>
                    <w:rPr>
                      <w:rFonts w:hint="eastAsia"/>
                      <w:color w:val="auto"/>
                      <w:kern w:val="0"/>
                      <w:szCs w:val="21"/>
                      <w:lang w:val="en-US" w:eastAsia="zh-CN" w:bidi="ar"/>
                    </w:rPr>
                    <w:t>23</w:t>
                  </w:r>
                </w:p>
              </w:tc>
              <w:tc>
                <w:tcPr>
                  <w:tcW w:w="459" w:type="pct"/>
                  <w:noWrap w:val="0"/>
                  <w:vAlign w:val="center"/>
                </w:tcPr>
                <w:p w14:paraId="64576F6B">
                  <w:pPr>
                    <w:widowControl/>
                    <w:jc w:val="center"/>
                    <w:textAlignment w:val="center"/>
                    <w:rPr>
                      <w:rFonts w:hint="eastAsia"/>
                      <w:color w:val="auto"/>
                      <w:kern w:val="0"/>
                      <w:szCs w:val="21"/>
                      <w:lang w:bidi="ar"/>
                    </w:rPr>
                  </w:pPr>
                  <w:r>
                    <w:rPr>
                      <w:rFonts w:hint="eastAsia"/>
                      <w:color w:val="auto"/>
                      <w:kern w:val="0"/>
                      <w:szCs w:val="21"/>
                      <w:lang w:bidi="ar"/>
                    </w:rPr>
                    <w:t>0</w:t>
                  </w:r>
                </w:p>
              </w:tc>
              <w:tc>
                <w:tcPr>
                  <w:tcW w:w="433" w:type="pct"/>
                  <w:noWrap w:val="0"/>
                  <w:vAlign w:val="center"/>
                </w:tcPr>
                <w:p w14:paraId="2123DBE7">
                  <w:pPr>
                    <w:widowControl/>
                    <w:jc w:val="center"/>
                    <w:textAlignment w:val="center"/>
                    <w:rPr>
                      <w:rFonts w:hint="eastAsia"/>
                      <w:color w:val="auto"/>
                      <w:kern w:val="0"/>
                      <w:szCs w:val="21"/>
                      <w:lang w:bidi="ar"/>
                    </w:rPr>
                  </w:pPr>
                  <w:r>
                    <w:rPr>
                      <w:rFonts w:hint="eastAsia"/>
                      <w:color w:val="auto"/>
                      <w:kern w:val="0"/>
                      <w:szCs w:val="21"/>
                      <w:lang w:bidi="ar"/>
                    </w:rPr>
                    <w:t>0</w:t>
                  </w:r>
                </w:p>
              </w:tc>
              <w:tc>
                <w:tcPr>
                  <w:tcW w:w="471" w:type="pct"/>
                  <w:noWrap w:val="0"/>
                  <w:vAlign w:val="center"/>
                </w:tcPr>
                <w:p w14:paraId="0B48986E">
                  <w:pPr>
                    <w:widowControl/>
                    <w:jc w:val="center"/>
                    <w:textAlignment w:val="center"/>
                    <w:rPr>
                      <w:rFonts w:hint="eastAsia"/>
                      <w:color w:val="auto"/>
                      <w:kern w:val="0"/>
                      <w:szCs w:val="21"/>
                      <w:lang w:bidi="ar"/>
                    </w:rPr>
                  </w:pPr>
                  <w:r>
                    <w:rPr>
                      <w:rFonts w:hint="eastAsia"/>
                      <w:color w:val="auto"/>
                      <w:kern w:val="0"/>
                      <w:szCs w:val="21"/>
                      <w:lang w:bidi="ar"/>
                    </w:rPr>
                    <w:t>0</w:t>
                  </w:r>
                </w:p>
              </w:tc>
            </w:tr>
            <w:tr w14:paraId="1A26D8B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2185" w:type="pct"/>
                  <w:gridSpan w:val="3"/>
                  <w:noWrap w:val="0"/>
                  <w:vAlign w:val="center"/>
                </w:tcPr>
                <w:p w14:paraId="79406912">
                  <w:pPr>
                    <w:jc w:val="center"/>
                    <w:rPr>
                      <w:color w:val="auto"/>
                      <w:szCs w:val="21"/>
                    </w:rPr>
                  </w:pPr>
                  <w:r>
                    <w:rPr>
                      <w:rFonts w:hint="eastAsia"/>
                      <w:color w:val="auto"/>
                      <w:szCs w:val="21"/>
                    </w:rPr>
                    <w:t>总排放浓度</w:t>
                  </w:r>
                  <w:r>
                    <w:rPr>
                      <w:color w:val="auto"/>
                      <w:szCs w:val="21"/>
                    </w:rPr>
                    <w:t>（mg/L）</w:t>
                  </w:r>
                </w:p>
              </w:tc>
              <w:tc>
                <w:tcPr>
                  <w:tcW w:w="509" w:type="pct"/>
                  <w:noWrap w:val="0"/>
                  <w:vAlign w:val="center"/>
                </w:tcPr>
                <w:p w14:paraId="1BAED6BB">
                  <w:pPr>
                    <w:widowControl/>
                    <w:jc w:val="center"/>
                    <w:textAlignment w:val="center"/>
                    <w:rPr>
                      <w:rFonts w:hint="eastAsia"/>
                      <w:color w:val="auto"/>
                      <w:kern w:val="0"/>
                      <w:szCs w:val="21"/>
                      <w:lang w:bidi="ar"/>
                    </w:rPr>
                  </w:pPr>
                  <w:r>
                    <w:rPr>
                      <w:color w:val="auto"/>
                      <w:kern w:val="0"/>
                      <w:szCs w:val="21"/>
                      <w:lang w:bidi="ar"/>
                    </w:rPr>
                    <w:t>2</w:t>
                  </w:r>
                  <w:r>
                    <w:rPr>
                      <w:rFonts w:hint="eastAsia"/>
                      <w:color w:val="auto"/>
                      <w:kern w:val="0"/>
                      <w:szCs w:val="21"/>
                      <w:lang w:bidi="ar"/>
                    </w:rPr>
                    <w:t>98</w:t>
                  </w:r>
                </w:p>
              </w:tc>
              <w:tc>
                <w:tcPr>
                  <w:tcW w:w="499" w:type="pct"/>
                  <w:noWrap w:val="0"/>
                  <w:vAlign w:val="center"/>
                </w:tcPr>
                <w:p w14:paraId="0D35A5B6">
                  <w:pPr>
                    <w:widowControl/>
                    <w:jc w:val="center"/>
                    <w:textAlignment w:val="center"/>
                    <w:rPr>
                      <w:rFonts w:hint="eastAsia"/>
                      <w:color w:val="auto"/>
                      <w:kern w:val="0"/>
                      <w:szCs w:val="21"/>
                      <w:lang w:bidi="ar"/>
                    </w:rPr>
                  </w:pPr>
                  <w:r>
                    <w:rPr>
                      <w:rFonts w:hint="eastAsia"/>
                      <w:color w:val="auto"/>
                      <w:kern w:val="0"/>
                      <w:szCs w:val="21"/>
                      <w:lang w:bidi="ar"/>
                    </w:rPr>
                    <w:t>200</w:t>
                  </w:r>
                </w:p>
              </w:tc>
              <w:tc>
                <w:tcPr>
                  <w:tcW w:w="441" w:type="pct"/>
                  <w:noWrap w:val="0"/>
                  <w:vAlign w:val="center"/>
                </w:tcPr>
                <w:p w14:paraId="2D9EDD4B">
                  <w:pPr>
                    <w:widowControl/>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148</w:t>
                  </w:r>
                </w:p>
              </w:tc>
              <w:tc>
                <w:tcPr>
                  <w:tcW w:w="459" w:type="pct"/>
                  <w:noWrap w:val="0"/>
                  <w:vAlign w:val="center"/>
                </w:tcPr>
                <w:p w14:paraId="4648A242">
                  <w:pPr>
                    <w:widowControl/>
                    <w:jc w:val="center"/>
                    <w:textAlignment w:val="center"/>
                    <w:rPr>
                      <w:rFonts w:hint="eastAsia"/>
                      <w:color w:val="auto"/>
                      <w:kern w:val="0"/>
                      <w:szCs w:val="21"/>
                      <w:lang w:bidi="ar"/>
                    </w:rPr>
                  </w:pPr>
                  <w:r>
                    <w:rPr>
                      <w:color w:val="auto"/>
                      <w:kern w:val="0"/>
                      <w:szCs w:val="21"/>
                      <w:lang w:bidi="ar"/>
                    </w:rPr>
                    <w:t>3</w:t>
                  </w:r>
                  <w:r>
                    <w:rPr>
                      <w:rFonts w:hint="eastAsia"/>
                      <w:color w:val="auto"/>
                      <w:kern w:val="0"/>
                      <w:szCs w:val="21"/>
                      <w:lang w:bidi="ar"/>
                    </w:rPr>
                    <w:t>5</w:t>
                  </w:r>
                </w:p>
              </w:tc>
              <w:tc>
                <w:tcPr>
                  <w:tcW w:w="433" w:type="pct"/>
                  <w:noWrap w:val="0"/>
                  <w:vAlign w:val="center"/>
                </w:tcPr>
                <w:p w14:paraId="77795414">
                  <w:pPr>
                    <w:widowControl/>
                    <w:jc w:val="center"/>
                    <w:textAlignment w:val="center"/>
                    <w:rPr>
                      <w:rFonts w:hint="eastAsia"/>
                      <w:color w:val="auto"/>
                      <w:kern w:val="0"/>
                      <w:szCs w:val="21"/>
                      <w:lang w:bidi="ar"/>
                    </w:rPr>
                  </w:pPr>
                  <w:r>
                    <w:rPr>
                      <w:rFonts w:hint="eastAsia"/>
                      <w:color w:val="auto"/>
                      <w:kern w:val="0"/>
                      <w:szCs w:val="21"/>
                      <w:lang w:bidi="ar"/>
                    </w:rPr>
                    <w:t>45</w:t>
                  </w:r>
                </w:p>
              </w:tc>
              <w:tc>
                <w:tcPr>
                  <w:tcW w:w="471" w:type="pct"/>
                  <w:noWrap w:val="0"/>
                  <w:vAlign w:val="center"/>
                </w:tcPr>
                <w:p w14:paraId="15CE724D">
                  <w:pPr>
                    <w:widowControl/>
                    <w:jc w:val="center"/>
                    <w:textAlignment w:val="center"/>
                    <w:rPr>
                      <w:rFonts w:hint="eastAsia"/>
                      <w:color w:val="auto"/>
                      <w:kern w:val="0"/>
                      <w:szCs w:val="21"/>
                      <w:lang w:bidi="ar"/>
                    </w:rPr>
                  </w:pPr>
                  <w:r>
                    <w:rPr>
                      <w:rFonts w:hint="eastAsia"/>
                      <w:color w:val="auto"/>
                      <w:kern w:val="0"/>
                      <w:szCs w:val="21"/>
                      <w:lang w:bidi="ar"/>
                    </w:rPr>
                    <w:t>5</w:t>
                  </w:r>
                </w:p>
              </w:tc>
            </w:tr>
            <w:tr w14:paraId="49A1FB5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2185" w:type="pct"/>
                  <w:gridSpan w:val="3"/>
                  <w:noWrap w:val="0"/>
                  <w:vAlign w:val="center"/>
                </w:tcPr>
                <w:p w14:paraId="62869CE3">
                  <w:pPr>
                    <w:jc w:val="center"/>
                    <w:rPr>
                      <w:rFonts w:hint="eastAsia"/>
                      <w:color w:val="auto"/>
                      <w:szCs w:val="21"/>
                    </w:rPr>
                  </w:pPr>
                  <w:r>
                    <w:rPr>
                      <w:rFonts w:hint="eastAsia"/>
                      <w:color w:val="auto"/>
                      <w:szCs w:val="21"/>
                    </w:rPr>
                    <w:t>总排放量</w:t>
                  </w:r>
                  <w:r>
                    <w:rPr>
                      <w:color w:val="auto"/>
                      <w:szCs w:val="21"/>
                    </w:rPr>
                    <w:t>（t/a）</w:t>
                  </w:r>
                </w:p>
              </w:tc>
              <w:tc>
                <w:tcPr>
                  <w:tcW w:w="509" w:type="pct"/>
                  <w:shd w:val="clear" w:color="auto" w:fill="auto"/>
                  <w:noWrap w:val="0"/>
                  <w:vAlign w:val="center"/>
                </w:tcPr>
                <w:p w14:paraId="0E8A7101">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eastAsia="宋体"/>
                      <w:color w:val="auto"/>
                      <w:kern w:val="0"/>
                      <w:sz w:val="21"/>
                      <w:szCs w:val="21"/>
                      <w:highlight w:val="none"/>
                      <w:lang w:eastAsia="zh-CN" w:bidi="ar"/>
                    </w:rPr>
                    <w:t>0.0</w:t>
                  </w:r>
                  <w:r>
                    <w:rPr>
                      <w:rFonts w:hint="eastAsia" w:eastAsia="宋体"/>
                      <w:color w:val="auto"/>
                      <w:kern w:val="0"/>
                      <w:sz w:val="21"/>
                      <w:szCs w:val="21"/>
                      <w:highlight w:val="none"/>
                      <w:lang w:val="en-US" w:eastAsia="zh-CN" w:bidi="ar"/>
                    </w:rPr>
                    <w:t>36</w:t>
                  </w:r>
                </w:p>
              </w:tc>
              <w:tc>
                <w:tcPr>
                  <w:tcW w:w="499" w:type="pct"/>
                  <w:shd w:val="clear" w:color="auto" w:fill="auto"/>
                  <w:noWrap w:val="0"/>
                  <w:vAlign w:val="center"/>
                </w:tcPr>
                <w:p w14:paraId="75E08EEB">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eastAsia="宋体"/>
                      <w:color w:val="auto"/>
                      <w:kern w:val="0"/>
                      <w:sz w:val="21"/>
                      <w:szCs w:val="21"/>
                      <w:highlight w:val="none"/>
                      <w:lang w:eastAsia="zh-CN" w:bidi="ar"/>
                    </w:rPr>
                    <w:t>0.0</w:t>
                  </w:r>
                  <w:r>
                    <w:rPr>
                      <w:rFonts w:hint="eastAsia" w:eastAsia="宋体"/>
                      <w:color w:val="auto"/>
                      <w:kern w:val="0"/>
                      <w:sz w:val="21"/>
                      <w:szCs w:val="21"/>
                      <w:highlight w:val="none"/>
                      <w:lang w:val="en-US" w:eastAsia="zh-CN" w:bidi="ar"/>
                    </w:rPr>
                    <w:t>24</w:t>
                  </w:r>
                </w:p>
              </w:tc>
              <w:tc>
                <w:tcPr>
                  <w:tcW w:w="441" w:type="pct"/>
                  <w:noWrap w:val="0"/>
                  <w:vAlign w:val="center"/>
                </w:tcPr>
                <w:p w14:paraId="3837C919">
                  <w:pPr>
                    <w:widowControl/>
                    <w:jc w:val="center"/>
                    <w:textAlignment w:val="center"/>
                    <w:rPr>
                      <w:rFonts w:hint="default" w:eastAsia="宋体"/>
                      <w:color w:val="auto"/>
                      <w:kern w:val="0"/>
                      <w:szCs w:val="21"/>
                      <w:lang w:val="en-US" w:eastAsia="zh-CN" w:bidi="ar"/>
                    </w:rPr>
                  </w:pPr>
                  <w:r>
                    <w:rPr>
                      <w:rFonts w:hint="eastAsia"/>
                      <w:color w:val="auto"/>
                      <w:kern w:val="0"/>
                      <w:szCs w:val="21"/>
                      <w:lang w:bidi="ar"/>
                    </w:rPr>
                    <w:t>0.0</w:t>
                  </w:r>
                  <w:bookmarkStart w:id="5" w:name="_GoBack"/>
                  <w:bookmarkEnd w:id="5"/>
                  <w:r>
                    <w:rPr>
                      <w:rFonts w:hint="eastAsia"/>
                      <w:color w:val="auto"/>
                      <w:kern w:val="0"/>
                      <w:szCs w:val="21"/>
                      <w:lang w:val="en-US" w:eastAsia="zh-CN" w:bidi="ar"/>
                    </w:rPr>
                    <w:t>52</w:t>
                  </w:r>
                </w:p>
              </w:tc>
              <w:tc>
                <w:tcPr>
                  <w:tcW w:w="459" w:type="pct"/>
                  <w:shd w:val="clear" w:color="auto" w:fill="auto"/>
                  <w:noWrap w:val="0"/>
                  <w:vAlign w:val="center"/>
                </w:tcPr>
                <w:p w14:paraId="189036D9">
                  <w:pPr>
                    <w:widowControl/>
                    <w:jc w:val="center"/>
                    <w:textAlignment w:val="center"/>
                    <w:rPr>
                      <w:rFonts w:hint="eastAsia" w:ascii="Times New Roman" w:hAnsi="Times New Roman" w:eastAsia="宋体" w:cs="Times New Roman"/>
                      <w:color w:val="auto"/>
                      <w:kern w:val="2"/>
                      <w:sz w:val="21"/>
                      <w:szCs w:val="21"/>
                      <w:highlight w:val="none"/>
                      <w:lang w:val="en-US" w:eastAsia="zh-CN" w:bidi="ar-SA"/>
                    </w:rPr>
                  </w:pPr>
                  <w:r>
                    <w:rPr>
                      <w:color w:val="auto"/>
                      <w:kern w:val="0"/>
                      <w:sz w:val="21"/>
                      <w:szCs w:val="21"/>
                      <w:highlight w:val="none"/>
                      <w:lang w:bidi="ar"/>
                    </w:rPr>
                    <w:t>0.</w:t>
                  </w:r>
                  <w:r>
                    <w:rPr>
                      <w:rFonts w:hint="eastAsia"/>
                      <w:color w:val="auto"/>
                      <w:kern w:val="0"/>
                      <w:sz w:val="21"/>
                      <w:szCs w:val="21"/>
                      <w:highlight w:val="none"/>
                      <w:lang w:val="en-US" w:eastAsia="zh-CN" w:bidi="ar"/>
                    </w:rPr>
                    <w:t>0043</w:t>
                  </w:r>
                </w:p>
              </w:tc>
              <w:tc>
                <w:tcPr>
                  <w:tcW w:w="433" w:type="pct"/>
                  <w:shd w:val="clear" w:color="auto" w:fill="auto"/>
                  <w:noWrap w:val="0"/>
                  <w:vAlign w:val="center"/>
                </w:tcPr>
                <w:p w14:paraId="0FA126E0">
                  <w:pPr>
                    <w:widowControl/>
                    <w:jc w:val="center"/>
                    <w:textAlignment w:val="center"/>
                    <w:rPr>
                      <w:rFonts w:hint="eastAsia" w:ascii="Times New Roman" w:hAnsi="Times New Roman" w:eastAsia="宋体" w:cs="Times New Roman"/>
                      <w:color w:val="auto"/>
                      <w:kern w:val="0"/>
                      <w:sz w:val="21"/>
                      <w:szCs w:val="21"/>
                      <w:highlight w:val="none"/>
                      <w:lang w:val="en-US" w:eastAsia="zh-CN" w:bidi="ar"/>
                    </w:rPr>
                  </w:pPr>
                  <w:r>
                    <w:rPr>
                      <w:rFonts w:hint="eastAsia"/>
                      <w:color w:val="auto"/>
                      <w:kern w:val="0"/>
                      <w:sz w:val="21"/>
                      <w:szCs w:val="21"/>
                      <w:highlight w:val="none"/>
                      <w:lang w:val="en-US" w:eastAsia="zh-CN" w:bidi="ar"/>
                    </w:rPr>
                    <w:t>0.006</w:t>
                  </w:r>
                </w:p>
              </w:tc>
              <w:tc>
                <w:tcPr>
                  <w:tcW w:w="471" w:type="pct"/>
                  <w:shd w:val="clear" w:color="auto" w:fill="auto"/>
                  <w:noWrap w:val="0"/>
                  <w:vAlign w:val="center"/>
                </w:tcPr>
                <w:p w14:paraId="2F9F117B">
                  <w:pPr>
                    <w:widowControl/>
                    <w:jc w:val="center"/>
                    <w:textAlignment w:val="center"/>
                    <w:rPr>
                      <w:rFonts w:hint="eastAsia" w:ascii="Times New Roman" w:hAnsi="Times New Roman" w:eastAsia="宋体" w:cs="Times New Roman"/>
                      <w:color w:val="auto"/>
                      <w:kern w:val="0"/>
                      <w:sz w:val="21"/>
                      <w:szCs w:val="21"/>
                      <w:highlight w:val="none"/>
                      <w:lang w:val="en-US" w:eastAsia="zh-CN" w:bidi="ar"/>
                    </w:rPr>
                  </w:pPr>
                  <w:r>
                    <w:rPr>
                      <w:rFonts w:hint="eastAsia"/>
                      <w:color w:val="auto"/>
                      <w:kern w:val="0"/>
                      <w:sz w:val="21"/>
                      <w:szCs w:val="21"/>
                      <w:highlight w:val="none"/>
                      <w:lang w:val="en-US" w:eastAsia="zh-CN" w:bidi="ar"/>
                    </w:rPr>
                    <w:t>0.0006</w:t>
                  </w:r>
                </w:p>
              </w:tc>
            </w:tr>
            <w:tr w14:paraId="0005F6F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2185" w:type="pct"/>
                  <w:gridSpan w:val="3"/>
                  <w:noWrap w:val="0"/>
                  <w:vAlign w:val="center"/>
                </w:tcPr>
                <w:p w14:paraId="47E6AB1A">
                  <w:pPr>
                    <w:jc w:val="center"/>
                    <w:rPr>
                      <w:rFonts w:hint="eastAsia"/>
                      <w:color w:val="auto"/>
                      <w:szCs w:val="21"/>
                    </w:rPr>
                  </w:pPr>
                  <w:r>
                    <w:rPr>
                      <w:rFonts w:hint="eastAsia"/>
                      <w:color w:val="auto"/>
                      <w:szCs w:val="21"/>
                    </w:rPr>
                    <w:t>标准限值</w:t>
                  </w:r>
                  <w:r>
                    <w:rPr>
                      <w:color w:val="auto"/>
                      <w:szCs w:val="21"/>
                    </w:rPr>
                    <w:t>（mg/L）</w:t>
                  </w:r>
                </w:p>
              </w:tc>
              <w:tc>
                <w:tcPr>
                  <w:tcW w:w="509" w:type="pct"/>
                  <w:noWrap w:val="0"/>
                  <w:vAlign w:val="center"/>
                </w:tcPr>
                <w:p w14:paraId="3BA20EA7">
                  <w:pPr>
                    <w:jc w:val="center"/>
                    <w:rPr>
                      <w:rFonts w:hint="eastAsia"/>
                      <w:b/>
                      <w:bCs/>
                      <w:color w:val="auto"/>
                      <w:szCs w:val="21"/>
                    </w:rPr>
                  </w:pPr>
                  <w:r>
                    <w:rPr>
                      <w:rFonts w:hint="eastAsia"/>
                      <w:b/>
                      <w:bCs/>
                      <w:color w:val="auto"/>
                      <w:szCs w:val="21"/>
                    </w:rPr>
                    <w:t>500</w:t>
                  </w:r>
                </w:p>
              </w:tc>
              <w:tc>
                <w:tcPr>
                  <w:tcW w:w="499" w:type="pct"/>
                  <w:noWrap w:val="0"/>
                  <w:vAlign w:val="center"/>
                </w:tcPr>
                <w:p w14:paraId="7F0922D4">
                  <w:pPr>
                    <w:jc w:val="center"/>
                    <w:rPr>
                      <w:rFonts w:hint="eastAsia"/>
                      <w:b/>
                      <w:bCs/>
                      <w:color w:val="auto"/>
                      <w:szCs w:val="21"/>
                    </w:rPr>
                  </w:pPr>
                  <w:r>
                    <w:rPr>
                      <w:rFonts w:hint="eastAsia"/>
                      <w:b/>
                      <w:bCs/>
                      <w:color w:val="auto"/>
                      <w:szCs w:val="21"/>
                    </w:rPr>
                    <w:t>300</w:t>
                  </w:r>
                </w:p>
              </w:tc>
              <w:tc>
                <w:tcPr>
                  <w:tcW w:w="441" w:type="pct"/>
                  <w:noWrap w:val="0"/>
                  <w:vAlign w:val="center"/>
                </w:tcPr>
                <w:p w14:paraId="1E0FE419">
                  <w:pPr>
                    <w:jc w:val="center"/>
                    <w:rPr>
                      <w:rFonts w:hint="eastAsia"/>
                      <w:b/>
                      <w:bCs/>
                      <w:color w:val="auto"/>
                      <w:szCs w:val="21"/>
                    </w:rPr>
                  </w:pPr>
                  <w:r>
                    <w:rPr>
                      <w:rFonts w:hint="eastAsia"/>
                      <w:b/>
                      <w:bCs/>
                      <w:color w:val="auto"/>
                      <w:szCs w:val="21"/>
                    </w:rPr>
                    <w:t>400</w:t>
                  </w:r>
                </w:p>
              </w:tc>
              <w:tc>
                <w:tcPr>
                  <w:tcW w:w="459" w:type="pct"/>
                  <w:noWrap w:val="0"/>
                  <w:vAlign w:val="center"/>
                </w:tcPr>
                <w:p w14:paraId="342BCE3B">
                  <w:pPr>
                    <w:jc w:val="center"/>
                    <w:rPr>
                      <w:b/>
                      <w:bCs/>
                      <w:color w:val="auto"/>
                      <w:szCs w:val="21"/>
                    </w:rPr>
                  </w:pPr>
                  <w:r>
                    <w:rPr>
                      <w:rFonts w:hint="eastAsia"/>
                      <w:b/>
                      <w:bCs/>
                      <w:color w:val="auto"/>
                      <w:szCs w:val="21"/>
                    </w:rPr>
                    <w:t>45</w:t>
                  </w:r>
                </w:p>
              </w:tc>
              <w:tc>
                <w:tcPr>
                  <w:tcW w:w="433" w:type="pct"/>
                  <w:noWrap w:val="0"/>
                  <w:vAlign w:val="center"/>
                </w:tcPr>
                <w:p w14:paraId="6F504CF2">
                  <w:pPr>
                    <w:jc w:val="center"/>
                    <w:rPr>
                      <w:rFonts w:hint="eastAsia"/>
                      <w:b/>
                      <w:bCs/>
                      <w:color w:val="auto"/>
                      <w:szCs w:val="21"/>
                    </w:rPr>
                  </w:pPr>
                  <w:r>
                    <w:rPr>
                      <w:rFonts w:hint="eastAsia"/>
                      <w:b/>
                      <w:bCs/>
                      <w:color w:val="auto"/>
                      <w:szCs w:val="21"/>
                    </w:rPr>
                    <w:t>70</w:t>
                  </w:r>
                </w:p>
              </w:tc>
              <w:tc>
                <w:tcPr>
                  <w:tcW w:w="471" w:type="pct"/>
                  <w:noWrap w:val="0"/>
                  <w:vAlign w:val="center"/>
                </w:tcPr>
                <w:p w14:paraId="375A9B02">
                  <w:pPr>
                    <w:jc w:val="center"/>
                    <w:rPr>
                      <w:rFonts w:hint="eastAsia"/>
                      <w:b/>
                      <w:bCs/>
                      <w:color w:val="auto"/>
                      <w:szCs w:val="21"/>
                    </w:rPr>
                  </w:pPr>
                  <w:r>
                    <w:rPr>
                      <w:rFonts w:hint="eastAsia"/>
                      <w:b/>
                      <w:bCs/>
                      <w:color w:val="auto"/>
                      <w:szCs w:val="21"/>
                    </w:rPr>
                    <w:t>8</w:t>
                  </w:r>
                </w:p>
              </w:tc>
            </w:tr>
            <w:tr w14:paraId="2F88FF0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2185" w:type="pct"/>
                  <w:gridSpan w:val="3"/>
                  <w:noWrap w:val="0"/>
                  <w:vAlign w:val="center"/>
                </w:tcPr>
                <w:p w14:paraId="1C66E3DA">
                  <w:pPr>
                    <w:jc w:val="center"/>
                    <w:rPr>
                      <w:rFonts w:hint="eastAsia"/>
                      <w:color w:val="auto"/>
                      <w:szCs w:val="21"/>
                    </w:rPr>
                  </w:pPr>
                  <w:r>
                    <w:rPr>
                      <w:color w:val="auto"/>
                      <w:szCs w:val="21"/>
                    </w:rPr>
                    <w:t>达标情况</w:t>
                  </w:r>
                </w:p>
              </w:tc>
              <w:tc>
                <w:tcPr>
                  <w:tcW w:w="509" w:type="pct"/>
                  <w:noWrap w:val="0"/>
                  <w:vAlign w:val="center"/>
                </w:tcPr>
                <w:p w14:paraId="4269F652">
                  <w:pPr>
                    <w:jc w:val="center"/>
                    <w:rPr>
                      <w:rFonts w:hint="eastAsia"/>
                      <w:color w:val="auto"/>
                      <w:szCs w:val="21"/>
                    </w:rPr>
                  </w:pPr>
                  <w:r>
                    <w:rPr>
                      <w:color w:val="auto"/>
                      <w:szCs w:val="21"/>
                    </w:rPr>
                    <w:t>达标</w:t>
                  </w:r>
                </w:p>
              </w:tc>
              <w:tc>
                <w:tcPr>
                  <w:tcW w:w="499" w:type="pct"/>
                  <w:noWrap w:val="0"/>
                  <w:vAlign w:val="center"/>
                </w:tcPr>
                <w:p w14:paraId="702A8338">
                  <w:pPr>
                    <w:jc w:val="center"/>
                    <w:rPr>
                      <w:rFonts w:hint="eastAsia"/>
                      <w:color w:val="auto"/>
                      <w:szCs w:val="21"/>
                    </w:rPr>
                  </w:pPr>
                  <w:r>
                    <w:rPr>
                      <w:color w:val="auto"/>
                      <w:szCs w:val="21"/>
                    </w:rPr>
                    <w:t>达标</w:t>
                  </w:r>
                </w:p>
              </w:tc>
              <w:tc>
                <w:tcPr>
                  <w:tcW w:w="441" w:type="pct"/>
                  <w:noWrap w:val="0"/>
                  <w:vAlign w:val="center"/>
                </w:tcPr>
                <w:p w14:paraId="78206061">
                  <w:pPr>
                    <w:jc w:val="center"/>
                    <w:rPr>
                      <w:rFonts w:hint="eastAsia"/>
                      <w:color w:val="auto"/>
                      <w:szCs w:val="21"/>
                    </w:rPr>
                  </w:pPr>
                  <w:r>
                    <w:rPr>
                      <w:color w:val="auto"/>
                      <w:szCs w:val="21"/>
                    </w:rPr>
                    <w:t>达标</w:t>
                  </w:r>
                </w:p>
              </w:tc>
              <w:tc>
                <w:tcPr>
                  <w:tcW w:w="459" w:type="pct"/>
                  <w:noWrap w:val="0"/>
                  <w:vAlign w:val="center"/>
                </w:tcPr>
                <w:p w14:paraId="1ED65686">
                  <w:pPr>
                    <w:jc w:val="center"/>
                    <w:rPr>
                      <w:color w:val="auto"/>
                      <w:szCs w:val="21"/>
                    </w:rPr>
                  </w:pPr>
                  <w:r>
                    <w:rPr>
                      <w:color w:val="auto"/>
                      <w:szCs w:val="21"/>
                    </w:rPr>
                    <w:t>达标</w:t>
                  </w:r>
                </w:p>
              </w:tc>
              <w:tc>
                <w:tcPr>
                  <w:tcW w:w="433" w:type="pct"/>
                  <w:noWrap w:val="0"/>
                  <w:vAlign w:val="center"/>
                </w:tcPr>
                <w:p w14:paraId="46270237">
                  <w:pPr>
                    <w:jc w:val="center"/>
                    <w:rPr>
                      <w:rFonts w:hint="eastAsia"/>
                      <w:color w:val="auto"/>
                      <w:szCs w:val="21"/>
                    </w:rPr>
                  </w:pPr>
                  <w:r>
                    <w:rPr>
                      <w:rFonts w:hint="eastAsia"/>
                      <w:color w:val="auto"/>
                      <w:szCs w:val="21"/>
                    </w:rPr>
                    <w:t>达标</w:t>
                  </w:r>
                </w:p>
              </w:tc>
              <w:tc>
                <w:tcPr>
                  <w:tcW w:w="471" w:type="pct"/>
                  <w:noWrap w:val="0"/>
                  <w:vAlign w:val="center"/>
                </w:tcPr>
                <w:p w14:paraId="066C87DB">
                  <w:pPr>
                    <w:jc w:val="center"/>
                    <w:rPr>
                      <w:rFonts w:hint="eastAsia"/>
                      <w:color w:val="auto"/>
                      <w:szCs w:val="21"/>
                    </w:rPr>
                  </w:pPr>
                  <w:r>
                    <w:rPr>
                      <w:rFonts w:hint="eastAsia"/>
                      <w:color w:val="auto"/>
                      <w:szCs w:val="21"/>
                    </w:rPr>
                    <w:t>达标</w:t>
                  </w:r>
                </w:p>
              </w:tc>
            </w:tr>
            <w:tr w14:paraId="2F03DF1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2185" w:type="pct"/>
                  <w:gridSpan w:val="3"/>
                  <w:noWrap w:val="0"/>
                  <w:vAlign w:val="center"/>
                </w:tcPr>
                <w:p w14:paraId="0E38B58B">
                  <w:pPr>
                    <w:jc w:val="center"/>
                    <w:rPr>
                      <w:rFonts w:hint="eastAsia"/>
                      <w:color w:val="auto"/>
                      <w:szCs w:val="21"/>
                    </w:rPr>
                  </w:pPr>
                  <w:r>
                    <w:rPr>
                      <w:rFonts w:hint="eastAsia"/>
                      <w:color w:val="auto"/>
                      <w:szCs w:val="21"/>
                    </w:rPr>
                    <w:t>排放标准</w:t>
                  </w:r>
                </w:p>
              </w:tc>
              <w:tc>
                <w:tcPr>
                  <w:tcW w:w="2814" w:type="pct"/>
                  <w:gridSpan w:val="6"/>
                  <w:noWrap w:val="0"/>
                  <w:vAlign w:val="center"/>
                </w:tcPr>
                <w:p w14:paraId="754E9539">
                  <w:pPr>
                    <w:widowControl/>
                    <w:textAlignment w:val="center"/>
                    <w:rPr>
                      <w:rFonts w:hint="eastAsia"/>
                      <w:color w:val="auto"/>
                      <w:kern w:val="0"/>
                      <w:szCs w:val="21"/>
                      <w:lang w:bidi="ar"/>
                    </w:rPr>
                  </w:pPr>
                  <w:r>
                    <w:rPr>
                      <w:color w:val="auto"/>
                      <w:szCs w:val="21"/>
                    </w:rPr>
                    <w:t>《污水综合排放标准》（GB8978-1996）三级标准及《污水排入城镇下水道水质标准》（GB/T 31962-2015）B级标准</w:t>
                  </w:r>
                </w:p>
              </w:tc>
            </w:tr>
          </w:tbl>
          <w:p w14:paraId="1F38E0C3">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color w:val="auto"/>
                <w:lang w:val="en-US" w:eastAsia="zh-CN"/>
              </w:rPr>
            </w:pPr>
            <w:r>
              <w:rPr>
                <w:rFonts w:hint="eastAsia"/>
                <w:color w:val="auto"/>
                <w:lang w:val="en-US" w:eastAsia="zh-CN"/>
              </w:rPr>
              <w:t>（3）软化浓水和反冲洗废水</w:t>
            </w:r>
          </w:p>
          <w:p w14:paraId="7D4A1857">
            <w:pPr>
              <w:pStyle w:val="22"/>
              <w:bidi w:val="0"/>
              <w:rPr>
                <w:rFonts w:hint="eastAsia"/>
                <w:color w:val="auto"/>
                <w:lang w:val="en-US" w:eastAsia="zh-CN"/>
              </w:rPr>
            </w:pPr>
            <w:r>
              <w:rPr>
                <w:rFonts w:hint="eastAsia"/>
                <w:color w:val="auto"/>
                <w:lang w:val="en-US" w:eastAsia="zh-CN"/>
              </w:rPr>
              <w:t>其污染物种类较为简单，为清净下水，排入小区污水管网，经市政污水管网排入西安净水处理有限责任公司第六再生水厂处理。</w:t>
            </w:r>
          </w:p>
          <w:p w14:paraId="5D0E9481">
            <w:pPr>
              <w:pStyle w:val="4"/>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36"/>
              </w:rPr>
            </w:pPr>
            <w:r>
              <w:rPr>
                <w:rFonts w:hint="eastAsia"/>
                <w:color w:val="auto"/>
                <w:sz w:val="24"/>
                <w:szCs w:val="36"/>
                <w:lang w:val="en-US" w:eastAsia="zh-CN"/>
              </w:rPr>
              <w:t>（4）污水处理厂</w:t>
            </w:r>
            <w:r>
              <w:rPr>
                <w:rFonts w:hint="eastAsia"/>
                <w:color w:val="auto"/>
                <w:sz w:val="24"/>
                <w:szCs w:val="36"/>
              </w:rPr>
              <w:t>依托可行性分析</w:t>
            </w:r>
          </w:p>
          <w:p w14:paraId="2CBE6D7D">
            <w:pPr>
              <w:pStyle w:val="22"/>
              <w:bidi w:val="0"/>
              <w:rPr>
                <w:color w:val="auto"/>
                <w:sz w:val="24"/>
                <w:lang w:bidi="ar"/>
              </w:rPr>
            </w:pPr>
            <w:r>
              <w:rPr>
                <w:rFonts w:hint="eastAsia"/>
                <w:sz w:val="24"/>
                <w:lang w:bidi="ar"/>
              </w:rPr>
              <w:t>西安净水处理有限责任公司第六再生水厂位于</w:t>
            </w:r>
            <w:r>
              <w:rPr>
                <w:sz w:val="24"/>
                <w:lang w:bidi="ar"/>
              </w:rPr>
              <w:t>西咸新区沣东新城，东经108.826492379°、北纬34.346173542°。污水处理规模为20万m³/d，设计进水水质指标：</w:t>
            </w:r>
            <w:r>
              <w:rPr>
                <w:rFonts w:hint="eastAsia"/>
                <w:sz w:val="24"/>
                <w:lang w:bidi="ar"/>
              </w:rPr>
              <w:t>“</w:t>
            </w:r>
            <w:r>
              <w:rPr>
                <w:sz w:val="24"/>
                <w:lang w:bidi="ar"/>
              </w:rPr>
              <w:t>COD470mg/L、BOD</w:t>
            </w:r>
            <w:r>
              <w:rPr>
                <w:sz w:val="24"/>
                <w:vertAlign w:val="subscript"/>
                <w:lang w:bidi="ar"/>
              </w:rPr>
              <w:t>5</w:t>
            </w:r>
            <w:r>
              <w:rPr>
                <w:sz w:val="24"/>
                <w:lang w:bidi="ar"/>
              </w:rPr>
              <w:t>230mg/L、SS300mg/L、氨氮36mg/L、TN50mg/L、TP5.0mg/L</w:t>
            </w:r>
            <w:r>
              <w:rPr>
                <w:rFonts w:hint="eastAsia"/>
                <w:sz w:val="24"/>
                <w:lang w:bidi="ar"/>
              </w:rPr>
              <w:t>”</w:t>
            </w:r>
            <w:r>
              <w:rPr>
                <w:sz w:val="24"/>
                <w:lang w:bidi="ar"/>
              </w:rPr>
              <w:t>，提标改造后污水处理工艺为：预处理（初沉池增设除臭）+五段Bardenpho（AAO模式，改造）+二沉池（现状利用）+高效沉淀池（设粉末活性炭应急投加）+V型滤池+次氯酸钠消毒，提标改造后污水处理厂尾水水质达到《西安市城镇污水处理厂再生水化提标改造和加盖除臭工程三年行动方案（2018-2020年）》（市政办发</w:t>
            </w:r>
            <w:r>
              <w:rPr>
                <w:rFonts w:hint="eastAsia"/>
                <w:sz w:val="24"/>
                <w:lang w:bidi="ar"/>
              </w:rPr>
              <w:t>〔2018〕100号</w:t>
            </w:r>
            <w:r>
              <w:rPr>
                <w:sz w:val="24"/>
                <w:lang w:bidi="ar"/>
              </w:rPr>
              <w:t>）地表水准Ⅳ类水质标准后排入太平河，汇入皂河</w:t>
            </w:r>
            <w:r>
              <w:rPr>
                <w:rFonts w:hint="eastAsia"/>
                <w:sz w:val="24"/>
                <w:lang w:eastAsia="zh-CN" w:bidi="ar"/>
              </w:rPr>
              <w:t>。</w:t>
            </w:r>
            <w:r>
              <w:rPr>
                <w:rFonts w:hint="eastAsia"/>
                <w:sz w:val="24"/>
                <w:lang w:bidi="ar"/>
              </w:rPr>
              <w:t>西安净水处理有限责任公司第六再生水厂</w:t>
            </w:r>
            <w:r>
              <w:rPr>
                <w:sz w:val="24"/>
                <w:lang w:bidi="ar"/>
              </w:rPr>
              <w:t>服务范围包括：绕城高速-太平河沿线以东，西三环-皂河沿线以西，西户铁路以北，渭河以南的围合区域；并且包括西安市老城区三桥地区及福银高速以东部分地区。其中：属于沣东新城规划区域内建设区域服务面积约35.4km</w:t>
            </w:r>
            <w:r>
              <w:rPr>
                <w:sz w:val="24"/>
                <w:vertAlign w:val="superscript"/>
                <w:lang w:bidi="ar"/>
              </w:rPr>
              <w:t>2</w:t>
            </w:r>
            <w:r>
              <w:rPr>
                <w:sz w:val="24"/>
                <w:lang w:bidi="ar"/>
              </w:rPr>
              <w:t>，规划区外西安市老城区三桥地区服务面积5.1km</w:t>
            </w:r>
            <w:r>
              <w:rPr>
                <w:sz w:val="24"/>
                <w:vertAlign w:val="superscript"/>
                <w:lang w:bidi="ar"/>
              </w:rPr>
              <w:t>2</w:t>
            </w:r>
            <w:r>
              <w:rPr>
                <w:sz w:val="24"/>
                <w:lang w:bidi="ar"/>
              </w:rPr>
              <w:t>，福银高速以东部分地区服务面积2.2km</w:t>
            </w:r>
            <w:r>
              <w:rPr>
                <w:sz w:val="24"/>
                <w:vertAlign w:val="superscript"/>
                <w:lang w:bidi="ar"/>
              </w:rPr>
              <w:t>2</w:t>
            </w:r>
            <w:r>
              <w:rPr>
                <w:sz w:val="24"/>
                <w:lang w:bidi="ar"/>
              </w:rPr>
              <w:t>，污水处理厂总服务面积</w:t>
            </w:r>
            <w:r>
              <w:rPr>
                <w:color w:val="auto"/>
                <w:sz w:val="24"/>
                <w:lang w:bidi="ar"/>
              </w:rPr>
              <w:t>约42.7km</w:t>
            </w:r>
            <w:r>
              <w:rPr>
                <w:color w:val="auto"/>
                <w:sz w:val="24"/>
                <w:vertAlign w:val="superscript"/>
                <w:lang w:bidi="ar"/>
              </w:rPr>
              <w:t>2</w:t>
            </w:r>
            <w:r>
              <w:rPr>
                <w:color w:val="auto"/>
                <w:sz w:val="24"/>
                <w:lang w:bidi="ar"/>
              </w:rPr>
              <w:t>。</w:t>
            </w:r>
            <w:r>
              <w:rPr>
                <w:rFonts w:hint="eastAsia"/>
                <w:color w:val="auto"/>
                <w:sz w:val="24"/>
                <w:lang w:eastAsia="zh-CN" w:bidi="ar"/>
              </w:rPr>
              <w:t>本项目在</w:t>
            </w:r>
            <w:r>
              <w:rPr>
                <w:rFonts w:hint="eastAsia"/>
                <w:color w:val="auto"/>
                <w:sz w:val="24"/>
                <w:lang w:bidi="ar"/>
              </w:rPr>
              <w:t>西安净水处理有限责任公司第六再生水厂</w:t>
            </w:r>
            <w:r>
              <w:rPr>
                <w:rFonts w:hint="eastAsia"/>
                <w:color w:val="auto"/>
                <w:sz w:val="24"/>
                <w:lang w:eastAsia="zh-CN" w:bidi="ar"/>
              </w:rPr>
              <w:t>的收水范围之内，故项目产生的废水处理依托西安市污水处理厂处理可行</w:t>
            </w:r>
            <w:r>
              <w:rPr>
                <w:color w:val="auto"/>
                <w:sz w:val="24"/>
                <w:lang w:bidi="ar"/>
              </w:rPr>
              <w:t>。</w:t>
            </w:r>
          </w:p>
          <w:p w14:paraId="3036EE8E">
            <w:pPr>
              <w:pStyle w:val="22"/>
              <w:bidi w:val="0"/>
              <w:rPr>
                <w:rFonts w:hint="eastAsia"/>
                <w:b/>
                <w:bCs/>
                <w:color w:val="auto"/>
                <w:lang w:val="en-US" w:eastAsia="zh-CN"/>
              </w:rPr>
            </w:pPr>
            <w:r>
              <w:rPr>
                <w:rFonts w:hint="eastAsia"/>
                <w:b/>
                <w:bCs/>
                <w:color w:val="auto"/>
                <w:lang w:val="en-US" w:eastAsia="zh-CN"/>
              </w:rPr>
              <w:t>3、地下水</w:t>
            </w:r>
          </w:p>
          <w:p w14:paraId="259CA683">
            <w:pPr>
              <w:pStyle w:val="22"/>
              <w:bidi w:val="0"/>
              <w:rPr>
                <w:rFonts w:hint="eastAsia"/>
                <w:color w:val="auto"/>
                <w:lang w:val="en-US" w:eastAsia="zh-CN"/>
              </w:rPr>
            </w:pPr>
            <w:r>
              <w:rPr>
                <w:rFonts w:hint="eastAsia"/>
                <w:color w:val="auto"/>
                <w:lang w:val="en-US" w:eastAsia="zh-CN"/>
              </w:rPr>
              <w:t>本次评价对地下水环境影响分析主要从对地下水质及水资源等方面的影响进行分析，项目换热尾水经处理后全部回灌，同时加强地面工程管理，避免跑、冒、滴、漏现象，项目回灌井成井过程中将采取井壁防渗防垮塌、水泥固井和止水技术。项目对泵室段井管外采用G级油井水泥全井段固井，由此可见，第四系地层全有水泥套管的封止，即套管外返水不会进入潜水和承压水含水层。本项目回灌层段为1900-2750m，在回灌段顶部采用伞式橡胶止水器止水、各地层界限，即三门组底部、张家坡组底部采用简易止水器分层止水，止水器采用特殊橡胶材料制成复合型联体伞式止水器达到复合止水的效果。</w:t>
            </w:r>
          </w:p>
          <w:p w14:paraId="7615C460">
            <w:pPr>
              <w:pStyle w:val="22"/>
              <w:bidi w:val="0"/>
              <w:rPr>
                <w:rFonts w:hint="eastAsia"/>
                <w:color w:val="auto"/>
                <w:lang w:val="en-US" w:eastAsia="zh-CN"/>
              </w:rPr>
            </w:pPr>
            <w:r>
              <w:rPr>
                <w:rFonts w:hint="eastAsia"/>
                <w:color w:val="auto"/>
                <w:lang w:val="en-US" w:eastAsia="zh-CN"/>
              </w:rPr>
              <w:t>采取此措施后，正常运行条件下，发生穿透污染的途径被切断，不会造成对地下水的污染影响。地下水影响分析详见地下水专项评价。</w:t>
            </w:r>
          </w:p>
          <w:p w14:paraId="76A0DE7E">
            <w:pPr>
              <w:pStyle w:val="22"/>
              <w:bidi w:val="0"/>
              <w:rPr>
                <w:rFonts w:hint="eastAsia"/>
                <w:color w:val="auto"/>
                <w:lang w:val="en-US" w:eastAsia="zh-CN"/>
              </w:rPr>
            </w:pPr>
            <w:r>
              <w:rPr>
                <w:rFonts w:hint="eastAsia"/>
                <w:color w:val="auto"/>
                <w:lang w:val="en-US" w:eastAsia="zh-CN"/>
              </w:rPr>
              <w:t>回注对地下水的影响分析：换热井提水后进入循环管道，在经过换热器和循环泵时利用热交换的方式收集地下热水的热量，最终将温度降低的热水排放至回灌井，且回注地下层系与开采层系一致，遵守“采灌平衡，同层回灌”的理念，整个工作过程中从地热井提出的热水除工作换热外不进行其他利用，因此排放到回灌井中的水除热量损失外，不伴随其他方面的污染，对地下水环境质量不产生影响。除此之外，应定期对回注水进行检测，确保水质不发生恶化，若检测结果不合格应及时找到原因，问题解决后重新运营。因此，本项目的开采对地下水的影响很小，在可接受范围内。</w:t>
            </w:r>
          </w:p>
          <w:p w14:paraId="7D47412F">
            <w:pPr>
              <w:pStyle w:val="22"/>
              <w:bidi w:val="0"/>
              <w:rPr>
                <w:rFonts w:hint="eastAsia"/>
                <w:b/>
                <w:bCs/>
                <w:color w:val="auto"/>
                <w:lang w:val="en-US" w:eastAsia="zh-CN"/>
              </w:rPr>
            </w:pPr>
            <w:r>
              <w:rPr>
                <w:rFonts w:hint="eastAsia"/>
                <w:b/>
                <w:bCs/>
                <w:color w:val="auto"/>
                <w:lang w:val="en-US" w:eastAsia="zh-CN"/>
              </w:rPr>
              <w:t>4、噪声</w:t>
            </w:r>
          </w:p>
          <w:p w14:paraId="7E846206">
            <w:pPr>
              <w:pStyle w:val="22"/>
              <w:bidi w:val="0"/>
              <w:rPr>
                <w:rFonts w:hint="eastAsia" w:ascii="宋体" w:hAnsi="宋体" w:cs="宋体"/>
                <w:bCs/>
                <w:color w:val="auto"/>
                <w:szCs w:val="21"/>
                <w:lang w:val="en-US" w:eastAsia="zh-CN"/>
              </w:rPr>
            </w:pPr>
            <w:r>
              <w:rPr>
                <w:rFonts w:hint="eastAsia"/>
                <w:color w:val="auto"/>
                <w:lang w:val="en-US" w:eastAsia="zh-CN"/>
              </w:rPr>
              <w:t>项目主要噪声来源于供热机房，回灌加压泵、尾水循环泵等设备噪声。设备均位于地下室内，其噪声值60~75dB(A)，各声源声级值详见下表。</w:t>
            </w:r>
          </w:p>
          <w:p w14:paraId="76C93EB0">
            <w:pPr>
              <w:adjustRightInd w:val="0"/>
              <w:snapToGrid w:val="0"/>
              <w:jc w:val="center"/>
              <w:rPr>
                <w:rFonts w:hint="default" w:ascii="Times New Roman" w:hAnsi="Times New Roman" w:eastAsia="宋体" w:cs="Times New Roman"/>
                <w:b/>
                <w:bCs/>
                <w:color w:val="auto"/>
                <w:kern w:val="0"/>
                <w:sz w:val="24"/>
                <w:szCs w:val="24"/>
              </w:rPr>
            </w:pPr>
            <w:r>
              <w:rPr>
                <w:rFonts w:hint="default" w:ascii="Times New Roman" w:hAnsi="Times New Roman" w:eastAsia="宋体" w:cs="Times New Roman"/>
                <w:b/>
                <w:color w:val="auto"/>
                <w:sz w:val="24"/>
                <w:szCs w:val="24"/>
              </w:rPr>
              <w:t>表</w:t>
            </w:r>
            <w:r>
              <w:rPr>
                <w:rFonts w:hint="default" w:ascii="Times New Roman" w:hAnsi="Times New Roman" w:eastAsia="宋体" w:cs="Times New Roman"/>
                <w:b/>
                <w:color w:val="auto"/>
                <w:sz w:val="24"/>
                <w:szCs w:val="24"/>
                <w:lang w:val="en-US" w:eastAsia="zh-CN"/>
              </w:rPr>
              <w:t>4-</w:t>
            </w:r>
            <w:r>
              <w:rPr>
                <w:rFonts w:hint="eastAsia" w:cs="Times New Roman"/>
                <w:b/>
                <w:color w:val="auto"/>
                <w:sz w:val="24"/>
                <w:szCs w:val="24"/>
                <w:lang w:val="en-US" w:eastAsia="zh-CN"/>
              </w:rPr>
              <w:t>6</w:t>
            </w:r>
            <w:r>
              <w:rPr>
                <w:rFonts w:hint="default" w:ascii="Times New Roman" w:hAnsi="Times New Roman" w:eastAsia="宋体" w:cs="Times New Roman"/>
                <w:b/>
                <w:color w:val="auto"/>
                <w:sz w:val="24"/>
                <w:szCs w:val="24"/>
              </w:rPr>
              <w:t xml:space="preserve"> </w:t>
            </w:r>
            <w:r>
              <w:rPr>
                <w:rFonts w:hint="default" w:ascii="Times New Roman" w:hAnsi="Times New Roman" w:eastAsia="宋体" w:cs="Times New Roman"/>
                <w:b/>
                <w:color w:val="auto"/>
                <w:sz w:val="24"/>
                <w:szCs w:val="24"/>
                <w:lang w:val="en-US" w:eastAsia="zh-CN"/>
              </w:rPr>
              <w:t xml:space="preserve"> </w:t>
            </w:r>
            <w:r>
              <w:rPr>
                <w:rFonts w:hint="eastAsia" w:ascii="Times New Roman" w:hAnsi="Times New Roman" w:eastAsia="宋体" w:cs="Times New Roman"/>
                <w:b/>
                <w:color w:val="auto"/>
                <w:sz w:val="24"/>
                <w:szCs w:val="24"/>
                <w:lang w:val="en-US" w:eastAsia="zh-CN"/>
              </w:rPr>
              <w:t>供热机房</w:t>
            </w:r>
            <w:r>
              <w:rPr>
                <w:rFonts w:hint="default" w:ascii="Times New Roman" w:hAnsi="Times New Roman" w:eastAsia="宋体" w:cs="Times New Roman"/>
                <w:b/>
                <w:color w:val="auto"/>
                <w:sz w:val="24"/>
                <w:szCs w:val="24"/>
              </w:rPr>
              <w:t>主要噪声源一览表  单位：dB(A)</w:t>
            </w:r>
          </w:p>
          <w:tbl>
            <w:tblPr>
              <w:tblStyle w:val="15"/>
              <w:tblW w:w="504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266"/>
              <w:gridCol w:w="614"/>
              <w:gridCol w:w="1117"/>
              <w:gridCol w:w="694"/>
              <w:gridCol w:w="684"/>
              <w:gridCol w:w="788"/>
              <w:gridCol w:w="590"/>
              <w:gridCol w:w="664"/>
              <w:gridCol w:w="709"/>
              <w:gridCol w:w="459"/>
              <w:gridCol w:w="640"/>
            </w:tblGrid>
            <w:tr w14:paraId="35084B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69" w:type="pct"/>
                  <w:vMerge w:val="restart"/>
                  <w:noWrap w:val="0"/>
                  <w:vAlign w:val="center"/>
                </w:tcPr>
                <w:p w14:paraId="3039F575">
                  <w:pPr>
                    <w:jc w:val="center"/>
                    <w:rPr>
                      <w:rFonts w:ascii="Times New Roman" w:hAnsi="Times New Roman" w:eastAsia="宋体" w:cs="Times New Roman"/>
                      <w:b/>
                      <w:bCs/>
                      <w:color w:val="auto"/>
                      <w:kern w:val="2"/>
                      <w:sz w:val="21"/>
                      <w:szCs w:val="21"/>
                      <w:lang w:val="en-US" w:eastAsia="zh-CN" w:bidi="ar-SA"/>
                    </w:rPr>
                  </w:pPr>
                  <w:r>
                    <w:rPr>
                      <w:b/>
                      <w:bCs/>
                      <w:color w:val="auto"/>
                      <w:szCs w:val="21"/>
                    </w:rPr>
                    <w:t>声源</w:t>
                  </w:r>
                  <w:r>
                    <w:rPr>
                      <w:rFonts w:hint="eastAsia"/>
                      <w:b/>
                      <w:bCs/>
                      <w:color w:val="auto"/>
                      <w:szCs w:val="21"/>
                    </w:rPr>
                    <w:t>名称</w:t>
                  </w:r>
                </w:p>
              </w:tc>
              <w:tc>
                <w:tcPr>
                  <w:tcW w:w="373" w:type="pct"/>
                  <w:vMerge w:val="restart"/>
                  <w:noWrap w:val="0"/>
                  <w:vAlign w:val="center"/>
                </w:tcPr>
                <w:p w14:paraId="6A8A0072">
                  <w:pPr>
                    <w:adjustRightInd w:val="0"/>
                    <w:snapToGrid w:val="0"/>
                    <w:jc w:val="center"/>
                    <w:rPr>
                      <w:rFonts w:ascii="Times New Roman" w:hAnsi="Times New Roman" w:eastAsia="Times New Roman" w:cs="Times New Roman"/>
                      <w:b/>
                      <w:bCs/>
                      <w:color w:val="auto"/>
                      <w:kern w:val="2"/>
                      <w:sz w:val="21"/>
                      <w:szCs w:val="21"/>
                      <w:lang w:val="zh-CN" w:eastAsia="zh-CN" w:bidi="zh-CN"/>
                    </w:rPr>
                  </w:pPr>
                  <w:r>
                    <w:rPr>
                      <w:rFonts w:eastAsia="Times New Roman"/>
                      <w:b/>
                      <w:bCs/>
                      <w:color w:val="auto"/>
                      <w:szCs w:val="21"/>
                      <w:lang w:val="zh-CN" w:bidi="zh-CN"/>
                    </w:rPr>
                    <w:t>数量</w:t>
                  </w:r>
                </w:p>
              </w:tc>
              <w:tc>
                <w:tcPr>
                  <w:tcW w:w="679" w:type="pct"/>
                  <w:vMerge w:val="restart"/>
                  <w:noWrap w:val="0"/>
                  <w:vAlign w:val="center"/>
                </w:tcPr>
                <w:p w14:paraId="72E3BA68">
                  <w:pPr>
                    <w:jc w:val="center"/>
                    <w:rPr>
                      <w:rFonts w:hint="eastAsia" w:ascii="Times New Roman" w:hAnsi="Times New Roman" w:eastAsia="宋体" w:cs="Times New Roman"/>
                      <w:b/>
                      <w:bCs/>
                      <w:color w:val="auto"/>
                      <w:kern w:val="2"/>
                      <w:sz w:val="21"/>
                      <w:szCs w:val="21"/>
                      <w:lang w:val="en-US" w:eastAsia="zh-CN" w:bidi="ar-SA"/>
                    </w:rPr>
                  </w:pPr>
                  <w:r>
                    <w:rPr>
                      <w:rFonts w:hint="eastAsia"/>
                      <w:b/>
                      <w:bCs/>
                      <w:color w:val="auto"/>
                      <w:szCs w:val="21"/>
                    </w:rPr>
                    <w:t>单台设备声源源强</w:t>
                  </w:r>
                  <w:r>
                    <w:rPr>
                      <w:b/>
                      <w:bCs/>
                      <w:color w:val="auto"/>
                      <w:szCs w:val="21"/>
                    </w:rPr>
                    <w:t>dB（A）</w:t>
                  </w:r>
                </w:p>
              </w:tc>
              <w:tc>
                <w:tcPr>
                  <w:tcW w:w="1316" w:type="pct"/>
                  <w:gridSpan w:val="3"/>
                  <w:noWrap w:val="0"/>
                  <w:vAlign w:val="center"/>
                </w:tcPr>
                <w:p w14:paraId="32D7C7A4">
                  <w:pPr>
                    <w:jc w:val="center"/>
                    <w:rPr>
                      <w:rFonts w:hint="eastAsia"/>
                      <w:b/>
                      <w:bCs/>
                      <w:color w:val="auto"/>
                      <w:szCs w:val="21"/>
                    </w:rPr>
                  </w:pPr>
                  <w:r>
                    <w:rPr>
                      <w:rFonts w:hint="eastAsia"/>
                      <w:b/>
                      <w:bCs/>
                      <w:color w:val="auto"/>
                      <w:szCs w:val="21"/>
                      <w:lang w:val="en-US" w:eastAsia="zh-CN"/>
                    </w:rPr>
                    <w:t>降噪措施</w:t>
                  </w:r>
                </w:p>
              </w:tc>
              <w:tc>
                <w:tcPr>
                  <w:tcW w:w="1193" w:type="pct"/>
                  <w:gridSpan w:val="3"/>
                  <w:vMerge w:val="restart"/>
                  <w:noWrap w:val="0"/>
                  <w:vAlign w:val="center"/>
                </w:tcPr>
                <w:p w14:paraId="14E0064C">
                  <w:pPr>
                    <w:jc w:val="center"/>
                    <w:rPr>
                      <w:rFonts w:hint="eastAsia"/>
                      <w:b/>
                      <w:bCs/>
                      <w:color w:val="auto"/>
                      <w:szCs w:val="21"/>
                    </w:rPr>
                  </w:pPr>
                  <w:r>
                    <w:rPr>
                      <w:rFonts w:hint="eastAsia"/>
                      <w:b/>
                      <w:bCs/>
                      <w:color w:val="auto"/>
                      <w:szCs w:val="21"/>
                    </w:rPr>
                    <w:t>空间相对位置/m</w:t>
                  </w:r>
                </w:p>
              </w:tc>
              <w:tc>
                <w:tcPr>
                  <w:tcW w:w="279" w:type="pct"/>
                  <w:vMerge w:val="restart"/>
                  <w:noWrap w:val="0"/>
                  <w:vAlign w:val="center"/>
                </w:tcPr>
                <w:p w14:paraId="2269DD56">
                  <w:pPr>
                    <w:adjustRightInd w:val="0"/>
                    <w:snapToGrid w:val="0"/>
                    <w:jc w:val="center"/>
                    <w:rPr>
                      <w:rFonts w:ascii="Times New Roman" w:hAnsi="Times New Roman" w:eastAsia="宋体" w:cs="Times New Roman"/>
                      <w:b/>
                      <w:bCs/>
                      <w:color w:val="auto"/>
                      <w:kern w:val="2"/>
                      <w:sz w:val="21"/>
                      <w:szCs w:val="21"/>
                      <w:lang w:val="zh-CN" w:eastAsia="zh-CN" w:bidi="zh-CN"/>
                    </w:rPr>
                  </w:pPr>
                  <w:r>
                    <w:rPr>
                      <w:rFonts w:eastAsia="Times New Roman"/>
                      <w:b/>
                      <w:bCs/>
                      <w:color w:val="auto"/>
                      <w:szCs w:val="21"/>
                      <w:lang w:bidi="zh-CN"/>
                    </w:rPr>
                    <w:t>运行时</w:t>
                  </w:r>
                  <w:r>
                    <w:rPr>
                      <w:rFonts w:hint="eastAsia" w:eastAsia="Times New Roman"/>
                      <w:b/>
                      <w:bCs/>
                      <w:color w:val="auto"/>
                      <w:szCs w:val="21"/>
                      <w:lang w:bidi="zh-CN"/>
                    </w:rPr>
                    <w:t>段</w:t>
                  </w:r>
                </w:p>
              </w:tc>
              <w:tc>
                <w:tcPr>
                  <w:tcW w:w="389" w:type="pct"/>
                  <w:vMerge w:val="restart"/>
                  <w:noWrap w:val="0"/>
                  <w:vAlign w:val="center"/>
                </w:tcPr>
                <w:p w14:paraId="7A073DA2">
                  <w:pPr>
                    <w:adjustRightInd w:val="0"/>
                    <w:snapToGrid w:val="0"/>
                    <w:jc w:val="center"/>
                    <w:rPr>
                      <w:rFonts w:ascii="Times New Roman" w:hAnsi="Times New Roman" w:eastAsia="Times New Roman" w:cs="Times New Roman"/>
                      <w:b/>
                      <w:bCs/>
                      <w:color w:val="auto"/>
                      <w:kern w:val="2"/>
                      <w:sz w:val="21"/>
                      <w:szCs w:val="21"/>
                      <w:lang w:val="zh-CN" w:eastAsia="zh-CN" w:bidi="zh-CN"/>
                    </w:rPr>
                  </w:pPr>
                  <w:r>
                    <w:rPr>
                      <w:b/>
                      <w:bCs/>
                      <w:color w:val="auto"/>
                      <w:szCs w:val="21"/>
                      <w:lang w:val="zh-CN" w:bidi="zh-CN"/>
                    </w:rPr>
                    <w:t>建筑物插入损失/dB(A)</w:t>
                  </w:r>
                </w:p>
              </w:tc>
            </w:tr>
            <w:tr w14:paraId="2BBC1A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69" w:type="pct"/>
                  <w:vMerge w:val="continue"/>
                  <w:noWrap w:val="0"/>
                  <w:vAlign w:val="center"/>
                </w:tcPr>
                <w:p w14:paraId="3116096F">
                  <w:pPr>
                    <w:jc w:val="center"/>
                    <w:rPr>
                      <w:b/>
                      <w:bCs/>
                      <w:color w:val="auto"/>
                      <w:szCs w:val="21"/>
                    </w:rPr>
                  </w:pPr>
                </w:p>
              </w:tc>
              <w:tc>
                <w:tcPr>
                  <w:tcW w:w="373" w:type="pct"/>
                  <w:vMerge w:val="continue"/>
                  <w:noWrap w:val="0"/>
                  <w:vAlign w:val="center"/>
                </w:tcPr>
                <w:p w14:paraId="70A61C54">
                  <w:pPr>
                    <w:adjustRightInd w:val="0"/>
                    <w:snapToGrid w:val="0"/>
                    <w:jc w:val="center"/>
                    <w:rPr>
                      <w:rFonts w:eastAsia="Times New Roman"/>
                      <w:b/>
                      <w:bCs/>
                      <w:color w:val="auto"/>
                      <w:szCs w:val="21"/>
                      <w:lang w:val="zh-CN" w:bidi="zh-CN"/>
                    </w:rPr>
                  </w:pPr>
                </w:p>
              </w:tc>
              <w:tc>
                <w:tcPr>
                  <w:tcW w:w="679" w:type="pct"/>
                  <w:vMerge w:val="continue"/>
                  <w:noWrap w:val="0"/>
                  <w:vAlign w:val="center"/>
                </w:tcPr>
                <w:p w14:paraId="5A0D121A">
                  <w:pPr>
                    <w:jc w:val="center"/>
                    <w:rPr>
                      <w:b/>
                      <w:bCs/>
                      <w:color w:val="auto"/>
                      <w:szCs w:val="21"/>
                    </w:rPr>
                  </w:pPr>
                </w:p>
              </w:tc>
              <w:tc>
                <w:tcPr>
                  <w:tcW w:w="421" w:type="pct"/>
                  <w:vMerge w:val="restart"/>
                  <w:noWrap w:val="0"/>
                  <w:vAlign w:val="center"/>
                </w:tcPr>
                <w:p w14:paraId="7A8BDDE7">
                  <w:pPr>
                    <w:jc w:val="center"/>
                    <w:rPr>
                      <w:b/>
                      <w:bCs/>
                      <w:color w:val="auto"/>
                      <w:szCs w:val="21"/>
                    </w:rPr>
                  </w:pPr>
                  <w:r>
                    <w:rPr>
                      <w:rFonts w:hint="eastAsia"/>
                      <w:b/>
                      <w:bCs/>
                      <w:color w:val="auto"/>
                      <w:szCs w:val="21"/>
                    </w:rPr>
                    <w:t>声源控制</w:t>
                  </w:r>
                  <w:r>
                    <w:rPr>
                      <w:b/>
                      <w:bCs/>
                      <w:color w:val="auto"/>
                      <w:szCs w:val="21"/>
                    </w:rPr>
                    <w:t>措施</w:t>
                  </w:r>
                </w:p>
              </w:tc>
              <w:tc>
                <w:tcPr>
                  <w:tcW w:w="415" w:type="pct"/>
                  <w:vMerge w:val="restart"/>
                  <w:noWrap w:val="0"/>
                  <w:vAlign w:val="center"/>
                </w:tcPr>
                <w:p w14:paraId="594EC7FA">
                  <w:pPr>
                    <w:jc w:val="center"/>
                    <w:rPr>
                      <w:rFonts w:hint="default" w:eastAsia="宋体"/>
                      <w:b/>
                      <w:bCs/>
                      <w:color w:val="auto"/>
                      <w:szCs w:val="21"/>
                      <w:lang w:val="en-US" w:eastAsia="zh-CN"/>
                    </w:rPr>
                  </w:pPr>
                  <w:r>
                    <w:rPr>
                      <w:rFonts w:hint="eastAsia"/>
                      <w:b/>
                      <w:bCs/>
                      <w:color w:val="auto"/>
                      <w:szCs w:val="21"/>
                      <w:lang w:val="en-US" w:eastAsia="zh-CN"/>
                    </w:rPr>
                    <w:t>降噪效果</w:t>
                  </w:r>
                </w:p>
              </w:tc>
              <w:tc>
                <w:tcPr>
                  <w:tcW w:w="479" w:type="pct"/>
                  <w:vMerge w:val="restart"/>
                  <w:noWrap w:val="0"/>
                  <w:vAlign w:val="center"/>
                </w:tcPr>
                <w:p w14:paraId="09F5651C">
                  <w:pPr>
                    <w:jc w:val="center"/>
                    <w:rPr>
                      <w:rFonts w:hint="eastAsia"/>
                      <w:b/>
                      <w:bCs/>
                      <w:color w:val="auto"/>
                      <w:szCs w:val="21"/>
                    </w:rPr>
                  </w:pPr>
                  <w:r>
                    <w:rPr>
                      <w:rFonts w:hint="eastAsia"/>
                      <w:b/>
                      <w:bCs/>
                      <w:color w:val="auto"/>
                      <w:szCs w:val="21"/>
                    </w:rPr>
                    <w:t>降噪后声源源强</w:t>
                  </w:r>
                  <w:r>
                    <w:rPr>
                      <w:b/>
                      <w:bCs/>
                      <w:color w:val="auto"/>
                      <w:szCs w:val="21"/>
                    </w:rPr>
                    <w:t>dB（A）</w:t>
                  </w:r>
                </w:p>
              </w:tc>
              <w:tc>
                <w:tcPr>
                  <w:tcW w:w="1193" w:type="pct"/>
                  <w:gridSpan w:val="3"/>
                  <w:vMerge w:val="continue"/>
                  <w:noWrap w:val="0"/>
                  <w:vAlign w:val="center"/>
                </w:tcPr>
                <w:p w14:paraId="7CE97BFF">
                  <w:pPr>
                    <w:jc w:val="center"/>
                    <w:rPr>
                      <w:rFonts w:hint="eastAsia"/>
                      <w:b/>
                      <w:bCs/>
                      <w:color w:val="auto"/>
                      <w:szCs w:val="21"/>
                    </w:rPr>
                  </w:pPr>
                </w:p>
              </w:tc>
              <w:tc>
                <w:tcPr>
                  <w:tcW w:w="279" w:type="pct"/>
                  <w:vMerge w:val="continue"/>
                  <w:noWrap w:val="0"/>
                  <w:vAlign w:val="center"/>
                </w:tcPr>
                <w:p w14:paraId="19665E66">
                  <w:pPr>
                    <w:adjustRightInd w:val="0"/>
                    <w:snapToGrid w:val="0"/>
                    <w:jc w:val="center"/>
                    <w:rPr>
                      <w:b/>
                      <w:bCs/>
                      <w:color w:val="auto"/>
                      <w:szCs w:val="21"/>
                      <w:lang w:val="zh-CN" w:bidi="zh-CN"/>
                    </w:rPr>
                  </w:pPr>
                </w:p>
              </w:tc>
              <w:tc>
                <w:tcPr>
                  <w:tcW w:w="389" w:type="pct"/>
                  <w:vMerge w:val="continue"/>
                  <w:noWrap w:val="0"/>
                  <w:vAlign w:val="center"/>
                </w:tcPr>
                <w:p w14:paraId="1F378E99">
                  <w:pPr>
                    <w:adjustRightInd w:val="0"/>
                    <w:snapToGrid w:val="0"/>
                    <w:jc w:val="center"/>
                    <w:rPr>
                      <w:rFonts w:eastAsia="Times New Roman"/>
                      <w:b/>
                      <w:bCs/>
                      <w:color w:val="auto"/>
                      <w:szCs w:val="21"/>
                      <w:lang w:bidi="zh-CN"/>
                    </w:rPr>
                  </w:pPr>
                </w:p>
              </w:tc>
            </w:tr>
            <w:tr w14:paraId="1FF0AE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69" w:type="pct"/>
                  <w:vMerge w:val="continue"/>
                  <w:noWrap w:val="0"/>
                  <w:vAlign w:val="center"/>
                </w:tcPr>
                <w:p w14:paraId="61AA5E42">
                  <w:pPr>
                    <w:adjustRightInd w:val="0"/>
                    <w:snapToGrid w:val="0"/>
                    <w:jc w:val="center"/>
                    <w:rPr>
                      <w:rFonts w:eastAsia="Times New Roman"/>
                      <w:color w:val="auto"/>
                      <w:szCs w:val="21"/>
                      <w:lang w:val="zh-CN" w:bidi="zh-CN"/>
                    </w:rPr>
                  </w:pPr>
                </w:p>
              </w:tc>
              <w:tc>
                <w:tcPr>
                  <w:tcW w:w="373" w:type="pct"/>
                  <w:vMerge w:val="continue"/>
                  <w:noWrap w:val="0"/>
                  <w:vAlign w:val="center"/>
                </w:tcPr>
                <w:p w14:paraId="73D76EBE">
                  <w:pPr>
                    <w:adjustRightInd w:val="0"/>
                    <w:snapToGrid w:val="0"/>
                    <w:jc w:val="center"/>
                    <w:rPr>
                      <w:rFonts w:eastAsia="Times New Roman"/>
                      <w:color w:val="auto"/>
                      <w:szCs w:val="21"/>
                      <w:lang w:val="zh-CN" w:bidi="zh-CN"/>
                    </w:rPr>
                  </w:pPr>
                </w:p>
              </w:tc>
              <w:tc>
                <w:tcPr>
                  <w:tcW w:w="679" w:type="pct"/>
                  <w:vMerge w:val="continue"/>
                  <w:noWrap w:val="0"/>
                  <w:vAlign w:val="center"/>
                </w:tcPr>
                <w:p w14:paraId="6A13D4C6">
                  <w:pPr>
                    <w:jc w:val="center"/>
                    <w:rPr>
                      <w:rFonts w:eastAsia="Times New Roman"/>
                      <w:color w:val="auto"/>
                      <w:szCs w:val="21"/>
                      <w:lang w:bidi="zh-CN"/>
                    </w:rPr>
                  </w:pPr>
                </w:p>
              </w:tc>
              <w:tc>
                <w:tcPr>
                  <w:tcW w:w="421" w:type="pct"/>
                  <w:vMerge w:val="continue"/>
                  <w:noWrap w:val="0"/>
                  <w:vAlign w:val="center"/>
                </w:tcPr>
                <w:p w14:paraId="11856A33">
                  <w:pPr>
                    <w:adjustRightInd w:val="0"/>
                    <w:snapToGrid w:val="0"/>
                    <w:jc w:val="center"/>
                    <w:rPr>
                      <w:rFonts w:eastAsia="Times New Roman"/>
                      <w:color w:val="auto"/>
                      <w:szCs w:val="21"/>
                      <w:lang w:bidi="zh-CN"/>
                    </w:rPr>
                  </w:pPr>
                </w:p>
              </w:tc>
              <w:tc>
                <w:tcPr>
                  <w:tcW w:w="415" w:type="pct"/>
                  <w:vMerge w:val="continue"/>
                  <w:noWrap w:val="0"/>
                  <w:vAlign w:val="center"/>
                </w:tcPr>
                <w:p w14:paraId="61EDF750">
                  <w:pPr>
                    <w:adjustRightInd w:val="0"/>
                    <w:snapToGrid w:val="0"/>
                    <w:jc w:val="center"/>
                    <w:rPr>
                      <w:rFonts w:eastAsia="Times New Roman"/>
                      <w:color w:val="auto"/>
                      <w:szCs w:val="21"/>
                      <w:lang w:bidi="zh-CN"/>
                    </w:rPr>
                  </w:pPr>
                </w:p>
              </w:tc>
              <w:tc>
                <w:tcPr>
                  <w:tcW w:w="479" w:type="pct"/>
                  <w:vMerge w:val="continue"/>
                  <w:noWrap w:val="0"/>
                  <w:vAlign w:val="center"/>
                </w:tcPr>
                <w:p w14:paraId="529241ED">
                  <w:pPr>
                    <w:adjustRightInd w:val="0"/>
                    <w:snapToGrid w:val="0"/>
                    <w:jc w:val="center"/>
                    <w:rPr>
                      <w:rFonts w:eastAsia="Times New Roman"/>
                      <w:color w:val="auto"/>
                      <w:szCs w:val="21"/>
                      <w:lang w:bidi="zh-CN"/>
                    </w:rPr>
                  </w:pPr>
                </w:p>
              </w:tc>
              <w:tc>
                <w:tcPr>
                  <w:tcW w:w="358" w:type="pct"/>
                  <w:noWrap w:val="0"/>
                  <w:vAlign w:val="center"/>
                </w:tcPr>
                <w:p w14:paraId="1D5F61E1">
                  <w:pPr>
                    <w:adjustRightInd w:val="0"/>
                    <w:snapToGrid w:val="0"/>
                    <w:jc w:val="center"/>
                    <w:rPr>
                      <w:rFonts w:eastAsia="Times New Roman"/>
                      <w:b/>
                      <w:bCs/>
                      <w:color w:val="auto"/>
                      <w:szCs w:val="21"/>
                      <w:lang w:bidi="zh-CN"/>
                    </w:rPr>
                  </w:pPr>
                  <w:r>
                    <w:rPr>
                      <w:rFonts w:hint="eastAsia" w:eastAsia="Times New Roman"/>
                      <w:b/>
                      <w:bCs/>
                      <w:color w:val="auto"/>
                      <w:szCs w:val="21"/>
                      <w:lang w:bidi="zh-CN"/>
                    </w:rPr>
                    <w:t>X</w:t>
                  </w:r>
                </w:p>
              </w:tc>
              <w:tc>
                <w:tcPr>
                  <w:tcW w:w="403" w:type="pct"/>
                  <w:noWrap w:val="0"/>
                  <w:vAlign w:val="center"/>
                </w:tcPr>
                <w:p w14:paraId="517BCDDA">
                  <w:pPr>
                    <w:adjustRightInd w:val="0"/>
                    <w:snapToGrid w:val="0"/>
                    <w:jc w:val="center"/>
                    <w:rPr>
                      <w:rFonts w:eastAsia="Times New Roman"/>
                      <w:b/>
                      <w:bCs/>
                      <w:color w:val="auto"/>
                      <w:szCs w:val="21"/>
                      <w:lang w:bidi="zh-CN"/>
                    </w:rPr>
                  </w:pPr>
                  <w:r>
                    <w:rPr>
                      <w:rFonts w:hint="eastAsia" w:eastAsia="Times New Roman"/>
                      <w:b/>
                      <w:bCs/>
                      <w:color w:val="auto"/>
                      <w:szCs w:val="21"/>
                      <w:lang w:bidi="zh-CN"/>
                    </w:rPr>
                    <w:t>Y</w:t>
                  </w:r>
                </w:p>
              </w:tc>
              <w:tc>
                <w:tcPr>
                  <w:tcW w:w="431" w:type="pct"/>
                  <w:noWrap w:val="0"/>
                  <w:vAlign w:val="center"/>
                </w:tcPr>
                <w:p w14:paraId="2C9DC152">
                  <w:pPr>
                    <w:adjustRightInd w:val="0"/>
                    <w:snapToGrid w:val="0"/>
                    <w:jc w:val="center"/>
                    <w:rPr>
                      <w:rFonts w:eastAsia="Times New Roman"/>
                      <w:b/>
                      <w:bCs/>
                      <w:color w:val="auto"/>
                      <w:szCs w:val="21"/>
                      <w:lang w:bidi="zh-CN"/>
                    </w:rPr>
                  </w:pPr>
                  <w:r>
                    <w:rPr>
                      <w:rFonts w:hint="eastAsia" w:eastAsia="Times New Roman"/>
                      <w:b/>
                      <w:bCs/>
                      <w:color w:val="auto"/>
                      <w:szCs w:val="21"/>
                      <w:lang w:bidi="zh-CN"/>
                    </w:rPr>
                    <w:t>Z</w:t>
                  </w:r>
                </w:p>
              </w:tc>
              <w:tc>
                <w:tcPr>
                  <w:tcW w:w="279" w:type="pct"/>
                  <w:vMerge w:val="continue"/>
                  <w:noWrap w:val="0"/>
                  <w:vAlign w:val="center"/>
                </w:tcPr>
                <w:p w14:paraId="270B9602">
                  <w:pPr>
                    <w:adjustRightInd w:val="0"/>
                    <w:snapToGrid w:val="0"/>
                    <w:jc w:val="center"/>
                    <w:rPr>
                      <w:rFonts w:eastAsia="Times New Roman"/>
                      <w:color w:val="auto"/>
                      <w:szCs w:val="21"/>
                      <w:lang w:bidi="zh-CN"/>
                    </w:rPr>
                  </w:pPr>
                </w:p>
              </w:tc>
              <w:tc>
                <w:tcPr>
                  <w:tcW w:w="389" w:type="pct"/>
                  <w:vMerge w:val="continue"/>
                  <w:noWrap w:val="0"/>
                  <w:vAlign w:val="center"/>
                </w:tcPr>
                <w:p w14:paraId="45A8E43D">
                  <w:pPr>
                    <w:adjustRightInd w:val="0"/>
                    <w:snapToGrid w:val="0"/>
                    <w:jc w:val="center"/>
                    <w:rPr>
                      <w:rFonts w:eastAsia="Times New Roman"/>
                      <w:color w:val="auto"/>
                      <w:szCs w:val="21"/>
                      <w:lang w:bidi="zh-CN"/>
                    </w:rPr>
                  </w:pPr>
                </w:p>
              </w:tc>
            </w:tr>
            <w:tr w14:paraId="4B79BE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restart"/>
                  <w:noWrap w:val="0"/>
                  <w:vAlign w:val="center"/>
                </w:tcPr>
                <w:p w14:paraId="71F9172C">
                  <w:pPr>
                    <w:pStyle w:val="10"/>
                    <w:jc w:val="center"/>
                    <w:rPr>
                      <w:rFonts w:hint="default" w:eastAsia="宋体"/>
                      <w:color w:val="auto"/>
                      <w:kern w:val="2"/>
                      <w:sz w:val="21"/>
                      <w:szCs w:val="21"/>
                      <w:lang w:val="en-US" w:eastAsia="zh-CN"/>
                    </w:rPr>
                  </w:pPr>
                  <w:r>
                    <w:rPr>
                      <w:rFonts w:hint="eastAsia" w:eastAsia="宋体"/>
                      <w:color w:val="auto"/>
                      <w:kern w:val="2"/>
                      <w:sz w:val="21"/>
                      <w:szCs w:val="21"/>
                      <w:lang w:val="en-US" w:eastAsia="zh-CN"/>
                    </w:rPr>
                    <w:t>换热器</w:t>
                  </w:r>
                </w:p>
              </w:tc>
              <w:tc>
                <w:tcPr>
                  <w:tcW w:w="373" w:type="pct"/>
                  <w:vMerge w:val="restart"/>
                  <w:noWrap w:val="0"/>
                  <w:vAlign w:val="center"/>
                </w:tcPr>
                <w:p w14:paraId="4D67E868">
                  <w:pPr>
                    <w:pStyle w:val="32"/>
                    <w:spacing w:before="48" w:after="48"/>
                    <w:rPr>
                      <w:rFonts w:hint="eastAsia" w:ascii="Times New Roman" w:hAnsi="Times New Roman" w:eastAsia="宋体"/>
                      <w:color w:val="auto"/>
                      <w:szCs w:val="21"/>
                      <w:lang w:val="en-US" w:eastAsia="zh-CN"/>
                    </w:rPr>
                  </w:pPr>
                  <w:r>
                    <w:rPr>
                      <w:rFonts w:hint="eastAsia" w:ascii="Times New Roman" w:hAnsi="Times New Roman"/>
                      <w:color w:val="auto"/>
                      <w:szCs w:val="21"/>
                      <w:lang w:val="en-US" w:eastAsia="zh-CN"/>
                    </w:rPr>
                    <w:t>8</w:t>
                  </w:r>
                </w:p>
              </w:tc>
              <w:tc>
                <w:tcPr>
                  <w:tcW w:w="679" w:type="pct"/>
                  <w:noWrap w:val="0"/>
                  <w:vAlign w:val="center"/>
                </w:tcPr>
                <w:p w14:paraId="2F56C9AA">
                  <w:pPr>
                    <w:pStyle w:val="32"/>
                    <w:spacing w:before="48" w:after="48"/>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60</w:t>
                  </w:r>
                </w:p>
              </w:tc>
              <w:tc>
                <w:tcPr>
                  <w:tcW w:w="421" w:type="pct"/>
                  <w:vMerge w:val="restart"/>
                  <w:noWrap w:val="0"/>
                  <w:vAlign w:val="center"/>
                </w:tcPr>
                <w:p w14:paraId="7F2AECD3">
                  <w:pPr>
                    <w:jc w:val="center"/>
                    <w:rPr>
                      <w:color w:val="auto"/>
                      <w:szCs w:val="21"/>
                    </w:rPr>
                  </w:pPr>
                  <w:r>
                    <w:rPr>
                      <w:rFonts w:hint="eastAsia"/>
                      <w:color w:val="auto"/>
                      <w:szCs w:val="21"/>
                      <w:lang w:val="en-US" w:eastAsia="zh-CN"/>
                    </w:rPr>
                    <w:t>换热器等设备</w:t>
                  </w:r>
                  <w:r>
                    <w:rPr>
                      <w:rFonts w:hint="eastAsia"/>
                      <w:color w:val="auto"/>
                      <w:szCs w:val="21"/>
                    </w:rPr>
                    <w:t>选用低噪声设备、厂房隔声、设置基础减振、加强设备保养</w:t>
                  </w:r>
                </w:p>
              </w:tc>
              <w:tc>
                <w:tcPr>
                  <w:tcW w:w="415" w:type="pct"/>
                  <w:noWrap w:val="0"/>
                  <w:vAlign w:val="center"/>
                </w:tcPr>
                <w:p w14:paraId="7718238E">
                  <w:pPr>
                    <w:jc w:val="center"/>
                    <w:rPr>
                      <w:rFonts w:hint="eastAsia" w:eastAsia="宋体"/>
                      <w:color w:val="auto"/>
                      <w:szCs w:val="21"/>
                      <w:lang w:val="en-US" w:eastAsia="zh-CN"/>
                    </w:rPr>
                  </w:pPr>
                  <w:r>
                    <w:rPr>
                      <w:rFonts w:hint="eastAsia"/>
                      <w:color w:val="auto"/>
                      <w:szCs w:val="21"/>
                      <w:lang w:val="en-US" w:eastAsia="zh-CN"/>
                    </w:rPr>
                    <w:t>5</w:t>
                  </w:r>
                </w:p>
              </w:tc>
              <w:tc>
                <w:tcPr>
                  <w:tcW w:w="479" w:type="pct"/>
                  <w:noWrap w:val="0"/>
                  <w:vAlign w:val="center"/>
                </w:tcPr>
                <w:p w14:paraId="2084ED0F">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55</w:t>
                  </w:r>
                </w:p>
              </w:tc>
              <w:tc>
                <w:tcPr>
                  <w:tcW w:w="358" w:type="pct"/>
                  <w:noWrap w:val="0"/>
                  <w:vAlign w:val="center"/>
                </w:tcPr>
                <w:p w14:paraId="6E1ADDEB">
                  <w:pPr>
                    <w:jc w:val="center"/>
                    <w:rPr>
                      <w:rFonts w:hint="default" w:eastAsia="宋体"/>
                      <w:color w:val="auto"/>
                      <w:szCs w:val="21"/>
                      <w:lang w:val="en-US" w:eastAsia="zh-CN"/>
                    </w:rPr>
                  </w:pPr>
                  <w:r>
                    <w:rPr>
                      <w:rFonts w:hint="eastAsia" w:eastAsia="宋体"/>
                      <w:color w:val="auto"/>
                      <w:szCs w:val="21"/>
                      <w:lang w:val="en-US" w:eastAsia="zh-CN"/>
                    </w:rPr>
                    <w:t>20.39</w:t>
                  </w:r>
                </w:p>
              </w:tc>
              <w:tc>
                <w:tcPr>
                  <w:tcW w:w="403" w:type="pct"/>
                  <w:noWrap w:val="0"/>
                  <w:vAlign w:val="center"/>
                </w:tcPr>
                <w:p w14:paraId="536E2523">
                  <w:pPr>
                    <w:jc w:val="center"/>
                    <w:rPr>
                      <w:rFonts w:hint="default" w:eastAsia="宋体"/>
                      <w:color w:val="auto"/>
                      <w:szCs w:val="21"/>
                      <w:lang w:val="en-US" w:eastAsia="zh-CN"/>
                    </w:rPr>
                  </w:pPr>
                  <w:r>
                    <w:rPr>
                      <w:rFonts w:hint="eastAsia" w:eastAsia="宋体"/>
                      <w:color w:val="auto"/>
                      <w:szCs w:val="21"/>
                      <w:lang w:val="en-US" w:eastAsia="zh-CN"/>
                    </w:rPr>
                    <w:t>5.58</w:t>
                  </w:r>
                </w:p>
              </w:tc>
              <w:tc>
                <w:tcPr>
                  <w:tcW w:w="431" w:type="pct"/>
                  <w:noWrap w:val="0"/>
                  <w:vAlign w:val="center"/>
                </w:tcPr>
                <w:p w14:paraId="623B3612">
                  <w:pPr>
                    <w:jc w:val="center"/>
                    <w:rPr>
                      <w:color w:val="auto"/>
                      <w:szCs w:val="21"/>
                    </w:rPr>
                  </w:pPr>
                  <w:r>
                    <w:rPr>
                      <w:rFonts w:hint="eastAsia"/>
                      <w:color w:val="auto"/>
                      <w:szCs w:val="21"/>
                    </w:rPr>
                    <w:t>1</w:t>
                  </w:r>
                </w:p>
              </w:tc>
              <w:tc>
                <w:tcPr>
                  <w:tcW w:w="279" w:type="pct"/>
                  <w:vMerge w:val="restart"/>
                  <w:noWrap w:val="0"/>
                  <w:vAlign w:val="center"/>
                </w:tcPr>
                <w:p w14:paraId="07584118">
                  <w:pPr>
                    <w:jc w:val="center"/>
                    <w:rPr>
                      <w:color w:val="auto"/>
                      <w:szCs w:val="21"/>
                    </w:rPr>
                  </w:pPr>
                  <w:r>
                    <w:rPr>
                      <w:rFonts w:hint="eastAsia"/>
                      <w:color w:val="auto"/>
                      <w:szCs w:val="21"/>
                    </w:rPr>
                    <w:t>昼间</w:t>
                  </w:r>
                </w:p>
              </w:tc>
              <w:tc>
                <w:tcPr>
                  <w:tcW w:w="389" w:type="pct"/>
                  <w:vMerge w:val="restart"/>
                  <w:noWrap w:val="0"/>
                  <w:vAlign w:val="center"/>
                </w:tcPr>
                <w:p w14:paraId="4C3A38FA">
                  <w:pPr>
                    <w:jc w:val="center"/>
                    <w:rPr>
                      <w:rFonts w:hint="eastAsia" w:eastAsia="宋体"/>
                      <w:color w:val="auto"/>
                      <w:szCs w:val="21"/>
                      <w:lang w:eastAsia="zh-CN"/>
                    </w:rPr>
                  </w:pPr>
                  <w:r>
                    <w:rPr>
                      <w:rFonts w:hint="eastAsia"/>
                      <w:color w:val="auto"/>
                      <w:szCs w:val="21"/>
                    </w:rPr>
                    <w:t>2</w:t>
                  </w:r>
                  <w:r>
                    <w:rPr>
                      <w:rFonts w:hint="eastAsia"/>
                      <w:color w:val="auto"/>
                      <w:szCs w:val="21"/>
                      <w:lang w:val="en-US" w:eastAsia="zh-CN"/>
                    </w:rPr>
                    <w:t>5</w:t>
                  </w:r>
                </w:p>
              </w:tc>
            </w:tr>
            <w:tr w14:paraId="3B3564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continue"/>
                  <w:noWrap w:val="0"/>
                  <w:vAlign w:val="center"/>
                </w:tcPr>
                <w:p w14:paraId="0E83F334">
                  <w:pPr>
                    <w:pStyle w:val="10"/>
                    <w:jc w:val="center"/>
                    <w:rPr>
                      <w:rFonts w:hint="eastAsia"/>
                      <w:color w:val="auto"/>
                      <w:kern w:val="2"/>
                      <w:sz w:val="21"/>
                      <w:szCs w:val="21"/>
                      <w:lang w:val="en-US" w:eastAsia="zh-CN"/>
                    </w:rPr>
                  </w:pPr>
                </w:p>
              </w:tc>
              <w:tc>
                <w:tcPr>
                  <w:tcW w:w="373" w:type="pct"/>
                  <w:vMerge w:val="continue"/>
                  <w:noWrap w:val="0"/>
                  <w:vAlign w:val="center"/>
                </w:tcPr>
                <w:p w14:paraId="744993AA">
                  <w:pPr>
                    <w:pStyle w:val="32"/>
                    <w:spacing w:before="48" w:after="48"/>
                    <w:rPr>
                      <w:rFonts w:hint="eastAsia" w:ascii="Times New Roman" w:hAnsi="Times New Roman"/>
                      <w:color w:val="auto"/>
                      <w:szCs w:val="21"/>
                      <w:lang w:val="en-US" w:eastAsia="zh-CN"/>
                    </w:rPr>
                  </w:pPr>
                </w:p>
              </w:tc>
              <w:tc>
                <w:tcPr>
                  <w:tcW w:w="679" w:type="pct"/>
                  <w:noWrap w:val="0"/>
                  <w:vAlign w:val="center"/>
                </w:tcPr>
                <w:p w14:paraId="4C7375A4">
                  <w:pPr>
                    <w:pStyle w:val="32"/>
                    <w:spacing w:before="48" w:after="48"/>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60</w:t>
                  </w:r>
                </w:p>
              </w:tc>
              <w:tc>
                <w:tcPr>
                  <w:tcW w:w="421" w:type="pct"/>
                  <w:vMerge w:val="continue"/>
                  <w:noWrap w:val="0"/>
                  <w:vAlign w:val="center"/>
                </w:tcPr>
                <w:p w14:paraId="2A0A992C">
                  <w:pPr>
                    <w:jc w:val="center"/>
                    <w:rPr>
                      <w:rFonts w:hint="eastAsia"/>
                      <w:color w:val="auto"/>
                      <w:szCs w:val="21"/>
                    </w:rPr>
                  </w:pPr>
                </w:p>
              </w:tc>
              <w:tc>
                <w:tcPr>
                  <w:tcW w:w="415" w:type="pct"/>
                  <w:noWrap w:val="0"/>
                  <w:vAlign w:val="center"/>
                </w:tcPr>
                <w:p w14:paraId="2E8636D3">
                  <w:pPr>
                    <w:jc w:val="center"/>
                    <w:rPr>
                      <w:rFonts w:hint="eastAsia" w:eastAsia="宋体"/>
                      <w:color w:val="auto"/>
                      <w:szCs w:val="21"/>
                      <w:lang w:val="en-US" w:eastAsia="zh-CN"/>
                    </w:rPr>
                  </w:pPr>
                  <w:r>
                    <w:rPr>
                      <w:rFonts w:hint="eastAsia"/>
                      <w:color w:val="auto"/>
                      <w:szCs w:val="21"/>
                      <w:lang w:val="en-US" w:eastAsia="zh-CN"/>
                    </w:rPr>
                    <w:t>5</w:t>
                  </w:r>
                </w:p>
              </w:tc>
              <w:tc>
                <w:tcPr>
                  <w:tcW w:w="479" w:type="pct"/>
                  <w:noWrap w:val="0"/>
                  <w:vAlign w:val="center"/>
                </w:tcPr>
                <w:p w14:paraId="32444C7B">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55</w:t>
                  </w:r>
                </w:p>
              </w:tc>
              <w:tc>
                <w:tcPr>
                  <w:tcW w:w="358" w:type="pct"/>
                  <w:noWrap w:val="0"/>
                  <w:vAlign w:val="center"/>
                </w:tcPr>
                <w:p w14:paraId="7012193E">
                  <w:pPr>
                    <w:jc w:val="center"/>
                    <w:rPr>
                      <w:rFonts w:hint="default" w:eastAsia="宋体"/>
                      <w:color w:val="auto"/>
                      <w:szCs w:val="21"/>
                      <w:lang w:val="en-US" w:eastAsia="zh-CN"/>
                    </w:rPr>
                  </w:pPr>
                  <w:r>
                    <w:rPr>
                      <w:rFonts w:hint="eastAsia" w:eastAsia="宋体"/>
                      <w:color w:val="auto"/>
                      <w:szCs w:val="21"/>
                      <w:lang w:val="en-US" w:eastAsia="zh-CN"/>
                    </w:rPr>
                    <w:t>22.05</w:t>
                  </w:r>
                </w:p>
              </w:tc>
              <w:tc>
                <w:tcPr>
                  <w:tcW w:w="403" w:type="pct"/>
                  <w:noWrap w:val="0"/>
                  <w:vAlign w:val="center"/>
                </w:tcPr>
                <w:p w14:paraId="4393A62E">
                  <w:pPr>
                    <w:jc w:val="center"/>
                    <w:rPr>
                      <w:rFonts w:hint="default" w:eastAsia="宋体"/>
                      <w:color w:val="auto"/>
                      <w:szCs w:val="21"/>
                      <w:lang w:val="en-US" w:eastAsia="zh-CN"/>
                    </w:rPr>
                  </w:pPr>
                  <w:r>
                    <w:rPr>
                      <w:rFonts w:hint="eastAsia" w:eastAsia="宋体"/>
                      <w:color w:val="auto"/>
                      <w:szCs w:val="21"/>
                      <w:lang w:val="en-US" w:eastAsia="zh-CN"/>
                    </w:rPr>
                    <w:t>4.97</w:t>
                  </w:r>
                </w:p>
              </w:tc>
              <w:tc>
                <w:tcPr>
                  <w:tcW w:w="431" w:type="pct"/>
                  <w:noWrap w:val="0"/>
                  <w:vAlign w:val="center"/>
                </w:tcPr>
                <w:p w14:paraId="572F171C">
                  <w:pPr>
                    <w:jc w:val="center"/>
                    <w:rPr>
                      <w:rFonts w:hint="eastAsia" w:eastAsia="宋体"/>
                      <w:color w:val="auto"/>
                      <w:szCs w:val="21"/>
                      <w:lang w:val="en-US" w:eastAsia="zh-CN"/>
                    </w:rPr>
                  </w:pPr>
                  <w:r>
                    <w:rPr>
                      <w:rFonts w:hint="eastAsia"/>
                      <w:color w:val="auto"/>
                      <w:szCs w:val="21"/>
                      <w:lang w:val="en-US" w:eastAsia="zh-CN"/>
                    </w:rPr>
                    <w:t>1</w:t>
                  </w:r>
                </w:p>
              </w:tc>
              <w:tc>
                <w:tcPr>
                  <w:tcW w:w="279" w:type="pct"/>
                  <w:vMerge w:val="continue"/>
                  <w:noWrap w:val="0"/>
                  <w:vAlign w:val="center"/>
                </w:tcPr>
                <w:p w14:paraId="2C4ECFF6">
                  <w:pPr>
                    <w:jc w:val="center"/>
                    <w:rPr>
                      <w:rFonts w:hint="eastAsia"/>
                      <w:color w:val="auto"/>
                      <w:szCs w:val="21"/>
                    </w:rPr>
                  </w:pPr>
                </w:p>
              </w:tc>
              <w:tc>
                <w:tcPr>
                  <w:tcW w:w="389" w:type="pct"/>
                  <w:vMerge w:val="continue"/>
                  <w:noWrap w:val="0"/>
                  <w:vAlign w:val="center"/>
                </w:tcPr>
                <w:p w14:paraId="29CB14B3">
                  <w:pPr>
                    <w:jc w:val="center"/>
                    <w:rPr>
                      <w:rFonts w:hint="eastAsia"/>
                      <w:color w:val="auto"/>
                      <w:szCs w:val="21"/>
                    </w:rPr>
                  </w:pPr>
                </w:p>
              </w:tc>
            </w:tr>
            <w:tr w14:paraId="159AB1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continue"/>
                  <w:noWrap w:val="0"/>
                  <w:vAlign w:val="center"/>
                </w:tcPr>
                <w:p w14:paraId="715E6B4B">
                  <w:pPr>
                    <w:pStyle w:val="10"/>
                    <w:jc w:val="center"/>
                    <w:rPr>
                      <w:rFonts w:hint="eastAsia"/>
                      <w:color w:val="auto"/>
                      <w:kern w:val="2"/>
                      <w:sz w:val="21"/>
                      <w:szCs w:val="21"/>
                      <w:lang w:val="en-US" w:eastAsia="zh-CN"/>
                    </w:rPr>
                  </w:pPr>
                </w:p>
              </w:tc>
              <w:tc>
                <w:tcPr>
                  <w:tcW w:w="373" w:type="pct"/>
                  <w:vMerge w:val="continue"/>
                  <w:noWrap w:val="0"/>
                  <w:vAlign w:val="center"/>
                </w:tcPr>
                <w:p w14:paraId="4AE21FDF">
                  <w:pPr>
                    <w:pStyle w:val="32"/>
                    <w:spacing w:before="48" w:after="48"/>
                    <w:rPr>
                      <w:rFonts w:hint="eastAsia" w:ascii="Times New Roman" w:hAnsi="Times New Roman"/>
                      <w:color w:val="auto"/>
                      <w:szCs w:val="21"/>
                      <w:lang w:val="en-US" w:eastAsia="zh-CN"/>
                    </w:rPr>
                  </w:pPr>
                </w:p>
              </w:tc>
              <w:tc>
                <w:tcPr>
                  <w:tcW w:w="679" w:type="pct"/>
                  <w:noWrap w:val="0"/>
                  <w:vAlign w:val="center"/>
                </w:tcPr>
                <w:p w14:paraId="37DAFA51">
                  <w:pPr>
                    <w:pStyle w:val="32"/>
                    <w:spacing w:before="48" w:after="48"/>
                    <w:rPr>
                      <w:rFonts w:hint="eastAsia" w:ascii="Times New Roman" w:hAnsi="Times New Roman" w:eastAsia="宋体" w:cs="宋体"/>
                      <w:color w:val="auto"/>
                      <w:kern w:val="2"/>
                      <w:sz w:val="21"/>
                      <w:szCs w:val="21"/>
                      <w:lang w:val="en-US" w:eastAsia="zh-CN" w:bidi="ar-SA"/>
                    </w:rPr>
                  </w:pPr>
                  <w:r>
                    <w:rPr>
                      <w:rFonts w:hint="eastAsia" w:ascii="Times New Roman" w:hAnsi="Times New Roman"/>
                      <w:color w:val="auto"/>
                      <w:szCs w:val="21"/>
                      <w:lang w:val="en-US" w:eastAsia="zh-CN"/>
                    </w:rPr>
                    <w:t>60</w:t>
                  </w:r>
                </w:p>
              </w:tc>
              <w:tc>
                <w:tcPr>
                  <w:tcW w:w="421" w:type="pct"/>
                  <w:vMerge w:val="continue"/>
                  <w:noWrap w:val="0"/>
                  <w:vAlign w:val="center"/>
                </w:tcPr>
                <w:p w14:paraId="306EE79D">
                  <w:pPr>
                    <w:jc w:val="center"/>
                    <w:rPr>
                      <w:rFonts w:hint="eastAsia"/>
                      <w:color w:val="auto"/>
                      <w:szCs w:val="21"/>
                    </w:rPr>
                  </w:pPr>
                </w:p>
              </w:tc>
              <w:tc>
                <w:tcPr>
                  <w:tcW w:w="415" w:type="pct"/>
                  <w:noWrap w:val="0"/>
                  <w:vAlign w:val="center"/>
                </w:tcPr>
                <w:p w14:paraId="3981F97E">
                  <w:pPr>
                    <w:jc w:val="center"/>
                    <w:rPr>
                      <w:rFonts w:hint="eastAsia" w:eastAsia="宋体"/>
                      <w:color w:val="auto"/>
                      <w:kern w:val="2"/>
                      <w:sz w:val="21"/>
                      <w:szCs w:val="21"/>
                      <w:lang w:val="en-US" w:eastAsia="zh-CN" w:bidi="ar-SA"/>
                    </w:rPr>
                  </w:pPr>
                  <w:r>
                    <w:rPr>
                      <w:rFonts w:hint="eastAsia"/>
                      <w:color w:val="auto"/>
                      <w:szCs w:val="21"/>
                      <w:lang w:val="en-US" w:eastAsia="zh-CN"/>
                    </w:rPr>
                    <w:t>5</w:t>
                  </w:r>
                </w:p>
              </w:tc>
              <w:tc>
                <w:tcPr>
                  <w:tcW w:w="479" w:type="pct"/>
                  <w:noWrap w:val="0"/>
                  <w:vAlign w:val="center"/>
                </w:tcPr>
                <w:p w14:paraId="48443891">
                  <w:pPr>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55</w:t>
                  </w:r>
                </w:p>
              </w:tc>
              <w:tc>
                <w:tcPr>
                  <w:tcW w:w="358" w:type="pct"/>
                  <w:noWrap w:val="0"/>
                  <w:vAlign w:val="center"/>
                </w:tcPr>
                <w:p w14:paraId="3798F021">
                  <w:pPr>
                    <w:jc w:val="center"/>
                    <w:rPr>
                      <w:rFonts w:hint="default" w:eastAsia="宋体"/>
                      <w:color w:val="auto"/>
                      <w:szCs w:val="21"/>
                      <w:lang w:val="en-US" w:eastAsia="zh-CN"/>
                    </w:rPr>
                  </w:pPr>
                  <w:r>
                    <w:rPr>
                      <w:rFonts w:hint="eastAsia" w:eastAsia="宋体"/>
                      <w:color w:val="auto"/>
                      <w:szCs w:val="21"/>
                      <w:lang w:val="en-US" w:eastAsia="zh-CN"/>
                    </w:rPr>
                    <w:t>23.82</w:t>
                  </w:r>
                </w:p>
              </w:tc>
              <w:tc>
                <w:tcPr>
                  <w:tcW w:w="403" w:type="pct"/>
                  <w:noWrap w:val="0"/>
                  <w:vAlign w:val="center"/>
                </w:tcPr>
                <w:p w14:paraId="2C573C31">
                  <w:pPr>
                    <w:jc w:val="center"/>
                    <w:rPr>
                      <w:rFonts w:hint="default" w:eastAsia="宋体"/>
                      <w:color w:val="auto"/>
                      <w:szCs w:val="21"/>
                      <w:lang w:val="en-US" w:eastAsia="zh-CN"/>
                    </w:rPr>
                  </w:pPr>
                  <w:r>
                    <w:rPr>
                      <w:rFonts w:hint="eastAsia" w:eastAsia="宋体"/>
                      <w:color w:val="auto"/>
                      <w:szCs w:val="21"/>
                      <w:lang w:val="en-US" w:eastAsia="zh-CN"/>
                    </w:rPr>
                    <w:t>4.35</w:t>
                  </w:r>
                </w:p>
              </w:tc>
              <w:tc>
                <w:tcPr>
                  <w:tcW w:w="431" w:type="pct"/>
                  <w:noWrap w:val="0"/>
                  <w:vAlign w:val="center"/>
                </w:tcPr>
                <w:p w14:paraId="0A65EF2F">
                  <w:pPr>
                    <w:jc w:val="center"/>
                    <w:rPr>
                      <w:rFonts w:hint="eastAsia" w:eastAsia="宋体"/>
                      <w:color w:val="auto"/>
                      <w:kern w:val="2"/>
                      <w:sz w:val="21"/>
                      <w:szCs w:val="21"/>
                      <w:lang w:val="en-US" w:eastAsia="zh-CN" w:bidi="ar-SA"/>
                    </w:rPr>
                  </w:pPr>
                  <w:r>
                    <w:rPr>
                      <w:rFonts w:hint="eastAsia"/>
                      <w:color w:val="auto"/>
                      <w:szCs w:val="21"/>
                      <w:lang w:val="en-US" w:eastAsia="zh-CN"/>
                    </w:rPr>
                    <w:t>1</w:t>
                  </w:r>
                </w:p>
              </w:tc>
              <w:tc>
                <w:tcPr>
                  <w:tcW w:w="279" w:type="pct"/>
                  <w:vMerge w:val="continue"/>
                  <w:noWrap w:val="0"/>
                  <w:vAlign w:val="center"/>
                </w:tcPr>
                <w:p w14:paraId="21E15CBB">
                  <w:pPr>
                    <w:jc w:val="center"/>
                    <w:rPr>
                      <w:rFonts w:hint="eastAsia"/>
                      <w:color w:val="auto"/>
                      <w:szCs w:val="21"/>
                    </w:rPr>
                  </w:pPr>
                </w:p>
              </w:tc>
              <w:tc>
                <w:tcPr>
                  <w:tcW w:w="389" w:type="pct"/>
                  <w:vMerge w:val="continue"/>
                  <w:noWrap w:val="0"/>
                  <w:vAlign w:val="center"/>
                </w:tcPr>
                <w:p w14:paraId="34EE9AB5">
                  <w:pPr>
                    <w:jc w:val="center"/>
                    <w:rPr>
                      <w:rFonts w:hint="eastAsia"/>
                      <w:color w:val="auto"/>
                      <w:szCs w:val="21"/>
                    </w:rPr>
                  </w:pPr>
                </w:p>
              </w:tc>
            </w:tr>
            <w:tr w14:paraId="0D5558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continue"/>
                  <w:noWrap w:val="0"/>
                  <w:vAlign w:val="center"/>
                </w:tcPr>
                <w:p w14:paraId="3602BB7F">
                  <w:pPr>
                    <w:pStyle w:val="10"/>
                    <w:jc w:val="center"/>
                    <w:rPr>
                      <w:rFonts w:hint="eastAsia"/>
                      <w:color w:val="auto"/>
                      <w:kern w:val="2"/>
                      <w:sz w:val="21"/>
                      <w:szCs w:val="21"/>
                      <w:lang w:val="en-US" w:eastAsia="zh-CN"/>
                    </w:rPr>
                  </w:pPr>
                </w:p>
              </w:tc>
              <w:tc>
                <w:tcPr>
                  <w:tcW w:w="373" w:type="pct"/>
                  <w:vMerge w:val="continue"/>
                  <w:noWrap w:val="0"/>
                  <w:vAlign w:val="center"/>
                </w:tcPr>
                <w:p w14:paraId="09D6769B">
                  <w:pPr>
                    <w:pStyle w:val="32"/>
                    <w:spacing w:before="48" w:after="48"/>
                    <w:rPr>
                      <w:rFonts w:hint="eastAsia" w:ascii="Times New Roman" w:hAnsi="Times New Roman"/>
                      <w:color w:val="auto"/>
                      <w:szCs w:val="21"/>
                      <w:lang w:val="en-US" w:eastAsia="zh-CN"/>
                    </w:rPr>
                  </w:pPr>
                </w:p>
              </w:tc>
              <w:tc>
                <w:tcPr>
                  <w:tcW w:w="679" w:type="pct"/>
                  <w:noWrap w:val="0"/>
                  <w:vAlign w:val="center"/>
                </w:tcPr>
                <w:p w14:paraId="78C717A8">
                  <w:pPr>
                    <w:pStyle w:val="32"/>
                    <w:spacing w:before="48" w:after="48"/>
                    <w:rPr>
                      <w:rFonts w:hint="eastAsia" w:ascii="Times New Roman" w:hAnsi="Times New Roman" w:eastAsia="宋体" w:cs="宋体"/>
                      <w:color w:val="auto"/>
                      <w:kern w:val="2"/>
                      <w:sz w:val="21"/>
                      <w:szCs w:val="21"/>
                      <w:lang w:val="en-US" w:eastAsia="zh-CN" w:bidi="ar-SA"/>
                    </w:rPr>
                  </w:pPr>
                  <w:r>
                    <w:rPr>
                      <w:rFonts w:hint="eastAsia" w:ascii="Times New Roman" w:hAnsi="Times New Roman"/>
                      <w:color w:val="auto"/>
                      <w:szCs w:val="21"/>
                      <w:lang w:val="en-US" w:eastAsia="zh-CN"/>
                    </w:rPr>
                    <w:t>60</w:t>
                  </w:r>
                </w:p>
              </w:tc>
              <w:tc>
                <w:tcPr>
                  <w:tcW w:w="421" w:type="pct"/>
                  <w:vMerge w:val="continue"/>
                  <w:noWrap w:val="0"/>
                  <w:vAlign w:val="center"/>
                </w:tcPr>
                <w:p w14:paraId="366B0C82">
                  <w:pPr>
                    <w:jc w:val="center"/>
                    <w:rPr>
                      <w:rFonts w:hint="eastAsia"/>
                      <w:color w:val="auto"/>
                      <w:szCs w:val="21"/>
                    </w:rPr>
                  </w:pPr>
                </w:p>
              </w:tc>
              <w:tc>
                <w:tcPr>
                  <w:tcW w:w="415" w:type="pct"/>
                  <w:noWrap w:val="0"/>
                  <w:vAlign w:val="center"/>
                </w:tcPr>
                <w:p w14:paraId="15FF5207">
                  <w:pPr>
                    <w:jc w:val="center"/>
                    <w:rPr>
                      <w:rFonts w:hint="eastAsia" w:eastAsia="宋体"/>
                      <w:color w:val="auto"/>
                      <w:kern w:val="2"/>
                      <w:sz w:val="21"/>
                      <w:szCs w:val="21"/>
                      <w:lang w:val="en-US" w:eastAsia="zh-CN" w:bidi="ar-SA"/>
                    </w:rPr>
                  </w:pPr>
                  <w:r>
                    <w:rPr>
                      <w:rFonts w:hint="eastAsia"/>
                      <w:color w:val="auto"/>
                      <w:szCs w:val="21"/>
                      <w:lang w:val="en-US" w:eastAsia="zh-CN"/>
                    </w:rPr>
                    <w:t>5</w:t>
                  </w:r>
                </w:p>
              </w:tc>
              <w:tc>
                <w:tcPr>
                  <w:tcW w:w="479" w:type="pct"/>
                  <w:noWrap w:val="0"/>
                  <w:vAlign w:val="center"/>
                </w:tcPr>
                <w:p w14:paraId="5F7D6CD7">
                  <w:pPr>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55</w:t>
                  </w:r>
                </w:p>
              </w:tc>
              <w:tc>
                <w:tcPr>
                  <w:tcW w:w="358" w:type="pct"/>
                  <w:noWrap w:val="0"/>
                  <w:vAlign w:val="center"/>
                </w:tcPr>
                <w:p w14:paraId="658C4CD4">
                  <w:pPr>
                    <w:jc w:val="center"/>
                    <w:rPr>
                      <w:rFonts w:hint="default" w:eastAsia="宋体"/>
                      <w:color w:val="auto"/>
                      <w:szCs w:val="21"/>
                      <w:lang w:val="en-US" w:eastAsia="zh-CN"/>
                    </w:rPr>
                  </w:pPr>
                  <w:r>
                    <w:rPr>
                      <w:rFonts w:hint="eastAsia" w:eastAsia="宋体"/>
                      <w:color w:val="auto"/>
                      <w:szCs w:val="21"/>
                      <w:lang w:val="en-US" w:eastAsia="zh-CN"/>
                    </w:rPr>
                    <w:t>25.37</w:t>
                  </w:r>
                </w:p>
              </w:tc>
              <w:tc>
                <w:tcPr>
                  <w:tcW w:w="403" w:type="pct"/>
                  <w:noWrap w:val="0"/>
                  <w:vAlign w:val="center"/>
                </w:tcPr>
                <w:p w14:paraId="45BDEEBB">
                  <w:pPr>
                    <w:jc w:val="center"/>
                    <w:rPr>
                      <w:rFonts w:hint="default" w:eastAsia="宋体"/>
                      <w:color w:val="auto"/>
                      <w:szCs w:val="21"/>
                      <w:lang w:val="en-US" w:eastAsia="zh-CN"/>
                    </w:rPr>
                  </w:pPr>
                  <w:r>
                    <w:rPr>
                      <w:rFonts w:hint="eastAsia" w:eastAsia="宋体"/>
                      <w:color w:val="auto"/>
                      <w:szCs w:val="21"/>
                      <w:lang w:val="en-US" w:eastAsia="zh-CN"/>
                    </w:rPr>
                    <w:t>3.7</w:t>
                  </w:r>
                </w:p>
              </w:tc>
              <w:tc>
                <w:tcPr>
                  <w:tcW w:w="431" w:type="pct"/>
                  <w:noWrap w:val="0"/>
                  <w:vAlign w:val="center"/>
                </w:tcPr>
                <w:p w14:paraId="38E67358">
                  <w:pPr>
                    <w:jc w:val="center"/>
                    <w:rPr>
                      <w:rFonts w:hint="eastAsia"/>
                      <w:color w:val="auto"/>
                      <w:kern w:val="2"/>
                      <w:sz w:val="21"/>
                      <w:szCs w:val="21"/>
                      <w:lang w:val="en-US" w:eastAsia="zh-CN" w:bidi="ar-SA"/>
                    </w:rPr>
                  </w:pPr>
                  <w:r>
                    <w:rPr>
                      <w:rFonts w:hint="eastAsia"/>
                      <w:color w:val="auto"/>
                      <w:szCs w:val="21"/>
                    </w:rPr>
                    <w:t>1</w:t>
                  </w:r>
                </w:p>
              </w:tc>
              <w:tc>
                <w:tcPr>
                  <w:tcW w:w="279" w:type="pct"/>
                  <w:vMerge w:val="continue"/>
                  <w:noWrap w:val="0"/>
                  <w:vAlign w:val="center"/>
                </w:tcPr>
                <w:p w14:paraId="0FDBA1AF">
                  <w:pPr>
                    <w:jc w:val="center"/>
                    <w:rPr>
                      <w:rFonts w:hint="eastAsia"/>
                      <w:color w:val="auto"/>
                      <w:szCs w:val="21"/>
                    </w:rPr>
                  </w:pPr>
                </w:p>
              </w:tc>
              <w:tc>
                <w:tcPr>
                  <w:tcW w:w="389" w:type="pct"/>
                  <w:vMerge w:val="continue"/>
                  <w:noWrap w:val="0"/>
                  <w:vAlign w:val="center"/>
                </w:tcPr>
                <w:p w14:paraId="220C19F3">
                  <w:pPr>
                    <w:jc w:val="center"/>
                    <w:rPr>
                      <w:rFonts w:hint="eastAsia"/>
                      <w:color w:val="auto"/>
                      <w:szCs w:val="21"/>
                    </w:rPr>
                  </w:pPr>
                </w:p>
              </w:tc>
            </w:tr>
            <w:tr w14:paraId="644506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continue"/>
                  <w:noWrap w:val="0"/>
                  <w:vAlign w:val="center"/>
                </w:tcPr>
                <w:p w14:paraId="75842521">
                  <w:pPr>
                    <w:pStyle w:val="10"/>
                    <w:jc w:val="center"/>
                    <w:rPr>
                      <w:rFonts w:hint="eastAsia"/>
                      <w:color w:val="auto"/>
                      <w:kern w:val="2"/>
                      <w:sz w:val="21"/>
                      <w:szCs w:val="21"/>
                      <w:lang w:val="en-US" w:eastAsia="zh-CN"/>
                    </w:rPr>
                  </w:pPr>
                </w:p>
              </w:tc>
              <w:tc>
                <w:tcPr>
                  <w:tcW w:w="373" w:type="pct"/>
                  <w:vMerge w:val="continue"/>
                  <w:noWrap w:val="0"/>
                  <w:vAlign w:val="center"/>
                </w:tcPr>
                <w:p w14:paraId="5C983D75">
                  <w:pPr>
                    <w:pStyle w:val="32"/>
                    <w:spacing w:before="48" w:after="48"/>
                    <w:rPr>
                      <w:rFonts w:hint="eastAsia" w:ascii="Times New Roman" w:hAnsi="Times New Roman"/>
                      <w:color w:val="auto"/>
                      <w:szCs w:val="21"/>
                      <w:lang w:val="en-US" w:eastAsia="zh-CN"/>
                    </w:rPr>
                  </w:pPr>
                </w:p>
              </w:tc>
              <w:tc>
                <w:tcPr>
                  <w:tcW w:w="679" w:type="pct"/>
                  <w:noWrap w:val="0"/>
                  <w:vAlign w:val="center"/>
                </w:tcPr>
                <w:p w14:paraId="5FBD6DFA">
                  <w:pPr>
                    <w:pStyle w:val="32"/>
                    <w:spacing w:before="48" w:after="48"/>
                    <w:rPr>
                      <w:rFonts w:hint="eastAsia" w:ascii="Times New Roman" w:hAnsi="Times New Roman" w:eastAsia="宋体" w:cs="宋体"/>
                      <w:color w:val="auto"/>
                      <w:kern w:val="2"/>
                      <w:sz w:val="21"/>
                      <w:szCs w:val="21"/>
                      <w:lang w:val="en-US" w:eastAsia="zh-CN" w:bidi="ar-SA"/>
                    </w:rPr>
                  </w:pPr>
                  <w:r>
                    <w:rPr>
                      <w:rFonts w:hint="eastAsia" w:ascii="Times New Roman" w:hAnsi="Times New Roman"/>
                      <w:color w:val="auto"/>
                      <w:szCs w:val="21"/>
                      <w:lang w:val="en-US" w:eastAsia="zh-CN"/>
                    </w:rPr>
                    <w:t>60</w:t>
                  </w:r>
                </w:p>
              </w:tc>
              <w:tc>
                <w:tcPr>
                  <w:tcW w:w="421" w:type="pct"/>
                  <w:vMerge w:val="continue"/>
                  <w:noWrap w:val="0"/>
                  <w:vAlign w:val="center"/>
                </w:tcPr>
                <w:p w14:paraId="0553CDB9">
                  <w:pPr>
                    <w:jc w:val="center"/>
                    <w:rPr>
                      <w:rFonts w:hint="eastAsia"/>
                      <w:color w:val="auto"/>
                      <w:szCs w:val="21"/>
                    </w:rPr>
                  </w:pPr>
                </w:p>
              </w:tc>
              <w:tc>
                <w:tcPr>
                  <w:tcW w:w="415" w:type="pct"/>
                  <w:noWrap w:val="0"/>
                  <w:vAlign w:val="center"/>
                </w:tcPr>
                <w:p w14:paraId="4755D31F">
                  <w:pPr>
                    <w:jc w:val="center"/>
                    <w:rPr>
                      <w:rFonts w:hint="eastAsia" w:eastAsia="宋体"/>
                      <w:color w:val="auto"/>
                      <w:kern w:val="2"/>
                      <w:sz w:val="21"/>
                      <w:szCs w:val="21"/>
                      <w:lang w:val="en-US" w:eastAsia="zh-CN" w:bidi="ar-SA"/>
                    </w:rPr>
                  </w:pPr>
                  <w:r>
                    <w:rPr>
                      <w:rFonts w:hint="eastAsia"/>
                      <w:color w:val="auto"/>
                      <w:szCs w:val="21"/>
                      <w:lang w:val="en-US" w:eastAsia="zh-CN"/>
                    </w:rPr>
                    <w:t>5</w:t>
                  </w:r>
                </w:p>
              </w:tc>
              <w:tc>
                <w:tcPr>
                  <w:tcW w:w="479" w:type="pct"/>
                  <w:noWrap w:val="0"/>
                  <w:vAlign w:val="center"/>
                </w:tcPr>
                <w:p w14:paraId="02FEDDCD">
                  <w:pPr>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55</w:t>
                  </w:r>
                </w:p>
              </w:tc>
              <w:tc>
                <w:tcPr>
                  <w:tcW w:w="358" w:type="pct"/>
                  <w:noWrap w:val="0"/>
                  <w:vAlign w:val="center"/>
                </w:tcPr>
                <w:p w14:paraId="41DC5851">
                  <w:pPr>
                    <w:jc w:val="center"/>
                    <w:rPr>
                      <w:rFonts w:hint="default"/>
                      <w:color w:val="auto"/>
                      <w:szCs w:val="21"/>
                      <w:lang w:val="en-US" w:eastAsia="zh-CN"/>
                    </w:rPr>
                  </w:pPr>
                  <w:r>
                    <w:rPr>
                      <w:rFonts w:hint="eastAsia"/>
                      <w:color w:val="auto"/>
                      <w:szCs w:val="21"/>
                      <w:lang w:val="en-US" w:eastAsia="zh-CN"/>
                    </w:rPr>
                    <w:t>27</w:t>
                  </w:r>
                </w:p>
              </w:tc>
              <w:tc>
                <w:tcPr>
                  <w:tcW w:w="403" w:type="pct"/>
                  <w:noWrap w:val="0"/>
                  <w:vAlign w:val="center"/>
                </w:tcPr>
                <w:p w14:paraId="2F3D00DA">
                  <w:pPr>
                    <w:jc w:val="center"/>
                    <w:rPr>
                      <w:rFonts w:hint="default"/>
                      <w:color w:val="auto"/>
                      <w:szCs w:val="21"/>
                      <w:lang w:val="en-US" w:eastAsia="zh-CN"/>
                    </w:rPr>
                  </w:pPr>
                  <w:r>
                    <w:rPr>
                      <w:rFonts w:hint="eastAsia"/>
                      <w:color w:val="auto"/>
                      <w:szCs w:val="21"/>
                      <w:lang w:val="en-US" w:eastAsia="zh-CN"/>
                    </w:rPr>
                    <w:t>3.09</w:t>
                  </w:r>
                </w:p>
              </w:tc>
              <w:tc>
                <w:tcPr>
                  <w:tcW w:w="431" w:type="pct"/>
                  <w:noWrap w:val="0"/>
                  <w:vAlign w:val="center"/>
                </w:tcPr>
                <w:p w14:paraId="101FA1F1">
                  <w:pPr>
                    <w:jc w:val="center"/>
                    <w:rPr>
                      <w:rFonts w:hint="eastAsia"/>
                      <w:color w:val="auto"/>
                      <w:kern w:val="2"/>
                      <w:sz w:val="21"/>
                      <w:szCs w:val="21"/>
                      <w:lang w:val="en-US" w:eastAsia="zh-CN" w:bidi="ar-SA"/>
                    </w:rPr>
                  </w:pPr>
                  <w:r>
                    <w:rPr>
                      <w:rFonts w:hint="eastAsia"/>
                      <w:color w:val="auto"/>
                      <w:szCs w:val="21"/>
                    </w:rPr>
                    <w:t>1</w:t>
                  </w:r>
                </w:p>
              </w:tc>
              <w:tc>
                <w:tcPr>
                  <w:tcW w:w="279" w:type="pct"/>
                  <w:vMerge w:val="continue"/>
                  <w:noWrap w:val="0"/>
                  <w:vAlign w:val="center"/>
                </w:tcPr>
                <w:p w14:paraId="524FCD30">
                  <w:pPr>
                    <w:jc w:val="center"/>
                    <w:rPr>
                      <w:rFonts w:hint="eastAsia"/>
                      <w:color w:val="auto"/>
                      <w:szCs w:val="21"/>
                    </w:rPr>
                  </w:pPr>
                </w:p>
              </w:tc>
              <w:tc>
                <w:tcPr>
                  <w:tcW w:w="389" w:type="pct"/>
                  <w:vMerge w:val="continue"/>
                  <w:noWrap w:val="0"/>
                  <w:vAlign w:val="center"/>
                </w:tcPr>
                <w:p w14:paraId="4DA2E6ED">
                  <w:pPr>
                    <w:jc w:val="center"/>
                    <w:rPr>
                      <w:rFonts w:hint="eastAsia"/>
                      <w:color w:val="auto"/>
                      <w:szCs w:val="21"/>
                    </w:rPr>
                  </w:pPr>
                </w:p>
              </w:tc>
            </w:tr>
            <w:tr w14:paraId="43DF15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continue"/>
                  <w:noWrap w:val="0"/>
                  <w:vAlign w:val="center"/>
                </w:tcPr>
                <w:p w14:paraId="4A97FC31">
                  <w:pPr>
                    <w:pStyle w:val="10"/>
                    <w:jc w:val="center"/>
                    <w:rPr>
                      <w:rFonts w:hint="eastAsia"/>
                      <w:color w:val="auto"/>
                      <w:kern w:val="2"/>
                      <w:sz w:val="21"/>
                      <w:szCs w:val="21"/>
                      <w:lang w:val="en-US" w:eastAsia="zh-CN"/>
                    </w:rPr>
                  </w:pPr>
                </w:p>
              </w:tc>
              <w:tc>
                <w:tcPr>
                  <w:tcW w:w="373" w:type="pct"/>
                  <w:vMerge w:val="continue"/>
                  <w:noWrap w:val="0"/>
                  <w:vAlign w:val="center"/>
                </w:tcPr>
                <w:p w14:paraId="40A64686">
                  <w:pPr>
                    <w:pStyle w:val="32"/>
                    <w:spacing w:before="48" w:after="48"/>
                    <w:rPr>
                      <w:rFonts w:hint="eastAsia" w:ascii="Times New Roman" w:hAnsi="Times New Roman"/>
                      <w:color w:val="auto"/>
                      <w:szCs w:val="21"/>
                      <w:lang w:val="en-US" w:eastAsia="zh-CN"/>
                    </w:rPr>
                  </w:pPr>
                </w:p>
              </w:tc>
              <w:tc>
                <w:tcPr>
                  <w:tcW w:w="679" w:type="pct"/>
                  <w:noWrap w:val="0"/>
                  <w:vAlign w:val="center"/>
                </w:tcPr>
                <w:p w14:paraId="0DF9F650">
                  <w:pPr>
                    <w:pStyle w:val="32"/>
                    <w:spacing w:before="48" w:after="48"/>
                    <w:rPr>
                      <w:rFonts w:hint="eastAsia" w:ascii="Times New Roman" w:hAnsi="Times New Roman" w:eastAsia="宋体" w:cs="宋体"/>
                      <w:color w:val="auto"/>
                      <w:kern w:val="2"/>
                      <w:sz w:val="21"/>
                      <w:szCs w:val="21"/>
                      <w:lang w:val="en-US" w:eastAsia="zh-CN" w:bidi="ar-SA"/>
                    </w:rPr>
                  </w:pPr>
                  <w:r>
                    <w:rPr>
                      <w:rFonts w:hint="eastAsia" w:ascii="Times New Roman" w:hAnsi="Times New Roman"/>
                      <w:color w:val="auto"/>
                      <w:szCs w:val="21"/>
                      <w:lang w:val="en-US" w:eastAsia="zh-CN"/>
                    </w:rPr>
                    <w:t>60</w:t>
                  </w:r>
                </w:p>
              </w:tc>
              <w:tc>
                <w:tcPr>
                  <w:tcW w:w="421" w:type="pct"/>
                  <w:vMerge w:val="continue"/>
                  <w:noWrap w:val="0"/>
                  <w:vAlign w:val="center"/>
                </w:tcPr>
                <w:p w14:paraId="06BFC08E">
                  <w:pPr>
                    <w:jc w:val="center"/>
                    <w:rPr>
                      <w:rFonts w:hint="eastAsia"/>
                      <w:color w:val="auto"/>
                      <w:szCs w:val="21"/>
                    </w:rPr>
                  </w:pPr>
                </w:p>
              </w:tc>
              <w:tc>
                <w:tcPr>
                  <w:tcW w:w="415" w:type="pct"/>
                  <w:noWrap w:val="0"/>
                  <w:vAlign w:val="center"/>
                </w:tcPr>
                <w:p w14:paraId="1C9C38E6">
                  <w:pPr>
                    <w:jc w:val="center"/>
                    <w:rPr>
                      <w:rFonts w:hint="eastAsia" w:eastAsia="宋体"/>
                      <w:color w:val="auto"/>
                      <w:kern w:val="2"/>
                      <w:sz w:val="21"/>
                      <w:szCs w:val="21"/>
                      <w:lang w:val="en-US" w:eastAsia="zh-CN" w:bidi="ar-SA"/>
                    </w:rPr>
                  </w:pPr>
                  <w:r>
                    <w:rPr>
                      <w:rFonts w:hint="eastAsia"/>
                      <w:color w:val="auto"/>
                      <w:szCs w:val="21"/>
                      <w:lang w:val="en-US" w:eastAsia="zh-CN"/>
                    </w:rPr>
                    <w:t>5</w:t>
                  </w:r>
                </w:p>
              </w:tc>
              <w:tc>
                <w:tcPr>
                  <w:tcW w:w="479" w:type="pct"/>
                  <w:noWrap w:val="0"/>
                  <w:vAlign w:val="center"/>
                </w:tcPr>
                <w:p w14:paraId="566A98C2">
                  <w:pPr>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55</w:t>
                  </w:r>
                </w:p>
              </w:tc>
              <w:tc>
                <w:tcPr>
                  <w:tcW w:w="358" w:type="pct"/>
                  <w:noWrap w:val="0"/>
                  <w:vAlign w:val="center"/>
                </w:tcPr>
                <w:p w14:paraId="2A489905">
                  <w:pPr>
                    <w:jc w:val="center"/>
                    <w:rPr>
                      <w:rFonts w:hint="default"/>
                      <w:color w:val="auto"/>
                      <w:szCs w:val="21"/>
                      <w:lang w:val="en-US" w:eastAsia="zh-CN"/>
                    </w:rPr>
                  </w:pPr>
                  <w:r>
                    <w:rPr>
                      <w:rFonts w:hint="eastAsia"/>
                      <w:color w:val="auto"/>
                      <w:szCs w:val="21"/>
                      <w:lang w:val="en-US" w:eastAsia="zh-CN"/>
                    </w:rPr>
                    <w:t>28.66</w:t>
                  </w:r>
                </w:p>
              </w:tc>
              <w:tc>
                <w:tcPr>
                  <w:tcW w:w="403" w:type="pct"/>
                  <w:noWrap w:val="0"/>
                  <w:vAlign w:val="center"/>
                </w:tcPr>
                <w:p w14:paraId="58B59F07">
                  <w:pPr>
                    <w:jc w:val="center"/>
                    <w:rPr>
                      <w:rFonts w:hint="default"/>
                      <w:color w:val="auto"/>
                      <w:szCs w:val="21"/>
                      <w:lang w:val="en-US" w:eastAsia="zh-CN"/>
                    </w:rPr>
                  </w:pPr>
                  <w:r>
                    <w:rPr>
                      <w:rFonts w:hint="eastAsia"/>
                      <w:color w:val="auto"/>
                      <w:szCs w:val="21"/>
                      <w:lang w:val="en-US" w:eastAsia="zh-CN"/>
                    </w:rPr>
                    <w:t>2.4</w:t>
                  </w:r>
                </w:p>
              </w:tc>
              <w:tc>
                <w:tcPr>
                  <w:tcW w:w="431" w:type="pct"/>
                  <w:noWrap w:val="0"/>
                  <w:vAlign w:val="center"/>
                </w:tcPr>
                <w:p w14:paraId="1CE7DC31">
                  <w:pPr>
                    <w:jc w:val="center"/>
                    <w:rPr>
                      <w:rFonts w:hint="eastAsia" w:eastAsia="宋体"/>
                      <w:color w:val="auto"/>
                      <w:kern w:val="2"/>
                      <w:sz w:val="21"/>
                      <w:szCs w:val="21"/>
                      <w:lang w:val="en-US" w:eastAsia="zh-CN" w:bidi="ar-SA"/>
                    </w:rPr>
                  </w:pPr>
                  <w:r>
                    <w:rPr>
                      <w:rFonts w:hint="eastAsia"/>
                      <w:color w:val="auto"/>
                      <w:szCs w:val="21"/>
                      <w:lang w:val="en-US" w:eastAsia="zh-CN"/>
                    </w:rPr>
                    <w:t>1</w:t>
                  </w:r>
                </w:p>
              </w:tc>
              <w:tc>
                <w:tcPr>
                  <w:tcW w:w="279" w:type="pct"/>
                  <w:vMerge w:val="continue"/>
                  <w:noWrap w:val="0"/>
                  <w:vAlign w:val="center"/>
                </w:tcPr>
                <w:p w14:paraId="62E1B096">
                  <w:pPr>
                    <w:jc w:val="center"/>
                    <w:rPr>
                      <w:rFonts w:hint="eastAsia"/>
                      <w:color w:val="auto"/>
                      <w:szCs w:val="21"/>
                    </w:rPr>
                  </w:pPr>
                </w:p>
              </w:tc>
              <w:tc>
                <w:tcPr>
                  <w:tcW w:w="389" w:type="pct"/>
                  <w:vMerge w:val="continue"/>
                  <w:noWrap w:val="0"/>
                  <w:vAlign w:val="center"/>
                </w:tcPr>
                <w:p w14:paraId="14C86E80">
                  <w:pPr>
                    <w:jc w:val="center"/>
                    <w:rPr>
                      <w:rFonts w:hint="eastAsia"/>
                      <w:color w:val="auto"/>
                      <w:szCs w:val="21"/>
                    </w:rPr>
                  </w:pPr>
                </w:p>
              </w:tc>
            </w:tr>
            <w:tr w14:paraId="615309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continue"/>
                  <w:noWrap w:val="0"/>
                  <w:vAlign w:val="center"/>
                </w:tcPr>
                <w:p w14:paraId="465A123E">
                  <w:pPr>
                    <w:pStyle w:val="10"/>
                    <w:jc w:val="center"/>
                    <w:rPr>
                      <w:rFonts w:hint="eastAsia"/>
                      <w:color w:val="auto"/>
                      <w:kern w:val="2"/>
                      <w:sz w:val="21"/>
                      <w:szCs w:val="21"/>
                      <w:lang w:val="en-US" w:eastAsia="zh-CN"/>
                    </w:rPr>
                  </w:pPr>
                </w:p>
              </w:tc>
              <w:tc>
                <w:tcPr>
                  <w:tcW w:w="373" w:type="pct"/>
                  <w:vMerge w:val="continue"/>
                  <w:noWrap w:val="0"/>
                  <w:vAlign w:val="center"/>
                </w:tcPr>
                <w:p w14:paraId="110A0798">
                  <w:pPr>
                    <w:pStyle w:val="32"/>
                    <w:spacing w:before="48" w:after="48"/>
                    <w:rPr>
                      <w:rFonts w:hint="eastAsia" w:ascii="Times New Roman" w:hAnsi="Times New Roman"/>
                      <w:color w:val="auto"/>
                      <w:szCs w:val="21"/>
                      <w:lang w:val="en-US" w:eastAsia="zh-CN"/>
                    </w:rPr>
                  </w:pPr>
                </w:p>
              </w:tc>
              <w:tc>
                <w:tcPr>
                  <w:tcW w:w="679" w:type="pct"/>
                  <w:noWrap w:val="0"/>
                  <w:vAlign w:val="center"/>
                </w:tcPr>
                <w:p w14:paraId="695CAD88">
                  <w:pPr>
                    <w:pStyle w:val="32"/>
                    <w:spacing w:before="48" w:after="48"/>
                    <w:rPr>
                      <w:rFonts w:hint="eastAsia" w:ascii="Times New Roman" w:hAnsi="Times New Roman" w:eastAsia="宋体" w:cs="宋体"/>
                      <w:color w:val="auto"/>
                      <w:kern w:val="2"/>
                      <w:sz w:val="21"/>
                      <w:szCs w:val="21"/>
                      <w:lang w:val="en-US" w:eastAsia="zh-CN" w:bidi="ar-SA"/>
                    </w:rPr>
                  </w:pPr>
                  <w:r>
                    <w:rPr>
                      <w:rFonts w:hint="eastAsia" w:ascii="Times New Roman" w:hAnsi="Times New Roman"/>
                      <w:color w:val="auto"/>
                      <w:szCs w:val="21"/>
                      <w:lang w:val="en-US" w:eastAsia="zh-CN"/>
                    </w:rPr>
                    <w:t>60</w:t>
                  </w:r>
                </w:p>
              </w:tc>
              <w:tc>
                <w:tcPr>
                  <w:tcW w:w="421" w:type="pct"/>
                  <w:vMerge w:val="continue"/>
                  <w:noWrap w:val="0"/>
                  <w:vAlign w:val="center"/>
                </w:tcPr>
                <w:p w14:paraId="15AB2348">
                  <w:pPr>
                    <w:jc w:val="center"/>
                    <w:rPr>
                      <w:rFonts w:hint="eastAsia"/>
                      <w:color w:val="auto"/>
                      <w:szCs w:val="21"/>
                    </w:rPr>
                  </w:pPr>
                </w:p>
              </w:tc>
              <w:tc>
                <w:tcPr>
                  <w:tcW w:w="415" w:type="pct"/>
                  <w:noWrap w:val="0"/>
                  <w:vAlign w:val="center"/>
                </w:tcPr>
                <w:p w14:paraId="5608A260">
                  <w:pPr>
                    <w:jc w:val="center"/>
                    <w:rPr>
                      <w:rFonts w:hint="eastAsia" w:eastAsia="宋体"/>
                      <w:color w:val="auto"/>
                      <w:kern w:val="2"/>
                      <w:sz w:val="21"/>
                      <w:szCs w:val="21"/>
                      <w:lang w:val="en-US" w:eastAsia="zh-CN" w:bidi="ar-SA"/>
                    </w:rPr>
                  </w:pPr>
                  <w:r>
                    <w:rPr>
                      <w:rFonts w:hint="eastAsia"/>
                      <w:color w:val="auto"/>
                      <w:szCs w:val="21"/>
                      <w:lang w:val="en-US" w:eastAsia="zh-CN"/>
                    </w:rPr>
                    <w:t>5</w:t>
                  </w:r>
                </w:p>
              </w:tc>
              <w:tc>
                <w:tcPr>
                  <w:tcW w:w="479" w:type="pct"/>
                  <w:noWrap w:val="0"/>
                  <w:vAlign w:val="center"/>
                </w:tcPr>
                <w:p w14:paraId="336D8816">
                  <w:pPr>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55</w:t>
                  </w:r>
                </w:p>
              </w:tc>
              <w:tc>
                <w:tcPr>
                  <w:tcW w:w="358" w:type="pct"/>
                  <w:noWrap w:val="0"/>
                  <w:vAlign w:val="center"/>
                </w:tcPr>
                <w:p w14:paraId="49821A84">
                  <w:pPr>
                    <w:jc w:val="center"/>
                    <w:rPr>
                      <w:rFonts w:hint="default"/>
                      <w:color w:val="auto"/>
                      <w:szCs w:val="21"/>
                      <w:lang w:val="en-US" w:eastAsia="zh-CN"/>
                    </w:rPr>
                  </w:pPr>
                  <w:r>
                    <w:rPr>
                      <w:rFonts w:hint="eastAsia"/>
                      <w:color w:val="auto"/>
                      <w:szCs w:val="21"/>
                      <w:lang w:val="en-US" w:eastAsia="zh-CN"/>
                    </w:rPr>
                    <w:t>30.36</w:t>
                  </w:r>
                </w:p>
              </w:tc>
              <w:tc>
                <w:tcPr>
                  <w:tcW w:w="403" w:type="pct"/>
                  <w:noWrap w:val="0"/>
                  <w:vAlign w:val="center"/>
                </w:tcPr>
                <w:p w14:paraId="4923C311">
                  <w:pPr>
                    <w:jc w:val="center"/>
                    <w:rPr>
                      <w:rFonts w:hint="default"/>
                      <w:color w:val="auto"/>
                      <w:szCs w:val="21"/>
                      <w:lang w:val="en-US" w:eastAsia="zh-CN"/>
                    </w:rPr>
                  </w:pPr>
                  <w:r>
                    <w:rPr>
                      <w:rFonts w:hint="eastAsia"/>
                      <w:color w:val="auto"/>
                      <w:szCs w:val="21"/>
                      <w:lang w:val="en-US" w:eastAsia="zh-CN"/>
                    </w:rPr>
                    <w:t>1.82</w:t>
                  </w:r>
                </w:p>
              </w:tc>
              <w:tc>
                <w:tcPr>
                  <w:tcW w:w="431" w:type="pct"/>
                  <w:noWrap w:val="0"/>
                  <w:vAlign w:val="center"/>
                </w:tcPr>
                <w:p w14:paraId="3D1F71C5">
                  <w:pPr>
                    <w:jc w:val="center"/>
                    <w:rPr>
                      <w:rFonts w:hint="eastAsia"/>
                      <w:color w:val="auto"/>
                      <w:kern w:val="2"/>
                      <w:sz w:val="21"/>
                      <w:szCs w:val="21"/>
                      <w:lang w:val="en-US" w:eastAsia="zh-CN" w:bidi="ar-SA"/>
                    </w:rPr>
                  </w:pPr>
                  <w:r>
                    <w:rPr>
                      <w:rFonts w:hint="eastAsia"/>
                      <w:color w:val="auto"/>
                      <w:szCs w:val="21"/>
                    </w:rPr>
                    <w:t>1</w:t>
                  </w:r>
                </w:p>
              </w:tc>
              <w:tc>
                <w:tcPr>
                  <w:tcW w:w="279" w:type="pct"/>
                  <w:vMerge w:val="continue"/>
                  <w:noWrap w:val="0"/>
                  <w:vAlign w:val="center"/>
                </w:tcPr>
                <w:p w14:paraId="3C3E1497">
                  <w:pPr>
                    <w:jc w:val="center"/>
                    <w:rPr>
                      <w:rFonts w:hint="eastAsia"/>
                      <w:color w:val="auto"/>
                      <w:szCs w:val="21"/>
                    </w:rPr>
                  </w:pPr>
                </w:p>
              </w:tc>
              <w:tc>
                <w:tcPr>
                  <w:tcW w:w="389" w:type="pct"/>
                  <w:vMerge w:val="continue"/>
                  <w:noWrap w:val="0"/>
                  <w:vAlign w:val="center"/>
                </w:tcPr>
                <w:p w14:paraId="10E0953A">
                  <w:pPr>
                    <w:jc w:val="center"/>
                    <w:rPr>
                      <w:rFonts w:hint="eastAsia"/>
                      <w:color w:val="auto"/>
                      <w:szCs w:val="21"/>
                    </w:rPr>
                  </w:pPr>
                </w:p>
              </w:tc>
            </w:tr>
            <w:tr w14:paraId="015FDC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continue"/>
                  <w:noWrap w:val="0"/>
                  <w:vAlign w:val="center"/>
                </w:tcPr>
                <w:p w14:paraId="21C4C7E8">
                  <w:pPr>
                    <w:pStyle w:val="10"/>
                    <w:jc w:val="center"/>
                    <w:rPr>
                      <w:rFonts w:hint="eastAsia"/>
                      <w:color w:val="auto"/>
                      <w:kern w:val="2"/>
                      <w:sz w:val="21"/>
                      <w:szCs w:val="21"/>
                      <w:lang w:val="en-US" w:eastAsia="zh-CN"/>
                    </w:rPr>
                  </w:pPr>
                </w:p>
              </w:tc>
              <w:tc>
                <w:tcPr>
                  <w:tcW w:w="373" w:type="pct"/>
                  <w:vMerge w:val="continue"/>
                  <w:noWrap w:val="0"/>
                  <w:vAlign w:val="center"/>
                </w:tcPr>
                <w:p w14:paraId="58154F2B">
                  <w:pPr>
                    <w:pStyle w:val="32"/>
                    <w:spacing w:before="48" w:after="48"/>
                    <w:rPr>
                      <w:rFonts w:hint="eastAsia" w:ascii="Times New Roman" w:hAnsi="Times New Roman"/>
                      <w:color w:val="auto"/>
                      <w:szCs w:val="21"/>
                      <w:lang w:val="en-US" w:eastAsia="zh-CN"/>
                    </w:rPr>
                  </w:pPr>
                </w:p>
              </w:tc>
              <w:tc>
                <w:tcPr>
                  <w:tcW w:w="679" w:type="pct"/>
                  <w:noWrap w:val="0"/>
                  <w:vAlign w:val="center"/>
                </w:tcPr>
                <w:p w14:paraId="4F312B98">
                  <w:pPr>
                    <w:pStyle w:val="32"/>
                    <w:spacing w:before="48" w:after="48"/>
                    <w:rPr>
                      <w:rFonts w:hint="default" w:ascii="Times New Roman" w:hAnsi="Times New Roman" w:eastAsia="宋体" w:cs="宋体"/>
                      <w:color w:val="auto"/>
                      <w:kern w:val="2"/>
                      <w:sz w:val="21"/>
                      <w:szCs w:val="21"/>
                      <w:lang w:val="en-US" w:eastAsia="zh-CN" w:bidi="ar-SA"/>
                    </w:rPr>
                  </w:pPr>
                  <w:r>
                    <w:rPr>
                      <w:rFonts w:hint="eastAsia" w:ascii="Times New Roman" w:hAnsi="Times New Roman"/>
                      <w:color w:val="auto"/>
                      <w:szCs w:val="21"/>
                      <w:lang w:val="en-US" w:eastAsia="zh-CN"/>
                    </w:rPr>
                    <w:t>60</w:t>
                  </w:r>
                </w:p>
              </w:tc>
              <w:tc>
                <w:tcPr>
                  <w:tcW w:w="421" w:type="pct"/>
                  <w:vMerge w:val="continue"/>
                  <w:noWrap w:val="0"/>
                  <w:vAlign w:val="center"/>
                </w:tcPr>
                <w:p w14:paraId="2A590203">
                  <w:pPr>
                    <w:jc w:val="center"/>
                    <w:rPr>
                      <w:rFonts w:hint="eastAsia"/>
                      <w:color w:val="auto"/>
                      <w:szCs w:val="21"/>
                    </w:rPr>
                  </w:pPr>
                </w:p>
              </w:tc>
              <w:tc>
                <w:tcPr>
                  <w:tcW w:w="415" w:type="pct"/>
                  <w:noWrap w:val="0"/>
                  <w:vAlign w:val="center"/>
                </w:tcPr>
                <w:p w14:paraId="4284716A">
                  <w:pPr>
                    <w:jc w:val="center"/>
                    <w:rPr>
                      <w:rFonts w:hint="eastAsia" w:eastAsia="宋体"/>
                      <w:color w:val="auto"/>
                      <w:kern w:val="2"/>
                      <w:sz w:val="21"/>
                      <w:szCs w:val="21"/>
                      <w:lang w:val="en-US" w:eastAsia="zh-CN" w:bidi="ar-SA"/>
                    </w:rPr>
                  </w:pPr>
                  <w:r>
                    <w:rPr>
                      <w:rFonts w:hint="eastAsia"/>
                      <w:color w:val="auto"/>
                      <w:szCs w:val="21"/>
                      <w:lang w:val="en-US" w:eastAsia="zh-CN"/>
                    </w:rPr>
                    <w:t>5</w:t>
                  </w:r>
                </w:p>
              </w:tc>
              <w:tc>
                <w:tcPr>
                  <w:tcW w:w="479" w:type="pct"/>
                  <w:noWrap w:val="0"/>
                  <w:vAlign w:val="center"/>
                </w:tcPr>
                <w:p w14:paraId="10CF3F9F">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55</w:t>
                  </w:r>
                </w:p>
              </w:tc>
              <w:tc>
                <w:tcPr>
                  <w:tcW w:w="358" w:type="pct"/>
                  <w:noWrap w:val="0"/>
                  <w:vAlign w:val="center"/>
                </w:tcPr>
                <w:p w14:paraId="270FE153">
                  <w:pPr>
                    <w:jc w:val="center"/>
                    <w:rPr>
                      <w:rFonts w:hint="default" w:eastAsia="宋体"/>
                      <w:color w:val="auto"/>
                      <w:szCs w:val="21"/>
                      <w:lang w:val="en-US" w:eastAsia="zh-CN"/>
                    </w:rPr>
                  </w:pPr>
                  <w:r>
                    <w:rPr>
                      <w:rFonts w:hint="eastAsia" w:eastAsia="宋体"/>
                      <w:color w:val="auto"/>
                      <w:szCs w:val="21"/>
                      <w:lang w:val="en-US" w:eastAsia="zh-CN"/>
                    </w:rPr>
                    <w:t>18.55</w:t>
                  </w:r>
                </w:p>
              </w:tc>
              <w:tc>
                <w:tcPr>
                  <w:tcW w:w="403" w:type="pct"/>
                  <w:noWrap w:val="0"/>
                  <w:vAlign w:val="center"/>
                </w:tcPr>
                <w:p w14:paraId="29803EC5">
                  <w:pPr>
                    <w:jc w:val="center"/>
                    <w:rPr>
                      <w:rFonts w:hint="default" w:eastAsia="宋体"/>
                      <w:color w:val="auto"/>
                      <w:szCs w:val="21"/>
                      <w:lang w:val="en-US" w:eastAsia="zh-CN"/>
                    </w:rPr>
                  </w:pPr>
                  <w:r>
                    <w:rPr>
                      <w:rFonts w:hint="eastAsia" w:eastAsia="宋体"/>
                      <w:color w:val="auto"/>
                      <w:szCs w:val="21"/>
                      <w:lang w:val="en-US" w:eastAsia="zh-CN"/>
                    </w:rPr>
                    <w:t>6.16</w:t>
                  </w:r>
                </w:p>
              </w:tc>
              <w:tc>
                <w:tcPr>
                  <w:tcW w:w="431" w:type="pct"/>
                  <w:noWrap w:val="0"/>
                  <w:vAlign w:val="center"/>
                </w:tcPr>
                <w:p w14:paraId="49B176BE">
                  <w:pPr>
                    <w:jc w:val="center"/>
                    <w:rPr>
                      <w:rFonts w:hint="eastAsia"/>
                      <w:color w:val="auto"/>
                      <w:kern w:val="2"/>
                      <w:sz w:val="21"/>
                      <w:szCs w:val="21"/>
                      <w:lang w:val="en-US" w:eastAsia="zh-CN" w:bidi="ar-SA"/>
                    </w:rPr>
                  </w:pPr>
                  <w:r>
                    <w:rPr>
                      <w:rFonts w:hint="eastAsia"/>
                      <w:color w:val="auto"/>
                      <w:szCs w:val="21"/>
                    </w:rPr>
                    <w:t>1</w:t>
                  </w:r>
                </w:p>
              </w:tc>
              <w:tc>
                <w:tcPr>
                  <w:tcW w:w="279" w:type="pct"/>
                  <w:vMerge w:val="continue"/>
                  <w:noWrap w:val="0"/>
                  <w:vAlign w:val="center"/>
                </w:tcPr>
                <w:p w14:paraId="0C2BC8A3">
                  <w:pPr>
                    <w:jc w:val="center"/>
                    <w:rPr>
                      <w:rFonts w:hint="eastAsia"/>
                      <w:color w:val="auto"/>
                      <w:szCs w:val="21"/>
                    </w:rPr>
                  </w:pPr>
                </w:p>
              </w:tc>
              <w:tc>
                <w:tcPr>
                  <w:tcW w:w="389" w:type="pct"/>
                  <w:vMerge w:val="continue"/>
                  <w:noWrap w:val="0"/>
                  <w:vAlign w:val="center"/>
                </w:tcPr>
                <w:p w14:paraId="437B986B">
                  <w:pPr>
                    <w:jc w:val="center"/>
                    <w:rPr>
                      <w:rFonts w:hint="eastAsia"/>
                      <w:color w:val="auto"/>
                      <w:szCs w:val="21"/>
                    </w:rPr>
                  </w:pPr>
                </w:p>
              </w:tc>
            </w:tr>
            <w:tr w14:paraId="0BDD4B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restart"/>
                  <w:noWrap w:val="0"/>
                  <w:vAlign w:val="center"/>
                </w:tcPr>
                <w:p w14:paraId="31E94A6F">
                  <w:pPr>
                    <w:pStyle w:val="10"/>
                    <w:jc w:val="center"/>
                    <w:rPr>
                      <w:rFonts w:hint="default" w:eastAsia="宋体"/>
                      <w:color w:val="auto"/>
                      <w:kern w:val="2"/>
                      <w:sz w:val="21"/>
                      <w:szCs w:val="21"/>
                      <w:lang w:val="en-US" w:eastAsia="zh-CN"/>
                    </w:rPr>
                  </w:pPr>
                  <w:r>
                    <w:rPr>
                      <w:rFonts w:hint="eastAsia" w:eastAsia="宋体"/>
                      <w:color w:val="auto"/>
                      <w:kern w:val="2"/>
                      <w:sz w:val="21"/>
                      <w:szCs w:val="21"/>
                      <w:lang w:val="en-US" w:eastAsia="zh-CN"/>
                    </w:rPr>
                    <w:t>供热循环泵</w:t>
                  </w:r>
                </w:p>
              </w:tc>
              <w:tc>
                <w:tcPr>
                  <w:tcW w:w="373" w:type="pct"/>
                  <w:vMerge w:val="restart"/>
                  <w:noWrap w:val="0"/>
                  <w:vAlign w:val="center"/>
                </w:tcPr>
                <w:p w14:paraId="1B6F7B85">
                  <w:pPr>
                    <w:pStyle w:val="32"/>
                    <w:spacing w:before="48" w:after="48"/>
                    <w:rPr>
                      <w:rFonts w:hint="eastAsia" w:ascii="Times New Roman" w:hAnsi="Times New Roman" w:eastAsia="宋体"/>
                      <w:color w:val="auto"/>
                      <w:szCs w:val="21"/>
                      <w:lang w:eastAsia="zh-CN"/>
                    </w:rPr>
                  </w:pPr>
                  <w:r>
                    <w:rPr>
                      <w:rFonts w:hint="eastAsia" w:ascii="Times New Roman" w:hAnsi="Times New Roman"/>
                      <w:color w:val="auto"/>
                      <w:szCs w:val="21"/>
                      <w:lang w:val="en-US" w:eastAsia="zh-CN"/>
                    </w:rPr>
                    <w:t>9</w:t>
                  </w:r>
                </w:p>
              </w:tc>
              <w:tc>
                <w:tcPr>
                  <w:tcW w:w="679" w:type="pct"/>
                  <w:noWrap w:val="0"/>
                  <w:vAlign w:val="center"/>
                </w:tcPr>
                <w:p w14:paraId="725022A0">
                  <w:pPr>
                    <w:pStyle w:val="32"/>
                    <w:spacing w:before="48" w:after="48"/>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75</w:t>
                  </w:r>
                </w:p>
              </w:tc>
              <w:tc>
                <w:tcPr>
                  <w:tcW w:w="421" w:type="pct"/>
                  <w:vMerge w:val="continue"/>
                  <w:noWrap w:val="0"/>
                  <w:vAlign w:val="center"/>
                </w:tcPr>
                <w:p w14:paraId="3B14EDD9">
                  <w:pPr>
                    <w:jc w:val="center"/>
                    <w:rPr>
                      <w:rFonts w:hint="eastAsia"/>
                      <w:color w:val="auto"/>
                      <w:szCs w:val="21"/>
                    </w:rPr>
                  </w:pPr>
                </w:p>
              </w:tc>
              <w:tc>
                <w:tcPr>
                  <w:tcW w:w="415" w:type="pct"/>
                  <w:noWrap w:val="0"/>
                  <w:vAlign w:val="center"/>
                </w:tcPr>
                <w:p w14:paraId="1D4967E3">
                  <w:pPr>
                    <w:jc w:val="center"/>
                    <w:rPr>
                      <w:rFonts w:hint="eastAsia" w:eastAsia="宋体"/>
                      <w:color w:val="auto"/>
                      <w:szCs w:val="21"/>
                      <w:lang w:val="en-US" w:eastAsia="zh-CN"/>
                    </w:rPr>
                  </w:pPr>
                  <w:r>
                    <w:rPr>
                      <w:rFonts w:hint="eastAsia"/>
                      <w:color w:val="auto"/>
                      <w:szCs w:val="21"/>
                      <w:lang w:val="en-US" w:eastAsia="zh-CN"/>
                    </w:rPr>
                    <w:t>5</w:t>
                  </w:r>
                </w:p>
              </w:tc>
              <w:tc>
                <w:tcPr>
                  <w:tcW w:w="479" w:type="pct"/>
                  <w:shd w:val="clear" w:color="auto" w:fill="auto"/>
                  <w:noWrap w:val="0"/>
                  <w:vAlign w:val="center"/>
                </w:tcPr>
                <w:p w14:paraId="09529A4E">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70</w:t>
                  </w:r>
                </w:p>
              </w:tc>
              <w:tc>
                <w:tcPr>
                  <w:tcW w:w="358" w:type="pct"/>
                  <w:noWrap w:val="0"/>
                  <w:vAlign w:val="center"/>
                </w:tcPr>
                <w:p w14:paraId="3184A86D">
                  <w:pPr>
                    <w:jc w:val="center"/>
                    <w:rPr>
                      <w:rFonts w:hint="default" w:eastAsia="宋体"/>
                      <w:color w:val="auto"/>
                      <w:szCs w:val="21"/>
                      <w:lang w:val="en-US" w:eastAsia="zh-CN"/>
                    </w:rPr>
                  </w:pPr>
                  <w:r>
                    <w:rPr>
                      <w:rFonts w:hint="eastAsia" w:eastAsia="宋体"/>
                      <w:color w:val="auto"/>
                      <w:szCs w:val="21"/>
                      <w:lang w:val="en-US" w:eastAsia="zh-CN"/>
                    </w:rPr>
                    <w:t>6.08</w:t>
                  </w:r>
                </w:p>
              </w:tc>
              <w:tc>
                <w:tcPr>
                  <w:tcW w:w="403" w:type="pct"/>
                  <w:noWrap w:val="0"/>
                  <w:vAlign w:val="center"/>
                </w:tcPr>
                <w:p w14:paraId="277514A5">
                  <w:pPr>
                    <w:jc w:val="center"/>
                    <w:rPr>
                      <w:rFonts w:hint="default" w:eastAsia="宋体"/>
                      <w:color w:val="auto"/>
                      <w:szCs w:val="21"/>
                      <w:lang w:val="en-US" w:eastAsia="zh-CN"/>
                    </w:rPr>
                  </w:pPr>
                  <w:r>
                    <w:rPr>
                      <w:rFonts w:hint="eastAsia" w:eastAsia="宋体"/>
                      <w:color w:val="auto"/>
                      <w:szCs w:val="21"/>
                      <w:lang w:val="en-US" w:eastAsia="zh-CN"/>
                    </w:rPr>
                    <w:t>2.47</w:t>
                  </w:r>
                </w:p>
              </w:tc>
              <w:tc>
                <w:tcPr>
                  <w:tcW w:w="431" w:type="pct"/>
                  <w:noWrap w:val="0"/>
                  <w:vAlign w:val="center"/>
                </w:tcPr>
                <w:p w14:paraId="74182DF6">
                  <w:pPr>
                    <w:jc w:val="center"/>
                    <w:rPr>
                      <w:color w:val="auto"/>
                      <w:szCs w:val="21"/>
                    </w:rPr>
                  </w:pPr>
                  <w:r>
                    <w:rPr>
                      <w:rFonts w:hint="eastAsia"/>
                      <w:color w:val="auto"/>
                      <w:szCs w:val="21"/>
                    </w:rPr>
                    <w:t>1</w:t>
                  </w:r>
                </w:p>
              </w:tc>
              <w:tc>
                <w:tcPr>
                  <w:tcW w:w="279" w:type="pct"/>
                  <w:vMerge w:val="continue"/>
                  <w:noWrap w:val="0"/>
                  <w:vAlign w:val="center"/>
                </w:tcPr>
                <w:p w14:paraId="07A1338F">
                  <w:pPr>
                    <w:jc w:val="center"/>
                    <w:rPr>
                      <w:rFonts w:hint="eastAsia"/>
                      <w:color w:val="auto"/>
                      <w:szCs w:val="21"/>
                    </w:rPr>
                  </w:pPr>
                </w:p>
              </w:tc>
              <w:tc>
                <w:tcPr>
                  <w:tcW w:w="389" w:type="pct"/>
                  <w:vMerge w:val="continue"/>
                  <w:noWrap w:val="0"/>
                  <w:vAlign w:val="center"/>
                </w:tcPr>
                <w:p w14:paraId="7401AE67">
                  <w:pPr>
                    <w:jc w:val="center"/>
                    <w:rPr>
                      <w:rFonts w:hint="eastAsia"/>
                      <w:color w:val="auto"/>
                      <w:szCs w:val="21"/>
                    </w:rPr>
                  </w:pPr>
                </w:p>
              </w:tc>
            </w:tr>
            <w:tr w14:paraId="660C0A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continue"/>
                  <w:noWrap w:val="0"/>
                  <w:vAlign w:val="center"/>
                </w:tcPr>
                <w:p w14:paraId="4F0A0F2C">
                  <w:pPr>
                    <w:pStyle w:val="10"/>
                    <w:jc w:val="center"/>
                    <w:rPr>
                      <w:rFonts w:hint="eastAsia" w:eastAsia="宋体"/>
                      <w:color w:val="auto"/>
                      <w:kern w:val="2"/>
                      <w:sz w:val="21"/>
                      <w:szCs w:val="21"/>
                      <w:lang w:val="en-US" w:eastAsia="zh-CN"/>
                    </w:rPr>
                  </w:pPr>
                </w:p>
              </w:tc>
              <w:tc>
                <w:tcPr>
                  <w:tcW w:w="373" w:type="pct"/>
                  <w:vMerge w:val="continue"/>
                  <w:noWrap w:val="0"/>
                  <w:vAlign w:val="center"/>
                </w:tcPr>
                <w:p w14:paraId="232B74E9">
                  <w:pPr>
                    <w:pStyle w:val="32"/>
                    <w:spacing w:before="48" w:after="48"/>
                    <w:rPr>
                      <w:rFonts w:hint="eastAsia" w:ascii="Times New Roman" w:hAnsi="Times New Roman"/>
                      <w:color w:val="auto"/>
                      <w:szCs w:val="21"/>
                      <w:lang w:val="en-US" w:eastAsia="zh-CN"/>
                    </w:rPr>
                  </w:pPr>
                </w:p>
              </w:tc>
              <w:tc>
                <w:tcPr>
                  <w:tcW w:w="679" w:type="pct"/>
                  <w:noWrap w:val="0"/>
                  <w:vAlign w:val="center"/>
                </w:tcPr>
                <w:p w14:paraId="09DD1D6A">
                  <w:pPr>
                    <w:pStyle w:val="32"/>
                    <w:spacing w:before="48" w:after="48"/>
                    <w:rPr>
                      <w:rFonts w:hint="eastAsia" w:ascii="Times New Roman" w:hAnsi="Times New Roman" w:eastAsia="宋体" w:cs="宋体"/>
                      <w:color w:val="auto"/>
                      <w:kern w:val="2"/>
                      <w:sz w:val="21"/>
                      <w:szCs w:val="21"/>
                      <w:lang w:val="en-US" w:eastAsia="zh-CN" w:bidi="ar-SA"/>
                    </w:rPr>
                  </w:pPr>
                  <w:r>
                    <w:rPr>
                      <w:rFonts w:hint="eastAsia" w:ascii="Times New Roman" w:hAnsi="Times New Roman"/>
                      <w:color w:val="auto"/>
                      <w:szCs w:val="21"/>
                      <w:lang w:val="en-US" w:eastAsia="zh-CN"/>
                    </w:rPr>
                    <w:t>75</w:t>
                  </w:r>
                </w:p>
              </w:tc>
              <w:tc>
                <w:tcPr>
                  <w:tcW w:w="421" w:type="pct"/>
                  <w:vMerge w:val="continue"/>
                  <w:noWrap w:val="0"/>
                  <w:vAlign w:val="center"/>
                </w:tcPr>
                <w:p w14:paraId="55F84207">
                  <w:pPr>
                    <w:jc w:val="center"/>
                    <w:rPr>
                      <w:rFonts w:hint="eastAsia"/>
                      <w:color w:val="auto"/>
                      <w:kern w:val="2"/>
                      <w:sz w:val="21"/>
                      <w:szCs w:val="21"/>
                      <w:lang w:val="en-US" w:eastAsia="zh-CN" w:bidi="ar-SA"/>
                    </w:rPr>
                  </w:pPr>
                </w:p>
              </w:tc>
              <w:tc>
                <w:tcPr>
                  <w:tcW w:w="415" w:type="pct"/>
                  <w:noWrap w:val="0"/>
                  <w:vAlign w:val="center"/>
                </w:tcPr>
                <w:p w14:paraId="66D42B31">
                  <w:pPr>
                    <w:jc w:val="center"/>
                    <w:rPr>
                      <w:rFonts w:hint="eastAsia" w:eastAsia="宋体"/>
                      <w:color w:val="auto"/>
                      <w:kern w:val="2"/>
                      <w:sz w:val="21"/>
                      <w:szCs w:val="21"/>
                      <w:lang w:val="en-US" w:eastAsia="zh-CN" w:bidi="ar-SA"/>
                    </w:rPr>
                  </w:pPr>
                  <w:r>
                    <w:rPr>
                      <w:rFonts w:hint="eastAsia"/>
                      <w:color w:val="auto"/>
                      <w:szCs w:val="21"/>
                      <w:lang w:val="en-US" w:eastAsia="zh-CN"/>
                    </w:rPr>
                    <w:t>5</w:t>
                  </w:r>
                </w:p>
              </w:tc>
              <w:tc>
                <w:tcPr>
                  <w:tcW w:w="479" w:type="pct"/>
                  <w:shd w:val="clear" w:color="auto" w:fill="auto"/>
                  <w:noWrap w:val="0"/>
                  <w:vAlign w:val="center"/>
                </w:tcPr>
                <w:p w14:paraId="2A3D5AF2">
                  <w:pPr>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70</w:t>
                  </w:r>
                </w:p>
              </w:tc>
              <w:tc>
                <w:tcPr>
                  <w:tcW w:w="358" w:type="pct"/>
                  <w:noWrap w:val="0"/>
                  <w:vAlign w:val="center"/>
                </w:tcPr>
                <w:p w14:paraId="50262F4F">
                  <w:pPr>
                    <w:jc w:val="center"/>
                    <w:rPr>
                      <w:rFonts w:hint="default"/>
                      <w:color w:val="auto"/>
                      <w:szCs w:val="21"/>
                      <w:lang w:val="en-US" w:eastAsia="zh-CN"/>
                    </w:rPr>
                  </w:pPr>
                  <w:r>
                    <w:rPr>
                      <w:rFonts w:hint="eastAsia"/>
                      <w:color w:val="auto"/>
                      <w:szCs w:val="21"/>
                      <w:lang w:val="en-US" w:eastAsia="zh-CN"/>
                    </w:rPr>
                    <w:t>8.28</w:t>
                  </w:r>
                </w:p>
              </w:tc>
              <w:tc>
                <w:tcPr>
                  <w:tcW w:w="403" w:type="pct"/>
                  <w:noWrap w:val="0"/>
                  <w:vAlign w:val="center"/>
                </w:tcPr>
                <w:p w14:paraId="1DE32E8A">
                  <w:pPr>
                    <w:jc w:val="center"/>
                    <w:rPr>
                      <w:rFonts w:hint="default"/>
                      <w:color w:val="auto"/>
                      <w:szCs w:val="21"/>
                      <w:lang w:val="en-US" w:eastAsia="zh-CN"/>
                    </w:rPr>
                  </w:pPr>
                  <w:r>
                    <w:rPr>
                      <w:rFonts w:hint="eastAsia"/>
                      <w:color w:val="auto"/>
                      <w:szCs w:val="21"/>
                      <w:lang w:val="en-US" w:eastAsia="zh-CN"/>
                    </w:rPr>
                    <w:t>1.79</w:t>
                  </w:r>
                </w:p>
              </w:tc>
              <w:tc>
                <w:tcPr>
                  <w:tcW w:w="431" w:type="pct"/>
                  <w:noWrap w:val="0"/>
                  <w:vAlign w:val="center"/>
                </w:tcPr>
                <w:p w14:paraId="21CEFF91">
                  <w:pPr>
                    <w:jc w:val="center"/>
                    <w:rPr>
                      <w:rFonts w:hint="eastAsia"/>
                      <w:color w:val="auto"/>
                      <w:kern w:val="2"/>
                      <w:sz w:val="21"/>
                      <w:szCs w:val="21"/>
                      <w:lang w:val="en-US" w:eastAsia="zh-CN" w:bidi="ar-SA"/>
                    </w:rPr>
                  </w:pPr>
                  <w:r>
                    <w:rPr>
                      <w:rFonts w:hint="eastAsia"/>
                      <w:color w:val="auto"/>
                      <w:szCs w:val="21"/>
                    </w:rPr>
                    <w:t>1</w:t>
                  </w:r>
                </w:p>
              </w:tc>
              <w:tc>
                <w:tcPr>
                  <w:tcW w:w="279" w:type="pct"/>
                  <w:vMerge w:val="continue"/>
                  <w:noWrap w:val="0"/>
                  <w:vAlign w:val="center"/>
                </w:tcPr>
                <w:p w14:paraId="1521544B">
                  <w:pPr>
                    <w:jc w:val="center"/>
                    <w:rPr>
                      <w:rFonts w:hint="eastAsia"/>
                      <w:color w:val="auto"/>
                      <w:szCs w:val="21"/>
                    </w:rPr>
                  </w:pPr>
                </w:p>
              </w:tc>
              <w:tc>
                <w:tcPr>
                  <w:tcW w:w="389" w:type="pct"/>
                  <w:vMerge w:val="continue"/>
                  <w:noWrap w:val="0"/>
                  <w:vAlign w:val="center"/>
                </w:tcPr>
                <w:p w14:paraId="56F7B0D7">
                  <w:pPr>
                    <w:jc w:val="center"/>
                    <w:rPr>
                      <w:rFonts w:hint="eastAsia"/>
                      <w:color w:val="auto"/>
                      <w:szCs w:val="21"/>
                    </w:rPr>
                  </w:pPr>
                </w:p>
              </w:tc>
            </w:tr>
            <w:tr w14:paraId="21DD75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continue"/>
                  <w:noWrap w:val="0"/>
                  <w:vAlign w:val="center"/>
                </w:tcPr>
                <w:p w14:paraId="424A603A">
                  <w:pPr>
                    <w:pStyle w:val="10"/>
                    <w:jc w:val="center"/>
                    <w:rPr>
                      <w:rFonts w:hint="eastAsia" w:eastAsia="宋体"/>
                      <w:color w:val="auto"/>
                      <w:kern w:val="2"/>
                      <w:sz w:val="21"/>
                      <w:szCs w:val="21"/>
                      <w:lang w:val="en-US" w:eastAsia="zh-CN"/>
                    </w:rPr>
                  </w:pPr>
                </w:p>
              </w:tc>
              <w:tc>
                <w:tcPr>
                  <w:tcW w:w="373" w:type="pct"/>
                  <w:vMerge w:val="continue"/>
                  <w:noWrap w:val="0"/>
                  <w:vAlign w:val="center"/>
                </w:tcPr>
                <w:p w14:paraId="433C1CAF">
                  <w:pPr>
                    <w:pStyle w:val="32"/>
                    <w:spacing w:before="48" w:after="48"/>
                    <w:rPr>
                      <w:rFonts w:hint="eastAsia" w:ascii="Times New Roman" w:hAnsi="Times New Roman"/>
                      <w:color w:val="auto"/>
                      <w:szCs w:val="21"/>
                      <w:lang w:val="en-US" w:eastAsia="zh-CN"/>
                    </w:rPr>
                  </w:pPr>
                </w:p>
              </w:tc>
              <w:tc>
                <w:tcPr>
                  <w:tcW w:w="679" w:type="pct"/>
                  <w:shd w:val="clear" w:color="auto" w:fill="auto"/>
                  <w:noWrap w:val="0"/>
                  <w:vAlign w:val="center"/>
                </w:tcPr>
                <w:p w14:paraId="1FFDF087">
                  <w:pPr>
                    <w:pStyle w:val="32"/>
                    <w:spacing w:before="48" w:after="48"/>
                    <w:rPr>
                      <w:rFonts w:hint="eastAsia" w:ascii="Times New Roman" w:hAnsi="Times New Roman" w:eastAsia="宋体" w:cs="宋体"/>
                      <w:color w:val="auto"/>
                      <w:kern w:val="2"/>
                      <w:sz w:val="21"/>
                      <w:szCs w:val="21"/>
                      <w:lang w:val="en-US" w:eastAsia="zh-CN" w:bidi="ar-SA"/>
                    </w:rPr>
                  </w:pPr>
                  <w:r>
                    <w:rPr>
                      <w:rFonts w:hint="eastAsia" w:ascii="Times New Roman" w:hAnsi="Times New Roman"/>
                      <w:color w:val="auto"/>
                      <w:szCs w:val="21"/>
                      <w:lang w:val="en-US" w:eastAsia="zh-CN"/>
                    </w:rPr>
                    <w:t>75</w:t>
                  </w:r>
                </w:p>
              </w:tc>
              <w:tc>
                <w:tcPr>
                  <w:tcW w:w="421" w:type="pct"/>
                  <w:vMerge w:val="continue"/>
                  <w:noWrap w:val="0"/>
                  <w:vAlign w:val="center"/>
                </w:tcPr>
                <w:p w14:paraId="0A99D916">
                  <w:pPr>
                    <w:jc w:val="center"/>
                    <w:rPr>
                      <w:rFonts w:hint="eastAsia"/>
                      <w:color w:val="auto"/>
                      <w:szCs w:val="21"/>
                    </w:rPr>
                  </w:pPr>
                </w:p>
              </w:tc>
              <w:tc>
                <w:tcPr>
                  <w:tcW w:w="415" w:type="pct"/>
                  <w:noWrap w:val="0"/>
                  <w:vAlign w:val="center"/>
                </w:tcPr>
                <w:p w14:paraId="30F503BE">
                  <w:pPr>
                    <w:jc w:val="center"/>
                    <w:rPr>
                      <w:rFonts w:hint="eastAsia" w:eastAsia="宋体"/>
                      <w:color w:val="auto"/>
                      <w:kern w:val="2"/>
                      <w:sz w:val="21"/>
                      <w:szCs w:val="21"/>
                      <w:lang w:val="en-US" w:eastAsia="zh-CN" w:bidi="ar-SA"/>
                    </w:rPr>
                  </w:pPr>
                  <w:r>
                    <w:rPr>
                      <w:rFonts w:hint="eastAsia"/>
                      <w:color w:val="auto"/>
                      <w:szCs w:val="21"/>
                      <w:lang w:val="en-US" w:eastAsia="zh-CN"/>
                    </w:rPr>
                    <w:t>5</w:t>
                  </w:r>
                </w:p>
              </w:tc>
              <w:tc>
                <w:tcPr>
                  <w:tcW w:w="479" w:type="pct"/>
                  <w:shd w:val="clear" w:color="auto" w:fill="auto"/>
                  <w:noWrap w:val="0"/>
                  <w:vAlign w:val="center"/>
                </w:tcPr>
                <w:p w14:paraId="0469FB15">
                  <w:pPr>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70</w:t>
                  </w:r>
                </w:p>
              </w:tc>
              <w:tc>
                <w:tcPr>
                  <w:tcW w:w="358" w:type="pct"/>
                  <w:noWrap w:val="0"/>
                  <w:vAlign w:val="center"/>
                </w:tcPr>
                <w:p w14:paraId="6BD0C7DC">
                  <w:pPr>
                    <w:jc w:val="center"/>
                    <w:rPr>
                      <w:rFonts w:hint="default"/>
                      <w:color w:val="auto"/>
                      <w:szCs w:val="21"/>
                      <w:lang w:val="en-US" w:eastAsia="zh-CN"/>
                    </w:rPr>
                  </w:pPr>
                  <w:r>
                    <w:rPr>
                      <w:rFonts w:hint="eastAsia"/>
                      <w:color w:val="auto"/>
                      <w:szCs w:val="21"/>
                      <w:lang w:val="en-US" w:eastAsia="zh-CN"/>
                    </w:rPr>
                    <w:t>10.42</w:t>
                  </w:r>
                </w:p>
              </w:tc>
              <w:tc>
                <w:tcPr>
                  <w:tcW w:w="403" w:type="pct"/>
                  <w:noWrap w:val="0"/>
                  <w:vAlign w:val="center"/>
                </w:tcPr>
                <w:p w14:paraId="275E9EE7">
                  <w:pPr>
                    <w:jc w:val="center"/>
                    <w:rPr>
                      <w:rFonts w:hint="default"/>
                      <w:color w:val="auto"/>
                      <w:szCs w:val="21"/>
                      <w:lang w:val="en-US" w:eastAsia="zh-CN"/>
                    </w:rPr>
                  </w:pPr>
                  <w:r>
                    <w:rPr>
                      <w:rFonts w:hint="eastAsia"/>
                      <w:color w:val="auto"/>
                      <w:szCs w:val="21"/>
                      <w:lang w:val="en-US" w:eastAsia="zh-CN"/>
                    </w:rPr>
                    <w:t>1.03</w:t>
                  </w:r>
                </w:p>
              </w:tc>
              <w:tc>
                <w:tcPr>
                  <w:tcW w:w="431" w:type="pct"/>
                  <w:noWrap w:val="0"/>
                  <w:vAlign w:val="center"/>
                </w:tcPr>
                <w:p w14:paraId="05DC0F12">
                  <w:pPr>
                    <w:jc w:val="center"/>
                    <w:rPr>
                      <w:rFonts w:hint="eastAsia"/>
                      <w:color w:val="auto"/>
                      <w:kern w:val="2"/>
                      <w:sz w:val="21"/>
                      <w:szCs w:val="21"/>
                      <w:lang w:val="en-US" w:eastAsia="zh-CN" w:bidi="ar-SA"/>
                    </w:rPr>
                  </w:pPr>
                  <w:r>
                    <w:rPr>
                      <w:rFonts w:hint="eastAsia"/>
                      <w:color w:val="auto"/>
                      <w:szCs w:val="21"/>
                    </w:rPr>
                    <w:t>1</w:t>
                  </w:r>
                </w:p>
              </w:tc>
              <w:tc>
                <w:tcPr>
                  <w:tcW w:w="279" w:type="pct"/>
                  <w:vMerge w:val="continue"/>
                  <w:noWrap w:val="0"/>
                  <w:vAlign w:val="center"/>
                </w:tcPr>
                <w:p w14:paraId="2405945A">
                  <w:pPr>
                    <w:jc w:val="center"/>
                    <w:rPr>
                      <w:rFonts w:hint="eastAsia"/>
                      <w:color w:val="auto"/>
                      <w:szCs w:val="21"/>
                    </w:rPr>
                  </w:pPr>
                </w:p>
              </w:tc>
              <w:tc>
                <w:tcPr>
                  <w:tcW w:w="389" w:type="pct"/>
                  <w:vMerge w:val="continue"/>
                  <w:noWrap w:val="0"/>
                  <w:vAlign w:val="center"/>
                </w:tcPr>
                <w:p w14:paraId="651E9E6F">
                  <w:pPr>
                    <w:jc w:val="center"/>
                    <w:rPr>
                      <w:rFonts w:hint="eastAsia"/>
                      <w:color w:val="auto"/>
                      <w:szCs w:val="21"/>
                    </w:rPr>
                  </w:pPr>
                </w:p>
              </w:tc>
            </w:tr>
            <w:tr w14:paraId="034D7F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continue"/>
                  <w:noWrap w:val="0"/>
                  <w:vAlign w:val="center"/>
                </w:tcPr>
                <w:p w14:paraId="1A906BD3">
                  <w:pPr>
                    <w:pStyle w:val="10"/>
                    <w:jc w:val="center"/>
                    <w:rPr>
                      <w:rFonts w:hint="eastAsia" w:eastAsia="宋体"/>
                      <w:color w:val="auto"/>
                      <w:kern w:val="2"/>
                      <w:sz w:val="21"/>
                      <w:szCs w:val="21"/>
                      <w:lang w:val="en-US" w:eastAsia="zh-CN"/>
                    </w:rPr>
                  </w:pPr>
                </w:p>
              </w:tc>
              <w:tc>
                <w:tcPr>
                  <w:tcW w:w="373" w:type="pct"/>
                  <w:vMerge w:val="continue"/>
                  <w:noWrap w:val="0"/>
                  <w:vAlign w:val="center"/>
                </w:tcPr>
                <w:p w14:paraId="43E243DD">
                  <w:pPr>
                    <w:pStyle w:val="32"/>
                    <w:spacing w:before="48" w:after="48"/>
                    <w:rPr>
                      <w:rFonts w:hint="eastAsia" w:ascii="Times New Roman" w:hAnsi="Times New Roman"/>
                      <w:color w:val="auto"/>
                      <w:szCs w:val="21"/>
                      <w:lang w:val="en-US" w:eastAsia="zh-CN"/>
                    </w:rPr>
                  </w:pPr>
                </w:p>
              </w:tc>
              <w:tc>
                <w:tcPr>
                  <w:tcW w:w="679" w:type="pct"/>
                  <w:shd w:val="clear" w:color="auto" w:fill="auto"/>
                  <w:noWrap w:val="0"/>
                  <w:vAlign w:val="center"/>
                </w:tcPr>
                <w:p w14:paraId="132DCD7C">
                  <w:pPr>
                    <w:pStyle w:val="32"/>
                    <w:spacing w:before="48" w:after="48"/>
                    <w:rPr>
                      <w:rFonts w:hint="eastAsia" w:ascii="Times New Roman" w:hAnsi="Times New Roman" w:eastAsia="宋体" w:cs="宋体"/>
                      <w:color w:val="auto"/>
                      <w:kern w:val="2"/>
                      <w:sz w:val="21"/>
                      <w:szCs w:val="21"/>
                      <w:lang w:val="en-US" w:eastAsia="zh-CN" w:bidi="ar-SA"/>
                    </w:rPr>
                  </w:pPr>
                  <w:r>
                    <w:rPr>
                      <w:rFonts w:hint="eastAsia" w:ascii="Times New Roman" w:hAnsi="Times New Roman"/>
                      <w:color w:val="auto"/>
                      <w:szCs w:val="21"/>
                      <w:lang w:val="en-US" w:eastAsia="zh-CN"/>
                    </w:rPr>
                    <w:t>75</w:t>
                  </w:r>
                </w:p>
              </w:tc>
              <w:tc>
                <w:tcPr>
                  <w:tcW w:w="421" w:type="pct"/>
                  <w:vMerge w:val="continue"/>
                  <w:noWrap w:val="0"/>
                  <w:vAlign w:val="center"/>
                </w:tcPr>
                <w:p w14:paraId="59FCE448">
                  <w:pPr>
                    <w:jc w:val="center"/>
                    <w:rPr>
                      <w:rFonts w:hint="eastAsia"/>
                      <w:color w:val="auto"/>
                      <w:szCs w:val="21"/>
                    </w:rPr>
                  </w:pPr>
                </w:p>
              </w:tc>
              <w:tc>
                <w:tcPr>
                  <w:tcW w:w="415" w:type="pct"/>
                  <w:noWrap w:val="0"/>
                  <w:vAlign w:val="center"/>
                </w:tcPr>
                <w:p w14:paraId="3427E489">
                  <w:pPr>
                    <w:jc w:val="center"/>
                    <w:rPr>
                      <w:rFonts w:hint="eastAsia" w:eastAsia="宋体"/>
                      <w:color w:val="auto"/>
                      <w:kern w:val="2"/>
                      <w:sz w:val="21"/>
                      <w:szCs w:val="21"/>
                      <w:lang w:val="en-US" w:eastAsia="zh-CN" w:bidi="ar-SA"/>
                    </w:rPr>
                  </w:pPr>
                  <w:r>
                    <w:rPr>
                      <w:rFonts w:hint="eastAsia"/>
                      <w:color w:val="auto"/>
                      <w:szCs w:val="21"/>
                      <w:lang w:val="en-US" w:eastAsia="zh-CN"/>
                    </w:rPr>
                    <w:t>5</w:t>
                  </w:r>
                </w:p>
              </w:tc>
              <w:tc>
                <w:tcPr>
                  <w:tcW w:w="479" w:type="pct"/>
                  <w:shd w:val="clear" w:color="auto" w:fill="auto"/>
                  <w:noWrap w:val="0"/>
                  <w:vAlign w:val="center"/>
                </w:tcPr>
                <w:p w14:paraId="67649F17">
                  <w:pPr>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70</w:t>
                  </w:r>
                </w:p>
              </w:tc>
              <w:tc>
                <w:tcPr>
                  <w:tcW w:w="358" w:type="pct"/>
                  <w:noWrap w:val="0"/>
                  <w:vAlign w:val="center"/>
                </w:tcPr>
                <w:p w14:paraId="53F17D10">
                  <w:pPr>
                    <w:jc w:val="center"/>
                    <w:rPr>
                      <w:rFonts w:hint="default"/>
                      <w:color w:val="auto"/>
                      <w:szCs w:val="21"/>
                      <w:lang w:val="en-US" w:eastAsia="zh-CN"/>
                    </w:rPr>
                  </w:pPr>
                  <w:r>
                    <w:rPr>
                      <w:rFonts w:hint="eastAsia"/>
                      <w:color w:val="auto"/>
                      <w:szCs w:val="21"/>
                      <w:lang w:val="en-US" w:eastAsia="zh-CN"/>
                    </w:rPr>
                    <w:t>12.19</w:t>
                  </w:r>
                </w:p>
              </w:tc>
              <w:tc>
                <w:tcPr>
                  <w:tcW w:w="403" w:type="pct"/>
                  <w:noWrap w:val="0"/>
                  <w:vAlign w:val="center"/>
                </w:tcPr>
                <w:p w14:paraId="7833818A">
                  <w:pPr>
                    <w:jc w:val="center"/>
                    <w:rPr>
                      <w:rFonts w:hint="default"/>
                      <w:color w:val="auto"/>
                      <w:szCs w:val="21"/>
                      <w:lang w:val="en-US" w:eastAsia="zh-CN"/>
                    </w:rPr>
                  </w:pPr>
                  <w:r>
                    <w:rPr>
                      <w:rFonts w:hint="eastAsia"/>
                      <w:color w:val="auto"/>
                      <w:szCs w:val="21"/>
                      <w:lang w:val="en-US" w:eastAsia="zh-CN"/>
                    </w:rPr>
                    <w:t>0.34</w:t>
                  </w:r>
                </w:p>
              </w:tc>
              <w:tc>
                <w:tcPr>
                  <w:tcW w:w="431" w:type="pct"/>
                  <w:noWrap w:val="0"/>
                  <w:vAlign w:val="center"/>
                </w:tcPr>
                <w:p w14:paraId="32D31AD8">
                  <w:pPr>
                    <w:jc w:val="center"/>
                    <w:rPr>
                      <w:rFonts w:hint="eastAsia" w:eastAsia="宋体"/>
                      <w:color w:val="auto"/>
                      <w:kern w:val="2"/>
                      <w:sz w:val="21"/>
                      <w:szCs w:val="21"/>
                      <w:lang w:val="en-US" w:eastAsia="zh-CN" w:bidi="ar-SA"/>
                    </w:rPr>
                  </w:pPr>
                  <w:r>
                    <w:rPr>
                      <w:rFonts w:hint="eastAsia"/>
                      <w:color w:val="auto"/>
                      <w:szCs w:val="21"/>
                      <w:lang w:val="en-US" w:eastAsia="zh-CN"/>
                    </w:rPr>
                    <w:t>1</w:t>
                  </w:r>
                </w:p>
              </w:tc>
              <w:tc>
                <w:tcPr>
                  <w:tcW w:w="279" w:type="pct"/>
                  <w:vMerge w:val="continue"/>
                  <w:noWrap w:val="0"/>
                  <w:vAlign w:val="center"/>
                </w:tcPr>
                <w:p w14:paraId="5B1661E5">
                  <w:pPr>
                    <w:jc w:val="center"/>
                    <w:rPr>
                      <w:rFonts w:hint="eastAsia"/>
                      <w:color w:val="auto"/>
                      <w:szCs w:val="21"/>
                    </w:rPr>
                  </w:pPr>
                </w:p>
              </w:tc>
              <w:tc>
                <w:tcPr>
                  <w:tcW w:w="389" w:type="pct"/>
                  <w:vMerge w:val="continue"/>
                  <w:noWrap w:val="0"/>
                  <w:vAlign w:val="center"/>
                </w:tcPr>
                <w:p w14:paraId="5F3BA7D0">
                  <w:pPr>
                    <w:jc w:val="center"/>
                    <w:rPr>
                      <w:rFonts w:hint="eastAsia"/>
                      <w:color w:val="auto"/>
                      <w:szCs w:val="21"/>
                    </w:rPr>
                  </w:pPr>
                </w:p>
              </w:tc>
            </w:tr>
            <w:tr w14:paraId="64013A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continue"/>
                  <w:noWrap w:val="0"/>
                  <w:vAlign w:val="center"/>
                </w:tcPr>
                <w:p w14:paraId="42754391">
                  <w:pPr>
                    <w:pStyle w:val="10"/>
                    <w:jc w:val="center"/>
                    <w:rPr>
                      <w:rFonts w:hint="eastAsia" w:eastAsia="宋体"/>
                      <w:color w:val="auto"/>
                      <w:kern w:val="2"/>
                      <w:sz w:val="21"/>
                      <w:szCs w:val="21"/>
                      <w:lang w:val="en-US" w:eastAsia="zh-CN"/>
                    </w:rPr>
                  </w:pPr>
                </w:p>
              </w:tc>
              <w:tc>
                <w:tcPr>
                  <w:tcW w:w="373" w:type="pct"/>
                  <w:vMerge w:val="continue"/>
                  <w:noWrap w:val="0"/>
                  <w:vAlign w:val="center"/>
                </w:tcPr>
                <w:p w14:paraId="112A0206">
                  <w:pPr>
                    <w:pStyle w:val="32"/>
                    <w:spacing w:before="48" w:after="48"/>
                    <w:rPr>
                      <w:rFonts w:hint="eastAsia" w:ascii="Times New Roman" w:hAnsi="Times New Roman"/>
                      <w:color w:val="auto"/>
                      <w:szCs w:val="21"/>
                      <w:lang w:val="en-US" w:eastAsia="zh-CN"/>
                    </w:rPr>
                  </w:pPr>
                </w:p>
              </w:tc>
              <w:tc>
                <w:tcPr>
                  <w:tcW w:w="679" w:type="pct"/>
                  <w:shd w:val="clear" w:color="auto" w:fill="auto"/>
                  <w:noWrap w:val="0"/>
                  <w:vAlign w:val="center"/>
                </w:tcPr>
                <w:p w14:paraId="1A2B1464">
                  <w:pPr>
                    <w:pStyle w:val="32"/>
                    <w:spacing w:before="48" w:after="48"/>
                    <w:rPr>
                      <w:rFonts w:hint="eastAsia" w:ascii="Times New Roman" w:hAnsi="Times New Roman" w:eastAsia="宋体" w:cs="宋体"/>
                      <w:color w:val="auto"/>
                      <w:kern w:val="2"/>
                      <w:sz w:val="21"/>
                      <w:szCs w:val="21"/>
                      <w:lang w:val="en-US" w:eastAsia="zh-CN" w:bidi="ar-SA"/>
                    </w:rPr>
                  </w:pPr>
                  <w:r>
                    <w:rPr>
                      <w:rFonts w:hint="eastAsia" w:ascii="Times New Roman" w:hAnsi="Times New Roman"/>
                      <w:color w:val="auto"/>
                      <w:szCs w:val="21"/>
                      <w:lang w:val="en-US" w:eastAsia="zh-CN"/>
                    </w:rPr>
                    <w:t>75</w:t>
                  </w:r>
                </w:p>
              </w:tc>
              <w:tc>
                <w:tcPr>
                  <w:tcW w:w="421" w:type="pct"/>
                  <w:vMerge w:val="continue"/>
                  <w:noWrap w:val="0"/>
                  <w:vAlign w:val="center"/>
                </w:tcPr>
                <w:p w14:paraId="02AE2BBD">
                  <w:pPr>
                    <w:jc w:val="center"/>
                    <w:rPr>
                      <w:rFonts w:hint="eastAsia"/>
                      <w:color w:val="auto"/>
                      <w:szCs w:val="21"/>
                    </w:rPr>
                  </w:pPr>
                </w:p>
              </w:tc>
              <w:tc>
                <w:tcPr>
                  <w:tcW w:w="415" w:type="pct"/>
                  <w:noWrap w:val="0"/>
                  <w:vAlign w:val="center"/>
                </w:tcPr>
                <w:p w14:paraId="06B6A0B2">
                  <w:pPr>
                    <w:jc w:val="center"/>
                    <w:rPr>
                      <w:rFonts w:hint="eastAsia" w:eastAsia="宋体"/>
                      <w:color w:val="auto"/>
                      <w:kern w:val="2"/>
                      <w:sz w:val="21"/>
                      <w:szCs w:val="21"/>
                      <w:lang w:val="en-US" w:eastAsia="zh-CN" w:bidi="ar-SA"/>
                    </w:rPr>
                  </w:pPr>
                  <w:r>
                    <w:rPr>
                      <w:rFonts w:hint="eastAsia"/>
                      <w:color w:val="auto"/>
                      <w:szCs w:val="21"/>
                      <w:lang w:val="en-US" w:eastAsia="zh-CN"/>
                    </w:rPr>
                    <w:t>5</w:t>
                  </w:r>
                </w:p>
              </w:tc>
              <w:tc>
                <w:tcPr>
                  <w:tcW w:w="479" w:type="pct"/>
                  <w:shd w:val="clear" w:color="auto" w:fill="auto"/>
                  <w:noWrap w:val="0"/>
                  <w:vAlign w:val="center"/>
                </w:tcPr>
                <w:p w14:paraId="04073E82">
                  <w:pPr>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70</w:t>
                  </w:r>
                </w:p>
              </w:tc>
              <w:tc>
                <w:tcPr>
                  <w:tcW w:w="358" w:type="pct"/>
                  <w:noWrap w:val="0"/>
                  <w:vAlign w:val="center"/>
                </w:tcPr>
                <w:p w14:paraId="309C4BFC">
                  <w:pPr>
                    <w:jc w:val="center"/>
                    <w:rPr>
                      <w:rFonts w:hint="default"/>
                      <w:color w:val="auto"/>
                      <w:szCs w:val="21"/>
                      <w:lang w:val="en-US" w:eastAsia="zh-CN"/>
                    </w:rPr>
                  </w:pPr>
                  <w:r>
                    <w:rPr>
                      <w:rFonts w:hint="eastAsia"/>
                      <w:color w:val="auto"/>
                      <w:szCs w:val="21"/>
                      <w:lang w:val="en-US" w:eastAsia="zh-CN"/>
                    </w:rPr>
                    <w:t>13.85</w:t>
                  </w:r>
                </w:p>
              </w:tc>
              <w:tc>
                <w:tcPr>
                  <w:tcW w:w="403" w:type="pct"/>
                  <w:noWrap w:val="0"/>
                  <w:vAlign w:val="center"/>
                </w:tcPr>
                <w:p w14:paraId="0E35A97F">
                  <w:pPr>
                    <w:jc w:val="center"/>
                    <w:rPr>
                      <w:rFonts w:hint="default"/>
                      <w:color w:val="auto"/>
                      <w:szCs w:val="21"/>
                      <w:lang w:val="en-US" w:eastAsia="zh-CN"/>
                    </w:rPr>
                  </w:pPr>
                  <w:r>
                    <w:rPr>
                      <w:rFonts w:hint="eastAsia"/>
                      <w:color w:val="auto"/>
                      <w:szCs w:val="21"/>
                      <w:lang w:val="en-US" w:eastAsia="zh-CN"/>
                    </w:rPr>
                    <w:t>-0.38</w:t>
                  </w:r>
                </w:p>
              </w:tc>
              <w:tc>
                <w:tcPr>
                  <w:tcW w:w="431" w:type="pct"/>
                  <w:noWrap w:val="0"/>
                  <w:vAlign w:val="center"/>
                </w:tcPr>
                <w:p w14:paraId="63C5CF14">
                  <w:pPr>
                    <w:jc w:val="center"/>
                    <w:rPr>
                      <w:rFonts w:hint="eastAsia"/>
                      <w:color w:val="auto"/>
                      <w:kern w:val="2"/>
                      <w:sz w:val="21"/>
                      <w:szCs w:val="21"/>
                      <w:lang w:val="en-US" w:eastAsia="zh-CN" w:bidi="ar-SA"/>
                    </w:rPr>
                  </w:pPr>
                  <w:r>
                    <w:rPr>
                      <w:rFonts w:hint="eastAsia"/>
                      <w:color w:val="auto"/>
                      <w:szCs w:val="21"/>
                    </w:rPr>
                    <w:t>1</w:t>
                  </w:r>
                </w:p>
              </w:tc>
              <w:tc>
                <w:tcPr>
                  <w:tcW w:w="279" w:type="pct"/>
                  <w:vMerge w:val="continue"/>
                  <w:noWrap w:val="0"/>
                  <w:vAlign w:val="center"/>
                </w:tcPr>
                <w:p w14:paraId="0DF7451E">
                  <w:pPr>
                    <w:jc w:val="center"/>
                    <w:rPr>
                      <w:rFonts w:hint="eastAsia"/>
                      <w:color w:val="auto"/>
                      <w:szCs w:val="21"/>
                    </w:rPr>
                  </w:pPr>
                </w:p>
              </w:tc>
              <w:tc>
                <w:tcPr>
                  <w:tcW w:w="389" w:type="pct"/>
                  <w:vMerge w:val="continue"/>
                  <w:noWrap w:val="0"/>
                  <w:vAlign w:val="center"/>
                </w:tcPr>
                <w:p w14:paraId="18B5F7DF">
                  <w:pPr>
                    <w:jc w:val="center"/>
                    <w:rPr>
                      <w:rFonts w:hint="eastAsia"/>
                      <w:color w:val="auto"/>
                      <w:szCs w:val="21"/>
                    </w:rPr>
                  </w:pPr>
                </w:p>
              </w:tc>
            </w:tr>
            <w:tr w14:paraId="0124FF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continue"/>
                  <w:noWrap w:val="0"/>
                  <w:vAlign w:val="center"/>
                </w:tcPr>
                <w:p w14:paraId="19166588">
                  <w:pPr>
                    <w:pStyle w:val="10"/>
                    <w:jc w:val="center"/>
                    <w:rPr>
                      <w:rFonts w:hint="eastAsia" w:eastAsia="宋体"/>
                      <w:color w:val="auto"/>
                      <w:kern w:val="2"/>
                      <w:sz w:val="21"/>
                      <w:szCs w:val="21"/>
                      <w:lang w:val="en-US" w:eastAsia="zh-CN"/>
                    </w:rPr>
                  </w:pPr>
                </w:p>
              </w:tc>
              <w:tc>
                <w:tcPr>
                  <w:tcW w:w="373" w:type="pct"/>
                  <w:vMerge w:val="continue"/>
                  <w:noWrap w:val="0"/>
                  <w:vAlign w:val="center"/>
                </w:tcPr>
                <w:p w14:paraId="3E15ACE8">
                  <w:pPr>
                    <w:pStyle w:val="32"/>
                    <w:spacing w:before="48" w:after="48"/>
                    <w:rPr>
                      <w:rFonts w:hint="eastAsia" w:ascii="Times New Roman" w:hAnsi="Times New Roman"/>
                      <w:color w:val="auto"/>
                      <w:szCs w:val="21"/>
                      <w:lang w:val="en-US" w:eastAsia="zh-CN"/>
                    </w:rPr>
                  </w:pPr>
                </w:p>
              </w:tc>
              <w:tc>
                <w:tcPr>
                  <w:tcW w:w="679" w:type="pct"/>
                  <w:shd w:val="clear" w:color="auto" w:fill="auto"/>
                  <w:noWrap w:val="0"/>
                  <w:vAlign w:val="center"/>
                </w:tcPr>
                <w:p w14:paraId="45F7804E">
                  <w:pPr>
                    <w:pStyle w:val="32"/>
                    <w:spacing w:before="48" w:after="48"/>
                    <w:rPr>
                      <w:rFonts w:hint="eastAsia" w:ascii="Times New Roman" w:hAnsi="Times New Roman" w:eastAsia="宋体" w:cs="宋体"/>
                      <w:color w:val="auto"/>
                      <w:kern w:val="2"/>
                      <w:sz w:val="21"/>
                      <w:szCs w:val="21"/>
                      <w:lang w:val="en-US" w:eastAsia="zh-CN" w:bidi="ar-SA"/>
                    </w:rPr>
                  </w:pPr>
                  <w:r>
                    <w:rPr>
                      <w:rFonts w:hint="eastAsia" w:ascii="Times New Roman" w:hAnsi="Times New Roman"/>
                      <w:color w:val="auto"/>
                      <w:szCs w:val="21"/>
                      <w:lang w:val="en-US" w:eastAsia="zh-CN"/>
                    </w:rPr>
                    <w:t>75</w:t>
                  </w:r>
                </w:p>
              </w:tc>
              <w:tc>
                <w:tcPr>
                  <w:tcW w:w="421" w:type="pct"/>
                  <w:vMerge w:val="continue"/>
                  <w:noWrap w:val="0"/>
                  <w:vAlign w:val="center"/>
                </w:tcPr>
                <w:p w14:paraId="04844409">
                  <w:pPr>
                    <w:jc w:val="center"/>
                    <w:rPr>
                      <w:rFonts w:hint="eastAsia"/>
                      <w:color w:val="auto"/>
                      <w:szCs w:val="21"/>
                    </w:rPr>
                  </w:pPr>
                </w:p>
              </w:tc>
              <w:tc>
                <w:tcPr>
                  <w:tcW w:w="415" w:type="pct"/>
                  <w:noWrap w:val="0"/>
                  <w:vAlign w:val="center"/>
                </w:tcPr>
                <w:p w14:paraId="6F175ADE">
                  <w:pPr>
                    <w:jc w:val="center"/>
                    <w:rPr>
                      <w:rFonts w:hint="eastAsia" w:eastAsia="宋体"/>
                      <w:color w:val="auto"/>
                      <w:kern w:val="2"/>
                      <w:sz w:val="21"/>
                      <w:szCs w:val="21"/>
                      <w:lang w:val="en-US" w:eastAsia="zh-CN" w:bidi="ar-SA"/>
                    </w:rPr>
                  </w:pPr>
                  <w:r>
                    <w:rPr>
                      <w:rFonts w:hint="eastAsia"/>
                      <w:color w:val="auto"/>
                      <w:szCs w:val="21"/>
                      <w:lang w:val="en-US" w:eastAsia="zh-CN"/>
                    </w:rPr>
                    <w:t>5</w:t>
                  </w:r>
                </w:p>
              </w:tc>
              <w:tc>
                <w:tcPr>
                  <w:tcW w:w="479" w:type="pct"/>
                  <w:shd w:val="clear" w:color="auto" w:fill="auto"/>
                  <w:noWrap w:val="0"/>
                  <w:vAlign w:val="center"/>
                </w:tcPr>
                <w:p w14:paraId="7E0AD912">
                  <w:pPr>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70</w:t>
                  </w:r>
                </w:p>
              </w:tc>
              <w:tc>
                <w:tcPr>
                  <w:tcW w:w="358" w:type="pct"/>
                  <w:noWrap w:val="0"/>
                  <w:vAlign w:val="center"/>
                </w:tcPr>
                <w:p w14:paraId="1F8D0B12">
                  <w:pPr>
                    <w:jc w:val="center"/>
                    <w:rPr>
                      <w:rFonts w:hint="default"/>
                      <w:color w:val="auto"/>
                      <w:szCs w:val="21"/>
                      <w:lang w:val="en-US" w:eastAsia="zh-CN"/>
                    </w:rPr>
                  </w:pPr>
                  <w:r>
                    <w:rPr>
                      <w:rFonts w:hint="eastAsia"/>
                      <w:color w:val="auto"/>
                      <w:szCs w:val="21"/>
                      <w:lang w:val="en-US" w:eastAsia="zh-CN"/>
                    </w:rPr>
                    <w:t>15.91</w:t>
                  </w:r>
                </w:p>
              </w:tc>
              <w:tc>
                <w:tcPr>
                  <w:tcW w:w="403" w:type="pct"/>
                  <w:noWrap w:val="0"/>
                  <w:vAlign w:val="center"/>
                </w:tcPr>
                <w:p w14:paraId="18A05D81">
                  <w:pPr>
                    <w:jc w:val="center"/>
                    <w:rPr>
                      <w:rFonts w:hint="default"/>
                      <w:color w:val="auto"/>
                      <w:szCs w:val="21"/>
                      <w:lang w:val="en-US" w:eastAsia="zh-CN"/>
                    </w:rPr>
                  </w:pPr>
                  <w:r>
                    <w:rPr>
                      <w:rFonts w:hint="eastAsia"/>
                      <w:color w:val="auto"/>
                      <w:szCs w:val="21"/>
                      <w:lang w:val="en-US" w:eastAsia="zh-CN"/>
                    </w:rPr>
                    <w:t>-1.18</w:t>
                  </w:r>
                </w:p>
              </w:tc>
              <w:tc>
                <w:tcPr>
                  <w:tcW w:w="431" w:type="pct"/>
                  <w:noWrap w:val="0"/>
                  <w:vAlign w:val="center"/>
                </w:tcPr>
                <w:p w14:paraId="220CCD0C">
                  <w:pPr>
                    <w:jc w:val="center"/>
                    <w:rPr>
                      <w:rFonts w:hint="eastAsia"/>
                      <w:color w:val="auto"/>
                      <w:kern w:val="2"/>
                      <w:sz w:val="21"/>
                      <w:szCs w:val="21"/>
                      <w:lang w:val="en-US" w:eastAsia="zh-CN" w:bidi="ar-SA"/>
                    </w:rPr>
                  </w:pPr>
                  <w:r>
                    <w:rPr>
                      <w:rFonts w:hint="eastAsia"/>
                      <w:color w:val="auto"/>
                      <w:szCs w:val="21"/>
                    </w:rPr>
                    <w:t>1</w:t>
                  </w:r>
                </w:p>
              </w:tc>
              <w:tc>
                <w:tcPr>
                  <w:tcW w:w="279" w:type="pct"/>
                  <w:vMerge w:val="continue"/>
                  <w:noWrap w:val="0"/>
                  <w:vAlign w:val="center"/>
                </w:tcPr>
                <w:p w14:paraId="4C013696">
                  <w:pPr>
                    <w:jc w:val="center"/>
                    <w:rPr>
                      <w:rFonts w:hint="eastAsia"/>
                      <w:color w:val="auto"/>
                      <w:szCs w:val="21"/>
                    </w:rPr>
                  </w:pPr>
                </w:p>
              </w:tc>
              <w:tc>
                <w:tcPr>
                  <w:tcW w:w="389" w:type="pct"/>
                  <w:vMerge w:val="continue"/>
                  <w:noWrap w:val="0"/>
                  <w:vAlign w:val="center"/>
                </w:tcPr>
                <w:p w14:paraId="52567A6B">
                  <w:pPr>
                    <w:jc w:val="center"/>
                    <w:rPr>
                      <w:rFonts w:hint="eastAsia"/>
                      <w:color w:val="auto"/>
                      <w:szCs w:val="21"/>
                    </w:rPr>
                  </w:pPr>
                </w:p>
              </w:tc>
            </w:tr>
            <w:tr w14:paraId="3CAD8A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continue"/>
                  <w:noWrap w:val="0"/>
                  <w:vAlign w:val="center"/>
                </w:tcPr>
                <w:p w14:paraId="2CA0061E">
                  <w:pPr>
                    <w:pStyle w:val="10"/>
                    <w:jc w:val="center"/>
                    <w:rPr>
                      <w:rFonts w:hint="eastAsia" w:eastAsia="宋体"/>
                      <w:color w:val="auto"/>
                      <w:kern w:val="2"/>
                      <w:sz w:val="21"/>
                      <w:szCs w:val="21"/>
                      <w:lang w:val="en-US" w:eastAsia="zh-CN"/>
                    </w:rPr>
                  </w:pPr>
                </w:p>
              </w:tc>
              <w:tc>
                <w:tcPr>
                  <w:tcW w:w="373" w:type="pct"/>
                  <w:vMerge w:val="continue"/>
                  <w:noWrap w:val="0"/>
                  <w:vAlign w:val="center"/>
                </w:tcPr>
                <w:p w14:paraId="066D2B8F">
                  <w:pPr>
                    <w:pStyle w:val="32"/>
                    <w:spacing w:before="48" w:after="48"/>
                    <w:rPr>
                      <w:rFonts w:hint="eastAsia" w:ascii="Times New Roman" w:hAnsi="Times New Roman"/>
                      <w:color w:val="auto"/>
                      <w:szCs w:val="21"/>
                      <w:lang w:val="en-US" w:eastAsia="zh-CN"/>
                    </w:rPr>
                  </w:pPr>
                </w:p>
              </w:tc>
              <w:tc>
                <w:tcPr>
                  <w:tcW w:w="679" w:type="pct"/>
                  <w:shd w:val="clear" w:color="auto" w:fill="auto"/>
                  <w:noWrap w:val="0"/>
                  <w:vAlign w:val="center"/>
                </w:tcPr>
                <w:p w14:paraId="440C4C6D">
                  <w:pPr>
                    <w:pStyle w:val="32"/>
                    <w:spacing w:before="48" w:after="48"/>
                    <w:rPr>
                      <w:rFonts w:hint="eastAsia" w:ascii="Times New Roman" w:hAnsi="Times New Roman" w:eastAsia="宋体" w:cs="宋体"/>
                      <w:color w:val="auto"/>
                      <w:kern w:val="2"/>
                      <w:sz w:val="21"/>
                      <w:szCs w:val="21"/>
                      <w:lang w:val="en-US" w:eastAsia="zh-CN" w:bidi="ar-SA"/>
                    </w:rPr>
                  </w:pPr>
                  <w:r>
                    <w:rPr>
                      <w:rFonts w:hint="eastAsia" w:ascii="Times New Roman" w:hAnsi="Times New Roman"/>
                      <w:color w:val="auto"/>
                      <w:szCs w:val="21"/>
                      <w:lang w:val="en-US" w:eastAsia="zh-CN"/>
                    </w:rPr>
                    <w:t>75</w:t>
                  </w:r>
                </w:p>
              </w:tc>
              <w:tc>
                <w:tcPr>
                  <w:tcW w:w="421" w:type="pct"/>
                  <w:vMerge w:val="continue"/>
                  <w:noWrap w:val="0"/>
                  <w:vAlign w:val="center"/>
                </w:tcPr>
                <w:p w14:paraId="4038515B">
                  <w:pPr>
                    <w:jc w:val="center"/>
                    <w:rPr>
                      <w:rFonts w:hint="eastAsia"/>
                      <w:color w:val="auto"/>
                      <w:kern w:val="2"/>
                      <w:sz w:val="21"/>
                      <w:szCs w:val="21"/>
                      <w:lang w:val="en-US" w:eastAsia="zh-CN" w:bidi="ar-SA"/>
                    </w:rPr>
                  </w:pPr>
                </w:p>
              </w:tc>
              <w:tc>
                <w:tcPr>
                  <w:tcW w:w="415" w:type="pct"/>
                  <w:noWrap w:val="0"/>
                  <w:vAlign w:val="center"/>
                </w:tcPr>
                <w:p w14:paraId="55506945">
                  <w:pPr>
                    <w:jc w:val="center"/>
                    <w:rPr>
                      <w:rFonts w:hint="eastAsia" w:eastAsia="宋体"/>
                      <w:color w:val="auto"/>
                      <w:kern w:val="2"/>
                      <w:sz w:val="21"/>
                      <w:szCs w:val="21"/>
                      <w:lang w:val="en-US" w:eastAsia="zh-CN" w:bidi="ar-SA"/>
                    </w:rPr>
                  </w:pPr>
                  <w:r>
                    <w:rPr>
                      <w:rFonts w:hint="eastAsia"/>
                      <w:color w:val="auto"/>
                      <w:szCs w:val="21"/>
                      <w:lang w:val="en-US" w:eastAsia="zh-CN"/>
                    </w:rPr>
                    <w:t>5</w:t>
                  </w:r>
                </w:p>
              </w:tc>
              <w:tc>
                <w:tcPr>
                  <w:tcW w:w="479" w:type="pct"/>
                  <w:shd w:val="clear" w:color="auto" w:fill="auto"/>
                  <w:noWrap w:val="0"/>
                  <w:vAlign w:val="center"/>
                </w:tcPr>
                <w:p w14:paraId="720EA200">
                  <w:pPr>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70</w:t>
                  </w:r>
                </w:p>
              </w:tc>
              <w:tc>
                <w:tcPr>
                  <w:tcW w:w="358" w:type="pct"/>
                  <w:noWrap w:val="0"/>
                  <w:vAlign w:val="center"/>
                </w:tcPr>
                <w:p w14:paraId="3F5932E2">
                  <w:pPr>
                    <w:jc w:val="center"/>
                    <w:rPr>
                      <w:rFonts w:hint="default"/>
                      <w:color w:val="auto"/>
                      <w:szCs w:val="21"/>
                      <w:lang w:val="en-US" w:eastAsia="zh-CN"/>
                    </w:rPr>
                  </w:pPr>
                  <w:r>
                    <w:rPr>
                      <w:rFonts w:hint="eastAsia"/>
                      <w:color w:val="auto"/>
                      <w:szCs w:val="21"/>
                      <w:lang w:val="en-US" w:eastAsia="zh-CN"/>
                    </w:rPr>
                    <w:t>17.79</w:t>
                  </w:r>
                </w:p>
              </w:tc>
              <w:tc>
                <w:tcPr>
                  <w:tcW w:w="403" w:type="pct"/>
                  <w:noWrap w:val="0"/>
                  <w:vAlign w:val="center"/>
                </w:tcPr>
                <w:p w14:paraId="05341F71">
                  <w:pPr>
                    <w:jc w:val="center"/>
                    <w:rPr>
                      <w:rFonts w:hint="default"/>
                      <w:color w:val="auto"/>
                      <w:szCs w:val="21"/>
                      <w:lang w:val="en-US" w:eastAsia="zh-CN"/>
                    </w:rPr>
                  </w:pPr>
                  <w:r>
                    <w:rPr>
                      <w:rFonts w:hint="eastAsia"/>
                      <w:color w:val="auto"/>
                      <w:szCs w:val="21"/>
                      <w:lang w:val="en-US" w:eastAsia="zh-CN"/>
                    </w:rPr>
                    <w:t>-1.93</w:t>
                  </w:r>
                </w:p>
              </w:tc>
              <w:tc>
                <w:tcPr>
                  <w:tcW w:w="431" w:type="pct"/>
                  <w:noWrap w:val="0"/>
                  <w:vAlign w:val="center"/>
                </w:tcPr>
                <w:p w14:paraId="73635544">
                  <w:pPr>
                    <w:jc w:val="center"/>
                    <w:rPr>
                      <w:rFonts w:hint="eastAsia"/>
                      <w:color w:val="auto"/>
                      <w:kern w:val="2"/>
                      <w:sz w:val="21"/>
                      <w:szCs w:val="21"/>
                      <w:lang w:val="en-US" w:eastAsia="zh-CN" w:bidi="ar-SA"/>
                    </w:rPr>
                  </w:pPr>
                  <w:r>
                    <w:rPr>
                      <w:rFonts w:hint="eastAsia"/>
                      <w:color w:val="auto"/>
                      <w:szCs w:val="21"/>
                    </w:rPr>
                    <w:t>1</w:t>
                  </w:r>
                </w:p>
              </w:tc>
              <w:tc>
                <w:tcPr>
                  <w:tcW w:w="279" w:type="pct"/>
                  <w:vMerge w:val="continue"/>
                  <w:noWrap w:val="0"/>
                  <w:vAlign w:val="center"/>
                </w:tcPr>
                <w:p w14:paraId="71AC4634">
                  <w:pPr>
                    <w:jc w:val="center"/>
                    <w:rPr>
                      <w:rFonts w:hint="eastAsia"/>
                      <w:color w:val="auto"/>
                      <w:szCs w:val="21"/>
                    </w:rPr>
                  </w:pPr>
                </w:p>
              </w:tc>
              <w:tc>
                <w:tcPr>
                  <w:tcW w:w="389" w:type="pct"/>
                  <w:vMerge w:val="continue"/>
                  <w:noWrap w:val="0"/>
                  <w:vAlign w:val="center"/>
                </w:tcPr>
                <w:p w14:paraId="2C9FA6C1">
                  <w:pPr>
                    <w:jc w:val="center"/>
                    <w:rPr>
                      <w:rFonts w:hint="eastAsia"/>
                      <w:color w:val="auto"/>
                      <w:szCs w:val="21"/>
                    </w:rPr>
                  </w:pPr>
                </w:p>
              </w:tc>
            </w:tr>
            <w:tr w14:paraId="408247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continue"/>
                  <w:noWrap w:val="0"/>
                  <w:vAlign w:val="center"/>
                </w:tcPr>
                <w:p w14:paraId="351C1BAC">
                  <w:pPr>
                    <w:pStyle w:val="10"/>
                    <w:jc w:val="center"/>
                    <w:rPr>
                      <w:rFonts w:hint="eastAsia" w:eastAsia="宋体"/>
                      <w:color w:val="auto"/>
                      <w:kern w:val="2"/>
                      <w:sz w:val="21"/>
                      <w:szCs w:val="21"/>
                      <w:lang w:val="en-US" w:eastAsia="zh-CN"/>
                    </w:rPr>
                  </w:pPr>
                </w:p>
              </w:tc>
              <w:tc>
                <w:tcPr>
                  <w:tcW w:w="373" w:type="pct"/>
                  <w:vMerge w:val="continue"/>
                  <w:noWrap w:val="0"/>
                  <w:vAlign w:val="center"/>
                </w:tcPr>
                <w:p w14:paraId="4AC63C42">
                  <w:pPr>
                    <w:pStyle w:val="32"/>
                    <w:spacing w:before="48" w:after="48"/>
                    <w:rPr>
                      <w:rFonts w:hint="eastAsia" w:ascii="Times New Roman" w:hAnsi="Times New Roman"/>
                      <w:color w:val="auto"/>
                      <w:szCs w:val="21"/>
                      <w:lang w:val="en-US" w:eastAsia="zh-CN"/>
                    </w:rPr>
                  </w:pPr>
                </w:p>
              </w:tc>
              <w:tc>
                <w:tcPr>
                  <w:tcW w:w="679" w:type="pct"/>
                  <w:shd w:val="clear" w:color="auto" w:fill="auto"/>
                  <w:noWrap w:val="0"/>
                  <w:vAlign w:val="center"/>
                </w:tcPr>
                <w:p w14:paraId="4A76B73F">
                  <w:pPr>
                    <w:pStyle w:val="32"/>
                    <w:spacing w:before="48" w:after="48"/>
                    <w:rPr>
                      <w:rFonts w:hint="eastAsia" w:ascii="Times New Roman" w:hAnsi="Times New Roman" w:eastAsia="宋体" w:cs="宋体"/>
                      <w:color w:val="auto"/>
                      <w:kern w:val="2"/>
                      <w:sz w:val="21"/>
                      <w:szCs w:val="21"/>
                      <w:lang w:val="en-US" w:eastAsia="zh-CN" w:bidi="ar-SA"/>
                    </w:rPr>
                  </w:pPr>
                  <w:r>
                    <w:rPr>
                      <w:rFonts w:hint="eastAsia" w:ascii="Times New Roman" w:hAnsi="Times New Roman"/>
                      <w:color w:val="auto"/>
                      <w:szCs w:val="21"/>
                      <w:lang w:val="en-US" w:eastAsia="zh-CN"/>
                    </w:rPr>
                    <w:t>75</w:t>
                  </w:r>
                </w:p>
              </w:tc>
              <w:tc>
                <w:tcPr>
                  <w:tcW w:w="421" w:type="pct"/>
                  <w:vMerge w:val="continue"/>
                  <w:noWrap w:val="0"/>
                  <w:vAlign w:val="center"/>
                </w:tcPr>
                <w:p w14:paraId="55C36B23">
                  <w:pPr>
                    <w:jc w:val="center"/>
                    <w:rPr>
                      <w:rFonts w:hint="eastAsia"/>
                      <w:color w:val="auto"/>
                      <w:kern w:val="2"/>
                      <w:sz w:val="21"/>
                      <w:szCs w:val="21"/>
                      <w:lang w:val="en-US" w:eastAsia="zh-CN" w:bidi="ar-SA"/>
                    </w:rPr>
                  </w:pPr>
                </w:p>
              </w:tc>
              <w:tc>
                <w:tcPr>
                  <w:tcW w:w="415" w:type="pct"/>
                  <w:noWrap w:val="0"/>
                  <w:vAlign w:val="center"/>
                </w:tcPr>
                <w:p w14:paraId="4921A6D9">
                  <w:pPr>
                    <w:jc w:val="center"/>
                    <w:rPr>
                      <w:rFonts w:hint="eastAsia" w:eastAsia="宋体"/>
                      <w:color w:val="auto"/>
                      <w:kern w:val="2"/>
                      <w:sz w:val="21"/>
                      <w:szCs w:val="21"/>
                      <w:lang w:val="en-US" w:eastAsia="zh-CN" w:bidi="ar-SA"/>
                    </w:rPr>
                  </w:pPr>
                  <w:r>
                    <w:rPr>
                      <w:rFonts w:hint="eastAsia"/>
                      <w:color w:val="auto"/>
                      <w:szCs w:val="21"/>
                      <w:lang w:val="en-US" w:eastAsia="zh-CN"/>
                    </w:rPr>
                    <w:t>5</w:t>
                  </w:r>
                </w:p>
              </w:tc>
              <w:tc>
                <w:tcPr>
                  <w:tcW w:w="479" w:type="pct"/>
                  <w:shd w:val="clear" w:color="auto" w:fill="auto"/>
                  <w:noWrap w:val="0"/>
                  <w:vAlign w:val="center"/>
                </w:tcPr>
                <w:p w14:paraId="75028FE1">
                  <w:pPr>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70</w:t>
                  </w:r>
                </w:p>
              </w:tc>
              <w:tc>
                <w:tcPr>
                  <w:tcW w:w="358" w:type="pct"/>
                  <w:noWrap w:val="0"/>
                  <w:vAlign w:val="center"/>
                </w:tcPr>
                <w:p w14:paraId="0E2D4933">
                  <w:pPr>
                    <w:jc w:val="center"/>
                    <w:rPr>
                      <w:rFonts w:hint="default"/>
                      <w:color w:val="auto"/>
                      <w:szCs w:val="21"/>
                      <w:lang w:val="en-US" w:eastAsia="zh-CN"/>
                    </w:rPr>
                  </w:pPr>
                  <w:r>
                    <w:rPr>
                      <w:rFonts w:hint="eastAsia"/>
                      <w:color w:val="auto"/>
                      <w:szCs w:val="21"/>
                      <w:lang w:val="en-US" w:eastAsia="zh-CN"/>
                    </w:rPr>
                    <w:t>19.63</w:t>
                  </w:r>
                </w:p>
              </w:tc>
              <w:tc>
                <w:tcPr>
                  <w:tcW w:w="403" w:type="pct"/>
                  <w:noWrap w:val="0"/>
                  <w:vAlign w:val="center"/>
                </w:tcPr>
                <w:p w14:paraId="2949CA72">
                  <w:pPr>
                    <w:jc w:val="center"/>
                    <w:rPr>
                      <w:rFonts w:hint="default"/>
                      <w:color w:val="auto"/>
                      <w:szCs w:val="21"/>
                      <w:lang w:val="en-US" w:eastAsia="zh-CN"/>
                    </w:rPr>
                  </w:pPr>
                  <w:r>
                    <w:rPr>
                      <w:rFonts w:hint="eastAsia"/>
                      <w:color w:val="auto"/>
                      <w:szCs w:val="21"/>
                      <w:lang w:val="en-US" w:eastAsia="zh-CN"/>
                    </w:rPr>
                    <w:t>-2.62</w:t>
                  </w:r>
                </w:p>
              </w:tc>
              <w:tc>
                <w:tcPr>
                  <w:tcW w:w="431" w:type="pct"/>
                  <w:noWrap w:val="0"/>
                  <w:vAlign w:val="center"/>
                </w:tcPr>
                <w:p w14:paraId="33CC790C">
                  <w:pPr>
                    <w:jc w:val="center"/>
                    <w:rPr>
                      <w:rFonts w:hint="eastAsia" w:eastAsia="宋体"/>
                      <w:color w:val="auto"/>
                      <w:kern w:val="2"/>
                      <w:sz w:val="21"/>
                      <w:szCs w:val="21"/>
                      <w:lang w:val="en-US" w:eastAsia="zh-CN" w:bidi="ar-SA"/>
                    </w:rPr>
                  </w:pPr>
                  <w:r>
                    <w:rPr>
                      <w:rFonts w:hint="eastAsia"/>
                      <w:color w:val="auto"/>
                      <w:szCs w:val="21"/>
                      <w:lang w:val="en-US" w:eastAsia="zh-CN"/>
                    </w:rPr>
                    <w:t>1</w:t>
                  </w:r>
                </w:p>
              </w:tc>
              <w:tc>
                <w:tcPr>
                  <w:tcW w:w="279" w:type="pct"/>
                  <w:vMerge w:val="continue"/>
                  <w:noWrap w:val="0"/>
                  <w:vAlign w:val="center"/>
                </w:tcPr>
                <w:p w14:paraId="72B2C546">
                  <w:pPr>
                    <w:jc w:val="center"/>
                    <w:rPr>
                      <w:rFonts w:hint="eastAsia"/>
                      <w:color w:val="auto"/>
                      <w:szCs w:val="21"/>
                    </w:rPr>
                  </w:pPr>
                </w:p>
              </w:tc>
              <w:tc>
                <w:tcPr>
                  <w:tcW w:w="389" w:type="pct"/>
                  <w:vMerge w:val="continue"/>
                  <w:noWrap w:val="0"/>
                  <w:vAlign w:val="center"/>
                </w:tcPr>
                <w:p w14:paraId="1D1EF1BE">
                  <w:pPr>
                    <w:jc w:val="center"/>
                    <w:rPr>
                      <w:rFonts w:hint="eastAsia"/>
                      <w:color w:val="auto"/>
                      <w:szCs w:val="21"/>
                    </w:rPr>
                  </w:pPr>
                </w:p>
              </w:tc>
            </w:tr>
            <w:tr w14:paraId="4ABA6E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continue"/>
                  <w:noWrap w:val="0"/>
                  <w:vAlign w:val="center"/>
                </w:tcPr>
                <w:p w14:paraId="178827E2">
                  <w:pPr>
                    <w:widowControl/>
                    <w:adjustRightInd w:val="0"/>
                    <w:snapToGrid w:val="0"/>
                    <w:jc w:val="center"/>
                    <w:rPr>
                      <w:color w:val="auto"/>
                      <w:kern w:val="0"/>
                      <w:szCs w:val="21"/>
                    </w:rPr>
                  </w:pPr>
                </w:p>
              </w:tc>
              <w:tc>
                <w:tcPr>
                  <w:tcW w:w="373" w:type="pct"/>
                  <w:vMerge w:val="continue"/>
                  <w:noWrap w:val="0"/>
                  <w:vAlign w:val="center"/>
                </w:tcPr>
                <w:p w14:paraId="098BCD45">
                  <w:pPr>
                    <w:pStyle w:val="32"/>
                    <w:spacing w:before="48" w:after="48"/>
                    <w:rPr>
                      <w:rFonts w:hint="eastAsia" w:ascii="Times New Roman" w:hAnsi="Times New Roman"/>
                      <w:color w:val="auto"/>
                      <w:szCs w:val="21"/>
                    </w:rPr>
                  </w:pPr>
                </w:p>
              </w:tc>
              <w:tc>
                <w:tcPr>
                  <w:tcW w:w="679" w:type="pct"/>
                  <w:noWrap w:val="0"/>
                  <w:vAlign w:val="center"/>
                </w:tcPr>
                <w:p w14:paraId="1DCCB452">
                  <w:pPr>
                    <w:pStyle w:val="32"/>
                    <w:spacing w:before="48" w:after="48"/>
                    <w:rPr>
                      <w:rFonts w:hint="default" w:ascii="Times New Roman" w:hAnsi="Times New Roman" w:eastAsia="宋体" w:cs="宋体"/>
                      <w:color w:val="auto"/>
                      <w:kern w:val="2"/>
                      <w:sz w:val="21"/>
                      <w:szCs w:val="21"/>
                      <w:lang w:val="en-US" w:eastAsia="zh-CN" w:bidi="ar-SA"/>
                    </w:rPr>
                  </w:pPr>
                  <w:r>
                    <w:rPr>
                      <w:rFonts w:hint="default" w:ascii="Times New Roman" w:hAnsi="Times New Roman" w:eastAsia="宋体"/>
                      <w:color w:val="auto"/>
                      <w:szCs w:val="21"/>
                      <w:lang w:val="en-US" w:eastAsia="zh-CN"/>
                    </w:rPr>
                    <w:t>7</w:t>
                  </w:r>
                  <w:r>
                    <w:rPr>
                      <w:rFonts w:hint="eastAsia" w:ascii="Times New Roman" w:hAnsi="Times New Roman"/>
                      <w:color w:val="auto"/>
                      <w:szCs w:val="21"/>
                      <w:lang w:val="en-US" w:eastAsia="zh-CN"/>
                    </w:rPr>
                    <w:t>5</w:t>
                  </w:r>
                </w:p>
              </w:tc>
              <w:tc>
                <w:tcPr>
                  <w:tcW w:w="421" w:type="pct"/>
                  <w:vMerge w:val="continue"/>
                  <w:noWrap w:val="0"/>
                  <w:vAlign w:val="center"/>
                </w:tcPr>
                <w:p w14:paraId="470BCE65">
                  <w:pPr>
                    <w:jc w:val="center"/>
                    <w:rPr>
                      <w:rFonts w:hint="eastAsia"/>
                      <w:color w:val="auto"/>
                      <w:kern w:val="2"/>
                      <w:sz w:val="21"/>
                      <w:szCs w:val="21"/>
                      <w:lang w:val="en-US" w:eastAsia="zh-CN" w:bidi="ar-SA"/>
                    </w:rPr>
                  </w:pPr>
                </w:p>
              </w:tc>
              <w:tc>
                <w:tcPr>
                  <w:tcW w:w="415" w:type="pct"/>
                  <w:noWrap w:val="0"/>
                  <w:vAlign w:val="center"/>
                </w:tcPr>
                <w:p w14:paraId="5FA49A9C">
                  <w:pPr>
                    <w:jc w:val="center"/>
                    <w:rPr>
                      <w:rFonts w:hint="eastAsia" w:eastAsia="宋体"/>
                      <w:color w:val="auto"/>
                      <w:kern w:val="2"/>
                      <w:sz w:val="21"/>
                      <w:szCs w:val="21"/>
                      <w:lang w:val="en-US" w:eastAsia="zh-CN" w:bidi="ar-SA"/>
                    </w:rPr>
                  </w:pPr>
                  <w:r>
                    <w:rPr>
                      <w:rFonts w:hint="eastAsia"/>
                      <w:color w:val="auto"/>
                      <w:szCs w:val="21"/>
                      <w:lang w:val="en-US" w:eastAsia="zh-CN"/>
                    </w:rPr>
                    <w:t>5</w:t>
                  </w:r>
                </w:p>
              </w:tc>
              <w:tc>
                <w:tcPr>
                  <w:tcW w:w="479" w:type="pct"/>
                  <w:noWrap w:val="0"/>
                  <w:vAlign w:val="center"/>
                </w:tcPr>
                <w:p w14:paraId="2FAE2B9E">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70</w:t>
                  </w:r>
                </w:p>
              </w:tc>
              <w:tc>
                <w:tcPr>
                  <w:tcW w:w="358" w:type="pct"/>
                  <w:noWrap w:val="0"/>
                  <w:vAlign w:val="center"/>
                </w:tcPr>
                <w:p w14:paraId="68378214">
                  <w:pPr>
                    <w:jc w:val="center"/>
                    <w:rPr>
                      <w:rFonts w:hint="default" w:eastAsia="宋体"/>
                      <w:color w:val="auto"/>
                      <w:szCs w:val="21"/>
                      <w:lang w:val="en-US" w:eastAsia="zh-CN"/>
                    </w:rPr>
                  </w:pPr>
                  <w:r>
                    <w:rPr>
                      <w:rFonts w:hint="eastAsia" w:eastAsia="宋体"/>
                      <w:color w:val="auto"/>
                      <w:szCs w:val="21"/>
                      <w:lang w:val="en-US" w:eastAsia="zh-CN"/>
                    </w:rPr>
                    <w:t>21.33</w:t>
                  </w:r>
                </w:p>
              </w:tc>
              <w:tc>
                <w:tcPr>
                  <w:tcW w:w="403" w:type="pct"/>
                  <w:noWrap w:val="0"/>
                  <w:vAlign w:val="center"/>
                </w:tcPr>
                <w:p w14:paraId="4688BD52">
                  <w:pPr>
                    <w:jc w:val="center"/>
                    <w:rPr>
                      <w:rFonts w:hint="default" w:eastAsia="宋体"/>
                      <w:color w:val="auto"/>
                      <w:szCs w:val="21"/>
                      <w:lang w:val="en-US" w:eastAsia="zh-CN"/>
                    </w:rPr>
                  </w:pPr>
                  <w:r>
                    <w:rPr>
                      <w:rFonts w:hint="eastAsia" w:eastAsia="宋体"/>
                      <w:color w:val="auto"/>
                      <w:szCs w:val="21"/>
                      <w:lang w:val="en-US" w:eastAsia="zh-CN"/>
                    </w:rPr>
                    <w:t>-3.23</w:t>
                  </w:r>
                </w:p>
              </w:tc>
              <w:tc>
                <w:tcPr>
                  <w:tcW w:w="431" w:type="pct"/>
                  <w:noWrap w:val="0"/>
                  <w:vAlign w:val="center"/>
                </w:tcPr>
                <w:p w14:paraId="2E68016B">
                  <w:pPr>
                    <w:jc w:val="center"/>
                    <w:rPr>
                      <w:rFonts w:hint="eastAsia"/>
                      <w:color w:val="auto"/>
                      <w:kern w:val="2"/>
                      <w:sz w:val="21"/>
                      <w:szCs w:val="21"/>
                      <w:lang w:val="en-US" w:eastAsia="zh-CN" w:bidi="ar-SA"/>
                    </w:rPr>
                  </w:pPr>
                  <w:r>
                    <w:rPr>
                      <w:rFonts w:hint="eastAsia"/>
                      <w:color w:val="auto"/>
                      <w:szCs w:val="21"/>
                    </w:rPr>
                    <w:t>1</w:t>
                  </w:r>
                </w:p>
              </w:tc>
              <w:tc>
                <w:tcPr>
                  <w:tcW w:w="279" w:type="pct"/>
                  <w:vMerge w:val="continue"/>
                  <w:noWrap w:val="0"/>
                  <w:vAlign w:val="center"/>
                </w:tcPr>
                <w:p w14:paraId="5E7C9F79">
                  <w:pPr>
                    <w:jc w:val="center"/>
                    <w:rPr>
                      <w:rFonts w:hint="eastAsia"/>
                      <w:color w:val="auto"/>
                      <w:szCs w:val="21"/>
                    </w:rPr>
                  </w:pPr>
                </w:p>
              </w:tc>
              <w:tc>
                <w:tcPr>
                  <w:tcW w:w="389" w:type="pct"/>
                  <w:vMerge w:val="continue"/>
                  <w:noWrap w:val="0"/>
                  <w:vAlign w:val="center"/>
                </w:tcPr>
                <w:p w14:paraId="5F53BA70">
                  <w:pPr>
                    <w:jc w:val="center"/>
                    <w:rPr>
                      <w:rFonts w:hint="eastAsia"/>
                      <w:color w:val="auto"/>
                      <w:szCs w:val="21"/>
                    </w:rPr>
                  </w:pPr>
                </w:p>
              </w:tc>
            </w:tr>
            <w:tr w14:paraId="33B849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restart"/>
                  <w:noWrap w:val="0"/>
                  <w:vAlign w:val="center"/>
                </w:tcPr>
                <w:p w14:paraId="487C5B12">
                  <w:pPr>
                    <w:widowControl/>
                    <w:adjustRightInd w:val="0"/>
                    <w:snapToGrid w:val="0"/>
                    <w:jc w:val="center"/>
                    <w:rPr>
                      <w:rFonts w:hint="default" w:eastAsia="宋体"/>
                      <w:color w:val="auto"/>
                      <w:kern w:val="0"/>
                      <w:szCs w:val="21"/>
                      <w:lang w:val="en-US" w:eastAsia="zh-CN"/>
                    </w:rPr>
                  </w:pPr>
                  <w:r>
                    <w:rPr>
                      <w:rFonts w:hint="eastAsia" w:eastAsia="宋体"/>
                      <w:color w:val="auto"/>
                      <w:kern w:val="2"/>
                      <w:sz w:val="21"/>
                      <w:szCs w:val="21"/>
                      <w:lang w:val="en-US" w:eastAsia="zh-CN"/>
                    </w:rPr>
                    <w:t>一级加压泵</w:t>
                  </w:r>
                </w:p>
              </w:tc>
              <w:tc>
                <w:tcPr>
                  <w:tcW w:w="373" w:type="pct"/>
                  <w:vMerge w:val="restart"/>
                  <w:noWrap w:val="0"/>
                  <w:vAlign w:val="center"/>
                </w:tcPr>
                <w:p w14:paraId="33BBCE5B">
                  <w:pPr>
                    <w:pStyle w:val="32"/>
                    <w:spacing w:before="48" w:after="48"/>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2</w:t>
                  </w:r>
                </w:p>
              </w:tc>
              <w:tc>
                <w:tcPr>
                  <w:tcW w:w="679" w:type="pct"/>
                  <w:noWrap w:val="0"/>
                  <w:vAlign w:val="center"/>
                </w:tcPr>
                <w:p w14:paraId="262FD694">
                  <w:pPr>
                    <w:pStyle w:val="32"/>
                    <w:spacing w:before="48" w:after="48"/>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75</w:t>
                  </w:r>
                </w:p>
              </w:tc>
              <w:tc>
                <w:tcPr>
                  <w:tcW w:w="421" w:type="pct"/>
                  <w:vMerge w:val="continue"/>
                  <w:noWrap w:val="0"/>
                  <w:vAlign w:val="center"/>
                </w:tcPr>
                <w:p w14:paraId="025CFC70">
                  <w:pPr>
                    <w:jc w:val="center"/>
                    <w:rPr>
                      <w:rFonts w:hint="eastAsia"/>
                      <w:color w:val="auto"/>
                      <w:szCs w:val="21"/>
                    </w:rPr>
                  </w:pPr>
                </w:p>
              </w:tc>
              <w:tc>
                <w:tcPr>
                  <w:tcW w:w="415" w:type="pct"/>
                  <w:noWrap w:val="0"/>
                  <w:vAlign w:val="center"/>
                </w:tcPr>
                <w:p w14:paraId="1131EE85">
                  <w:pPr>
                    <w:jc w:val="center"/>
                    <w:rPr>
                      <w:rFonts w:hint="eastAsia" w:eastAsia="宋体"/>
                      <w:color w:val="auto"/>
                      <w:szCs w:val="21"/>
                      <w:lang w:val="en-US" w:eastAsia="zh-CN"/>
                    </w:rPr>
                  </w:pPr>
                  <w:r>
                    <w:rPr>
                      <w:rFonts w:hint="eastAsia"/>
                      <w:color w:val="auto"/>
                      <w:szCs w:val="21"/>
                      <w:lang w:val="en-US" w:eastAsia="zh-CN"/>
                    </w:rPr>
                    <w:t>5</w:t>
                  </w:r>
                </w:p>
              </w:tc>
              <w:tc>
                <w:tcPr>
                  <w:tcW w:w="479" w:type="pct"/>
                  <w:noWrap w:val="0"/>
                  <w:vAlign w:val="center"/>
                </w:tcPr>
                <w:p w14:paraId="2CA84A17">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70</w:t>
                  </w:r>
                </w:p>
              </w:tc>
              <w:tc>
                <w:tcPr>
                  <w:tcW w:w="358" w:type="pct"/>
                  <w:noWrap w:val="0"/>
                  <w:vAlign w:val="center"/>
                </w:tcPr>
                <w:p w14:paraId="130FE997">
                  <w:pPr>
                    <w:jc w:val="center"/>
                    <w:rPr>
                      <w:rFonts w:hint="default" w:eastAsia="宋体"/>
                      <w:color w:val="auto"/>
                      <w:szCs w:val="21"/>
                      <w:lang w:val="en-US" w:eastAsia="zh-CN"/>
                    </w:rPr>
                  </w:pPr>
                  <w:r>
                    <w:rPr>
                      <w:rFonts w:hint="eastAsia" w:eastAsia="宋体"/>
                      <w:color w:val="auto"/>
                      <w:szCs w:val="21"/>
                      <w:lang w:val="en-US" w:eastAsia="zh-CN"/>
                    </w:rPr>
                    <w:t>33.61</w:t>
                  </w:r>
                </w:p>
              </w:tc>
              <w:tc>
                <w:tcPr>
                  <w:tcW w:w="403" w:type="pct"/>
                  <w:noWrap w:val="0"/>
                  <w:vAlign w:val="center"/>
                </w:tcPr>
                <w:p w14:paraId="441F1CD9">
                  <w:pPr>
                    <w:jc w:val="center"/>
                    <w:rPr>
                      <w:rFonts w:hint="default" w:eastAsia="宋体"/>
                      <w:color w:val="auto"/>
                      <w:szCs w:val="21"/>
                      <w:lang w:val="en-US" w:eastAsia="zh-CN"/>
                    </w:rPr>
                  </w:pPr>
                  <w:r>
                    <w:rPr>
                      <w:rFonts w:hint="eastAsia" w:eastAsia="宋体"/>
                      <w:color w:val="auto"/>
                      <w:szCs w:val="21"/>
                      <w:lang w:val="en-US" w:eastAsia="zh-CN"/>
                    </w:rPr>
                    <w:t>-5.37</w:t>
                  </w:r>
                </w:p>
              </w:tc>
              <w:tc>
                <w:tcPr>
                  <w:tcW w:w="431" w:type="pct"/>
                  <w:noWrap w:val="0"/>
                  <w:vAlign w:val="center"/>
                </w:tcPr>
                <w:p w14:paraId="69FE2D90">
                  <w:pPr>
                    <w:jc w:val="center"/>
                    <w:rPr>
                      <w:rFonts w:hint="eastAsia"/>
                      <w:color w:val="auto"/>
                      <w:szCs w:val="21"/>
                    </w:rPr>
                  </w:pPr>
                  <w:r>
                    <w:rPr>
                      <w:rFonts w:hint="eastAsia"/>
                      <w:color w:val="auto"/>
                      <w:szCs w:val="21"/>
                    </w:rPr>
                    <w:t>1</w:t>
                  </w:r>
                </w:p>
              </w:tc>
              <w:tc>
                <w:tcPr>
                  <w:tcW w:w="279" w:type="pct"/>
                  <w:vMerge w:val="continue"/>
                  <w:noWrap w:val="0"/>
                  <w:vAlign w:val="center"/>
                </w:tcPr>
                <w:p w14:paraId="5BC830DE">
                  <w:pPr>
                    <w:jc w:val="center"/>
                    <w:rPr>
                      <w:rFonts w:hint="eastAsia"/>
                      <w:color w:val="auto"/>
                      <w:szCs w:val="21"/>
                    </w:rPr>
                  </w:pPr>
                </w:p>
              </w:tc>
              <w:tc>
                <w:tcPr>
                  <w:tcW w:w="389" w:type="pct"/>
                  <w:vMerge w:val="continue"/>
                  <w:noWrap w:val="0"/>
                  <w:vAlign w:val="center"/>
                </w:tcPr>
                <w:p w14:paraId="7E75D35B">
                  <w:pPr>
                    <w:jc w:val="center"/>
                    <w:rPr>
                      <w:rFonts w:hint="eastAsia"/>
                      <w:color w:val="auto"/>
                      <w:szCs w:val="21"/>
                    </w:rPr>
                  </w:pPr>
                </w:p>
              </w:tc>
            </w:tr>
            <w:tr w14:paraId="703496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continue"/>
                  <w:noWrap w:val="0"/>
                  <w:vAlign w:val="center"/>
                </w:tcPr>
                <w:p w14:paraId="7C131C3D">
                  <w:pPr>
                    <w:widowControl/>
                    <w:adjustRightInd w:val="0"/>
                    <w:snapToGrid w:val="0"/>
                    <w:jc w:val="center"/>
                    <w:rPr>
                      <w:rFonts w:hint="default" w:eastAsia="宋体"/>
                      <w:color w:val="auto"/>
                      <w:kern w:val="0"/>
                      <w:szCs w:val="21"/>
                      <w:lang w:val="en-US" w:eastAsia="zh-CN"/>
                    </w:rPr>
                  </w:pPr>
                </w:p>
              </w:tc>
              <w:tc>
                <w:tcPr>
                  <w:tcW w:w="373" w:type="pct"/>
                  <w:vMerge w:val="continue"/>
                  <w:noWrap w:val="0"/>
                  <w:vAlign w:val="center"/>
                </w:tcPr>
                <w:p w14:paraId="7BCA8977">
                  <w:pPr>
                    <w:pStyle w:val="32"/>
                    <w:spacing w:before="48" w:after="48"/>
                    <w:rPr>
                      <w:rFonts w:hint="eastAsia" w:ascii="Times New Roman" w:hAnsi="Times New Roman"/>
                      <w:color w:val="auto"/>
                      <w:szCs w:val="21"/>
                      <w:lang w:val="en-US" w:eastAsia="zh-CN"/>
                    </w:rPr>
                  </w:pPr>
                </w:p>
              </w:tc>
              <w:tc>
                <w:tcPr>
                  <w:tcW w:w="679" w:type="pct"/>
                  <w:noWrap w:val="0"/>
                  <w:vAlign w:val="center"/>
                </w:tcPr>
                <w:p w14:paraId="6993413D">
                  <w:pPr>
                    <w:pStyle w:val="32"/>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421" w:type="pct"/>
                  <w:vMerge w:val="continue"/>
                  <w:noWrap w:val="0"/>
                  <w:vAlign w:val="center"/>
                </w:tcPr>
                <w:p w14:paraId="573E40D4">
                  <w:pPr>
                    <w:jc w:val="center"/>
                    <w:rPr>
                      <w:rFonts w:hint="eastAsia"/>
                      <w:color w:val="auto"/>
                      <w:szCs w:val="21"/>
                    </w:rPr>
                  </w:pPr>
                </w:p>
              </w:tc>
              <w:tc>
                <w:tcPr>
                  <w:tcW w:w="415" w:type="pct"/>
                  <w:noWrap w:val="0"/>
                  <w:vAlign w:val="center"/>
                </w:tcPr>
                <w:p w14:paraId="208BFC74">
                  <w:pPr>
                    <w:jc w:val="center"/>
                    <w:rPr>
                      <w:rFonts w:hint="default"/>
                      <w:color w:val="auto"/>
                      <w:szCs w:val="21"/>
                      <w:lang w:val="en-US" w:eastAsia="zh-CN"/>
                    </w:rPr>
                  </w:pPr>
                  <w:r>
                    <w:rPr>
                      <w:rFonts w:hint="eastAsia"/>
                      <w:color w:val="auto"/>
                      <w:szCs w:val="21"/>
                      <w:lang w:val="en-US" w:eastAsia="zh-CN"/>
                    </w:rPr>
                    <w:t>5</w:t>
                  </w:r>
                </w:p>
              </w:tc>
              <w:tc>
                <w:tcPr>
                  <w:tcW w:w="479" w:type="pct"/>
                  <w:noWrap w:val="0"/>
                  <w:vAlign w:val="center"/>
                </w:tcPr>
                <w:p w14:paraId="082EDB8B">
                  <w:pPr>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70</w:t>
                  </w:r>
                </w:p>
              </w:tc>
              <w:tc>
                <w:tcPr>
                  <w:tcW w:w="358" w:type="pct"/>
                  <w:noWrap w:val="0"/>
                  <w:vAlign w:val="center"/>
                </w:tcPr>
                <w:p w14:paraId="5D3968AC">
                  <w:pPr>
                    <w:jc w:val="center"/>
                    <w:rPr>
                      <w:rFonts w:hint="default"/>
                      <w:color w:val="auto"/>
                      <w:szCs w:val="21"/>
                      <w:lang w:val="en-US" w:eastAsia="zh-CN"/>
                    </w:rPr>
                  </w:pPr>
                  <w:r>
                    <w:rPr>
                      <w:rFonts w:hint="eastAsia"/>
                      <w:color w:val="auto"/>
                      <w:szCs w:val="21"/>
                      <w:lang w:val="en-US" w:eastAsia="zh-CN"/>
                    </w:rPr>
                    <w:t>33.32</w:t>
                  </w:r>
                </w:p>
              </w:tc>
              <w:tc>
                <w:tcPr>
                  <w:tcW w:w="403" w:type="pct"/>
                  <w:noWrap w:val="0"/>
                  <w:vAlign w:val="center"/>
                </w:tcPr>
                <w:p w14:paraId="59C80829">
                  <w:pPr>
                    <w:jc w:val="center"/>
                    <w:rPr>
                      <w:rFonts w:hint="default"/>
                      <w:color w:val="auto"/>
                      <w:szCs w:val="21"/>
                      <w:lang w:val="en-US" w:eastAsia="zh-CN"/>
                    </w:rPr>
                  </w:pPr>
                  <w:r>
                    <w:rPr>
                      <w:rFonts w:hint="eastAsia"/>
                      <w:color w:val="auto"/>
                      <w:szCs w:val="21"/>
                      <w:lang w:val="en-US" w:eastAsia="zh-CN"/>
                    </w:rPr>
                    <w:t>-6.41</w:t>
                  </w:r>
                </w:p>
              </w:tc>
              <w:tc>
                <w:tcPr>
                  <w:tcW w:w="431" w:type="pct"/>
                  <w:noWrap w:val="0"/>
                  <w:vAlign w:val="center"/>
                </w:tcPr>
                <w:p w14:paraId="390D247A">
                  <w:pPr>
                    <w:jc w:val="center"/>
                    <w:rPr>
                      <w:rFonts w:hint="eastAsia" w:eastAsia="宋体"/>
                      <w:color w:val="auto"/>
                      <w:szCs w:val="21"/>
                      <w:lang w:val="en-US" w:eastAsia="zh-CN"/>
                    </w:rPr>
                  </w:pPr>
                  <w:r>
                    <w:rPr>
                      <w:rFonts w:hint="eastAsia"/>
                      <w:color w:val="auto"/>
                      <w:szCs w:val="21"/>
                      <w:lang w:val="en-US" w:eastAsia="zh-CN"/>
                    </w:rPr>
                    <w:t>1</w:t>
                  </w:r>
                </w:p>
              </w:tc>
              <w:tc>
                <w:tcPr>
                  <w:tcW w:w="279" w:type="pct"/>
                  <w:vMerge w:val="continue"/>
                  <w:noWrap w:val="0"/>
                  <w:vAlign w:val="center"/>
                </w:tcPr>
                <w:p w14:paraId="75ACA7C2">
                  <w:pPr>
                    <w:jc w:val="center"/>
                    <w:rPr>
                      <w:rFonts w:hint="eastAsia"/>
                      <w:color w:val="auto"/>
                      <w:szCs w:val="21"/>
                    </w:rPr>
                  </w:pPr>
                </w:p>
              </w:tc>
              <w:tc>
                <w:tcPr>
                  <w:tcW w:w="389" w:type="pct"/>
                  <w:vMerge w:val="continue"/>
                  <w:noWrap w:val="0"/>
                  <w:vAlign w:val="center"/>
                </w:tcPr>
                <w:p w14:paraId="3A59277D">
                  <w:pPr>
                    <w:jc w:val="center"/>
                    <w:rPr>
                      <w:rFonts w:hint="eastAsia"/>
                      <w:color w:val="auto"/>
                      <w:szCs w:val="21"/>
                    </w:rPr>
                  </w:pPr>
                </w:p>
              </w:tc>
            </w:tr>
            <w:tr w14:paraId="1318A8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769" w:type="pct"/>
                  <w:vMerge w:val="restart"/>
                  <w:noWrap w:val="0"/>
                  <w:vAlign w:val="center"/>
                </w:tcPr>
                <w:p w14:paraId="0DF4AFAF">
                  <w:pPr>
                    <w:widowControl/>
                    <w:adjustRightInd w:val="0"/>
                    <w:snapToGrid w:val="0"/>
                    <w:jc w:val="center"/>
                    <w:rPr>
                      <w:rFonts w:hint="eastAsia" w:eastAsia="宋体"/>
                      <w:color w:val="auto"/>
                      <w:kern w:val="0"/>
                      <w:szCs w:val="21"/>
                      <w:lang w:val="en-US" w:eastAsia="zh-CN"/>
                    </w:rPr>
                  </w:pPr>
                  <w:r>
                    <w:rPr>
                      <w:rFonts w:hint="eastAsia" w:eastAsia="宋体"/>
                      <w:color w:val="auto"/>
                      <w:kern w:val="2"/>
                      <w:sz w:val="21"/>
                      <w:szCs w:val="21"/>
                      <w:lang w:val="en-US" w:eastAsia="zh-CN"/>
                    </w:rPr>
                    <w:t>二级加压泵</w:t>
                  </w:r>
                </w:p>
              </w:tc>
              <w:tc>
                <w:tcPr>
                  <w:tcW w:w="373" w:type="pct"/>
                  <w:vMerge w:val="restart"/>
                  <w:noWrap w:val="0"/>
                  <w:vAlign w:val="center"/>
                </w:tcPr>
                <w:p w14:paraId="3AE6F405">
                  <w:pPr>
                    <w:pStyle w:val="32"/>
                    <w:spacing w:before="48" w:after="48"/>
                    <w:rPr>
                      <w:rFonts w:hint="eastAsia" w:ascii="Times New Roman" w:hAnsi="Times New Roman" w:eastAsia="宋体"/>
                      <w:color w:val="auto"/>
                      <w:szCs w:val="21"/>
                      <w:lang w:val="en-US" w:eastAsia="zh-CN"/>
                    </w:rPr>
                  </w:pPr>
                  <w:r>
                    <w:rPr>
                      <w:rFonts w:hint="eastAsia" w:ascii="Times New Roman" w:hAnsi="Times New Roman"/>
                      <w:color w:val="auto"/>
                      <w:szCs w:val="21"/>
                      <w:lang w:val="en-US" w:eastAsia="zh-CN"/>
                    </w:rPr>
                    <w:t>2</w:t>
                  </w:r>
                </w:p>
              </w:tc>
              <w:tc>
                <w:tcPr>
                  <w:tcW w:w="679" w:type="pct"/>
                  <w:noWrap w:val="0"/>
                  <w:vAlign w:val="center"/>
                </w:tcPr>
                <w:p w14:paraId="1C6759FF">
                  <w:pPr>
                    <w:pStyle w:val="32"/>
                    <w:spacing w:before="48" w:after="48"/>
                    <w:rPr>
                      <w:rFonts w:hint="default" w:ascii="Times New Roman" w:hAnsi="Times New Roman" w:eastAsia="宋体" w:cs="宋体"/>
                      <w:color w:val="auto"/>
                      <w:kern w:val="2"/>
                      <w:sz w:val="21"/>
                      <w:szCs w:val="21"/>
                      <w:lang w:val="en-US" w:eastAsia="zh-CN" w:bidi="ar-SA"/>
                    </w:rPr>
                  </w:pPr>
                  <w:r>
                    <w:rPr>
                      <w:rFonts w:hint="eastAsia" w:ascii="Times New Roman" w:hAnsi="Times New Roman" w:eastAsia="宋体"/>
                      <w:color w:val="auto"/>
                      <w:szCs w:val="21"/>
                      <w:lang w:val="en-US" w:eastAsia="zh-CN"/>
                    </w:rPr>
                    <w:t>75</w:t>
                  </w:r>
                </w:p>
              </w:tc>
              <w:tc>
                <w:tcPr>
                  <w:tcW w:w="421" w:type="pct"/>
                  <w:vMerge w:val="continue"/>
                  <w:noWrap w:val="0"/>
                  <w:vAlign w:val="center"/>
                </w:tcPr>
                <w:p w14:paraId="64CD51AC">
                  <w:pPr>
                    <w:jc w:val="center"/>
                    <w:rPr>
                      <w:rFonts w:hint="eastAsia"/>
                      <w:color w:val="auto"/>
                      <w:szCs w:val="21"/>
                    </w:rPr>
                  </w:pPr>
                </w:p>
              </w:tc>
              <w:tc>
                <w:tcPr>
                  <w:tcW w:w="415" w:type="pct"/>
                  <w:noWrap w:val="0"/>
                  <w:vAlign w:val="center"/>
                </w:tcPr>
                <w:p w14:paraId="5E927809">
                  <w:pPr>
                    <w:jc w:val="center"/>
                    <w:rPr>
                      <w:rFonts w:hint="eastAsia"/>
                      <w:color w:val="auto"/>
                      <w:kern w:val="2"/>
                      <w:sz w:val="21"/>
                      <w:szCs w:val="21"/>
                      <w:lang w:val="en-US" w:eastAsia="zh-CN" w:bidi="ar-SA"/>
                    </w:rPr>
                  </w:pPr>
                  <w:r>
                    <w:rPr>
                      <w:rFonts w:hint="eastAsia"/>
                      <w:color w:val="auto"/>
                      <w:szCs w:val="21"/>
                      <w:lang w:val="en-US" w:eastAsia="zh-CN"/>
                    </w:rPr>
                    <w:t>5</w:t>
                  </w:r>
                </w:p>
              </w:tc>
              <w:tc>
                <w:tcPr>
                  <w:tcW w:w="479" w:type="pct"/>
                  <w:noWrap w:val="0"/>
                  <w:vAlign w:val="center"/>
                </w:tcPr>
                <w:p w14:paraId="6A890AFA">
                  <w:pPr>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70</w:t>
                  </w:r>
                </w:p>
              </w:tc>
              <w:tc>
                <w:tcPr>
                  <w:tcW w:w="358" w:type="pct"/>
                  <w:noWrap w:val="0"/>
                  <w:vAlign w:val="center"/>
                </w:tcPr>
                <w:p w14:paraId="76FAAF1A">
                  <w:pPr>
                    <w:jc w:val="center"/>
                    <w:rPr>
                      <w:rFonts w:hint="default" w:eastAsia="宋体"/>
                      <w:color w:val="auto"/>
                      <w:szCs w:val="21"/>
                      <w:lang w:val="en-US" w:eastAsia="zh-CN"/>
                    </w:rPr>
                  </w:pPr>
                  <w:r>
                    <w:rPr>
                      <w:rFonts w:hint="eastAsia" w:eastAsia="宋体"/>
                      <w:color w:val="auto"/>
                      <w:szCs w:val="21"/>
                      <w:lang w:val="en-US" w:eastAsia="zh-CN"/>
                    </w:rPr>
                    <w:t>32.52</w:t>
                  </w:r>
                </w:p>
              </w:tc>
              <w:tc>
                <w:tcPr>
                  <w:tcW w:w="403" w:type="pct"/>
                  <w:noWrap w:val="0"/>
                  <w:vAlign w:val="center"/>
                </w:tcPr>
                <w:p w14:paraId="521828A1">
                  <w:pPr>
                    <w:jc w:val="center"/>
                    <w:rPr>
                      <w:rFonts w:hint="default" w:eastAsia="宋体"/>
                      <w:color w:val="auto"/>
                      <w:szCs w:val="21"/>
                      <w:lang w:val="en-US" w:eastAsia="zh-CN"/>
                    </w:rPr>
                  </w:pPr>
                  <w:r>
                    <w:rPr>
                      <w:rFonts w:hint="eastAsia" w:eastAsia="宋体"/>
                      <w:color w:val="auto"/>
                      <w:szCs w:val="21"/>
                      <w:lang w:val="en-US" w:eastAsia="zh-CN"/>
                    </w:rPr>
                    <w:t>-8.98</w:t>
                  </w:r>
                </w:p>
              </w:tc>
              <w:tc>
                <w:tcPr>
                  <w:tcW w:w="431" w:type="pct"/>
                  <w:noWrap w:val="0"/>
                  <w:vAlign w:val="center"/>
                </w:tcPr>
                <w:p w14:paraId="2941B34E">
                  <w:pPr>
                    <w:jc w:val="center"/>
                    <w:rPr>
                      <w:rFonts w:hint="eastAsia"/>
                      <w:color w:val="auto"/>
                      <w:szCs w:val="21"/>
                    </w:rPr>
                  </w:pPr>
                  <w:r>
                    <w:rPr>
                      <w:rFonts w:hint="eastAsia"/>
                      <w:color w:val="auto"/>
                      <w:szCs w:val="21"/>
                    </w:rPr>
                    <w:t>1</w:t>
                  </w:r>
                </w:p>
              </w:tc>
              <w:tc>
                <w:tcPr>
                  <w:tcW w:w="279" w:type="pct"/>
                  <w:vMerge w:val="continue"/>
                  <w:noWrap w:val="0"/>
                  <w:vAlign w:val="center"/>
                </w:tcPr>
                <w:p w14:paraId="3E9EC3FB">
                  <w:pPr>
                    <w:jc w:val="center"/>
                    <w:rPr>
                      <w:rFonts w:hint="eastAsia"/>
                      <w:color w:val="auto"/>
                      <w:szCs w:val="21"/>
                    </w:rPr>
                  </w:pPr>
                </w:p>
              </w:tc>
              <w:tc>
                <w:tcPr>
                  <w:tcW w:w="389" w:type="pct"/>
                  <w:vMerge w:val="continue"/>
                  <w:noWrap w:val="0"/>
                  <w:vAlign w:val="center"/>
                </w:tcPr>
                <w:p w14:paraId="4832E2FA">
                  <w:pPr>
                    <w:jc w:val="center"/>
                    <w:rPr>
                      <w:rFonts w:hint="eastAsia"/>
                      <w:color w:val="auto"/>
                      <w:szCs w:val="21"/>
                    </w:rPr>
                  </w:pPr>
                </w:p>
              </w:tc>
            </w:tr>
            <w:tr w14:paraId="02E122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769" w:type="pct"/>
                  <w:vMerge w:val="continue"/>
                  <w:noWrap w:val="0"/>
                  <w:vAlign w:val="center"/>
                </w:tcPr>
                <w:p w14:paraId="7DAFE7BF">
                  <w:pPr>
                    <w:widowControl/>
                    <w:adjustRightInd w:val="0"/>
                    <w:snapToGrid w:val="0"/>
                    <w:jc w:val="center"/>
                    <w:rPr>
                      <w:rFonts w:hint="eastAsia"/>
                      <w:color w:val="auto"/>
                      <w:kern w:val="0"/>
                      <w:szCs w:val="21"/>
                    </w:rPr>
                  </w:pPr>
                </w:p>
              </w:tc>
              <w:tc>
                <w:tcPr>
                  <w:tcW w:w="373" w:type="pct"/>
                  <w:vMerge w:val="continue"/>
                  <w:noWrap w:val="0"/>
                  <w:vAlign w:val="center"/>
                </w:tcPr>
                <w:p w14:paraId="63292D05">
                  <w:pPr>
                    <w:pStyle w:val="32"/>
                    <w:spacing w:before="48" w:after="48"/>
                    <w:rPr>
                      <w:rFonts w:hint="eastAsia" w:ascii="Times New Roman" w:hAnsi="Times New Roman"/>
                      <w:color w:val="auto"/>
                      <w:szCs w:val="21"/>
                    </w:rPr>
                  </w:pPr>
                </w:p>
              </w:tc>
              <w:tc>
                <w:tcPr>
                  <w:tcW w:w="679" w:type="pct"/>
                  <w:noWrap w:val="0"/>
                  <w:vAlign w:val="center"/>
                </w:tcPr>
                <w:p w14:paraId="030CE3FC">
                  <w:pPr>
                    <w:pStyle w:val="32"/>
                    <w:spacing w:before="48" w:after="48"/>
                    <w:rPr>
                      <w:rFonts w:hint="default" w:ascii="Times New Roman" w:hAnsi="Times New Roman" w:eastAsia="宋体" w:cs="宋体"/>
                      <w:color w:val="auto"/>
                      <w:kern w:val="2"/>
                      <w:sz w:val="21"/>
                      <w:szCs w:val="21"/>
                      <w:lang w:val="en-US" w:eastAsia="zh-CN" w:bidi="ar-SA"/>
                    </w:rPr>
                  </w:pPr>
                  <w:r>
                    <w:rPr>
                      <w:rFonts w:hint="eastAsia" w:ascii="Times New Roman" w:hAnsi="Times New Roman" w:eastAsia="宋体"/>
                      <w:color w:val="auto"/>
                      <w:szCs w:val="21"/>
                      <w:lang w:val="en-US" w:eastAsia="zh-CN"/>
                    </w:rPr>
                    <w:t>75</w:t>
                  </w:r>
                </w:p>
              </w:tc>
              <w:tc>
                <w:tcPr>
                  <w:tcW w:w="421" w:type="pct"/>
                  <w:vMerge w:val="continue"/>
                  <w:noWrap w:val="0"/>
                  <w:vAlign w:val="center"/>
                </w:tcPr>
                <w:p w14:paraId="31FC6D3B">
                  <w:pPr>
                    <w:jc w:val="center"/>
                    <w:rPr>
                      <w:rFonts w:hint="eastAsia" w:ascii="Times New Roman" w:hAnsi="Times New Roman" w:eastAsia="宋体" w:cs="Times New Roman"/>
                      <w:color w:val="auto"/>
                      <w:kern w:val="2"/>
                      <w:sz w:val="21"/>
                      <w:szCs w:val="21"/>
                      <w:lang w:val="en-US" w:eastAsia="zh-CN" w:bidi="ar-SA"/>
                    </w:rPr>
                  </w:pPr>
                </w:p>
              </w:tc>
              <w:tc>
                <w:tcPr>
                  <w:tcW w:w="415" w:type="pct"/>
                  <w:noWrap w:val="0"/>
                  <w:vAlign w:val="center"/>
                </w:tcPr>
                <w:p w14:paraId="24E7475D">
                  <w:pPr>
                    <w:jc w:val="center"/>
                    <w:rPr>
                      <w:rFonts w:hint="eastAsia"/>
                      <w:color w:val="auto"/>
                      <w:kern w:val="2"/>
                      <w:sz w:val="21"/>
                      <w:szCs w:val="21"/>
                      <w:lang w:val="en-US" w:eastAsia="zh-CN" w:bidi="ar-SA"/>
                    </w:rPr>
                  </w:pPr>
                  <w:r>
                    <w:rPr>
                      <w:rFonts w:hint="eastAsia"/>
                      <w:color w:val="auto"/>
                      <w:szCs w:val="21"/>
                      <w:lang w:val="en-US" w:eastAsia="zh-CN"/>
                    </w:rPr>
                    <w:t>5</w:t>
                  </w:r>
                </w:p>
              </w:tc>
              <w:tc>
                <w:tcPr>
                  <w:tcW w:w="479" w:type="pct"/>
                  <w:noWrap w:val="0"/>
                  <w:vAlign w:val="center"/>
                </w:tcPr>
                <w:p w14:paraId="4E8C17F6">
                  <w:pPr>
                    <w:jc w:val="center"/>
                    <w:rPr>
                      <w:rFonts w:hint="eastAsia" w:cs="Times New Roman"/>
                      <w:color w:val="auto"/>
                      <w:kern w:val="2"/>
                      <w:sz w:val="21"/>
                      <w:szCs w:val="21"/>
                      <w:lang w:val="en-US" w:eastAsia="zh-CN" w:bidi="ar-SA"/>
                    </w:rPr>
                  </w:pPr>
                  <w:r>
                    <w:rPr>
                      <w:rFonts w:hint="eastAsia" w:cs="Times New Roman"/>
                      <w:color w:val="auto"/>
                      <w:kern w:val="2"/>
                      <w:sz w:val="21"/>
                      <w:szCs w:val="21"/>
                      <w:lang w:val="en-US" w:eastAsia="zh-CN" w:bidi="ar-SA"/>
                    </w:rPr>
                    <w:t>70</w:t>
                  </w:r>
                </w:p>
              </w:tc>
              <w:tc>
                <w:tcPr>
                  <w:tcW w:w="358" w:type="pct"/>
                  <w:noWrap w:val="0"/>
                  <w:vAlign w:val="center"/>
                </w:tcPr>
                <w:p w14:paraId="5394A941">
                  <w:pPr>
                    <w:jc w:val="center"/>
                    <w:rPr>
                      <w:rFonts w:hint="default" w:eastAsia="宋体"/>
                      <w:color w:val="auto"/>
                      <w:szCs w:val="21"/>
                      <w:lang w:val="en-US" w:eastAsia="zh-CN"/>
                    </w:rPr>
                  </w:pPr>
                  <w:r>
                    <w:rPr>
                      <w:rFonts w:hint="eastAsia" w:eastAsia="宋体"/>
                      <w:color w:val="auto"/>
                      <w:szCs w:val="21"/>
                      <w:lang w:val="en-US" w:eastAsia="zh-CN"/>
                    </w:rPr>
                    <w:t>32.24</w:t>
                  </w:r>
                </w:p>
              </w:tc>
              <w:tc>
                <w:tcPr>
                  <w:tcW w:w="403" w:type="pct"/>
                  <w:noWrap w:val="0"/>
                  <w:vAlign w:val="center"/>
                </w:tcPr>
                <w:p w14:paraId="6C1D5DF0">
                  <w:pPr>
                    <w:jc w:val="center"/>
                    <w:rPr>
                      <w:rFonts w:hint="default" w:eastAsia="宋体"/>
                      <w:color w:val="auto"/>
                      <w:szCs w:val="21"/>
                      <w:lang w:val="en-US" w:eastAsia="zh-CN"/>
                    </w:rPr>
                  </w:pPr>
                  <w:r>
                    <w:rPr>
                      <w:rFonts w:hint="eastAsia" w:eastAsia="宋体"/>
                      <w:color w:val="auto"/>
                      <w:szCs w:val="21"/>
                      <w:lang w:val="en-US" w:eastAsia="zh-CN"/>
                    </w:rPr>
                    <w:t>-9.75</w:t>
                  </w:r>
                </w:p>
              </w:tc>
              <w:tc>
                <w:tcPr>
                  <w:tcW w:w="431" w:type="pct"/>
                  <w:noWrap w:val="0"/>
                  <w:vAlign w:val="center"/>
                </w:tcPr>
                <w:p w14:paraId="6844C7CA">
                  <w:pPr>
                    <w:jc w:val="center"/>
                    <w:rPr>
                      <w:rFonts w:hint="eastAsia"/>
                      <w:color w:val="auto"/>
                      <w:szCs w:val="21"/>
                    </w:rPr>
                  </w:pPr>
                  <w:r>
                    <w:rPr>
                      <w:rFonts w:hint="eastAsia"/>
                      <w:color w:val="auto"/>
                      <w:szCs w:val="21"/>
                    </w:rPr>
                    <w:t>1</w:t>
                  </w:r>
                </w:p>
              </w:tc>
              <w:tc>
                <w:tcPr>
                  <w:tcW w:w="279" w:type="pct"/>
                  <w:vMerge w:val="continue"/>
                  <w:noWrap w:val="0"/>
                  <w:vAlign w:val="center"/>
                </w:tcPr>
                <w:p w14:paraId="246851DA">
                  <w:pPr>
                    <w:jc w:val="center"/>
                    <w:rPr>
                      <w:rFonts w:hint="eastAsia"/>
                      <w:color w:val="auto"/>
                      <w:szCs w:val="21"/>
                    </w:rPr>
                  </w:pPr>
                </w:p>
              </w:tc>
              <w:tc>
                <w:tcPr>
                  <w:tcW w:w="389" w:type="pct"/>
                  <w:vMerge w:val="continue"/>
                  <w:noWrap w:val="0"/>
                  <w:vAlign w:val="center"/>
                </w:tcPr>
                <w:p w14:paraId="25B8658B">
                  <w:pPr>
                    <w:jc w:val="center"/>
                    <w:rPr>
                      <w:rFonts w:hint="eastAsia"/>
                      <w:color w:val="auto"/>
                      <w:szCs w:val="21"/>
                    </w:rPr>
                  </w:pPr>
                </w:p>
              </w:tc>
            </w:tr>
            <w:tr w14:paraId="724D25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000" w:type="pct"/>
                  <w:gridSpan w:val="11"/>
                  <w:noWrap w:val="0"/>
                  <w:vAlign w:val="center"/>
                </w:tcPr>
                <w:p w14:paraId="77EBC18F">
                  <w:pPr>
                    <w:rPr>
                      <w:color w:val="auto"/>
                      <w:szCs w:val="21"/>
                    </w:rPr>
                  </w:pPr>
                  <w:r>
                    <w:rPr>
                      <w:rFonts w:hint="eastAsia"/>
                      <w:color w:val="auto"/>
                      <w:szCs w:val="21"/>
                    </w:rPr>
                    <w:t>注：坐标原点为厂区西南角</w:t>
                  </w:r>
                </w:p>
              </w:tc>
            </w:tr>
          </w:tbl>
          <w:p w14:paraId="07C15E0F">
            <w:pPr>
              <w:pStyle w:val="4"/>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color w:val="auto"/>
                <w:szCs w:val="24"/>
              </w:rPr>
            </w:pPr>
            <w:r>
              <w:rPr>
                <w:rFonts w:hint="eastAsia"/>
                <w:color w:val="auto"/>
                <w:szCs w:val="24"/>
              </w:rPr>
              <w:t>（</w:t>
            </w:r>
            <w:r>
              <w:rPr>
                <w:rFonts w:hint="eastAsia"/>
                <w:color w:val="auto"/>
                <w:szCs w:val="24"/>
                <w:lang w:val="en-US" w:eastAsia="zh-CN"/>
              </w:rPr>
              <w:t>2</w:t>
            </w:r>
            <w:r>
              <w:rPr>
                <w:rFonts w:hint="eastAsia"/>
                <w:color w:val="auto"/>
                <w:szCs w:val="24"/>
              </w:rPr>
              <w:t>）</w:t>
            </w:r>
            <w:r>
              <w:rPr>
                <w:rFonts w:hint="eastAsia"/>
                <w:color w:val="auto"/>
                <w:szCs w:val="24"/>
                <w:lang w:val="en-US" w:eastAsia="zh-CN"/>
              </w:rPr>
              <w:t>预测结果及</w:t>
            </w:r>
            <w:r>
              <w:rPr>
                <w:rFonts w:hint="eastAsia"/>
                <w:color w:val="auto"/>
                <w:szCs w:val="24"/>
              </w:rPr>
              <w:t>达标情况分析</w:t>
            </w:r>
          </w:p>
          <w:p w14:paraId="3EB30483">
            <w:pPr>
              <w:adjustRightInd w:val="0"/>
              <w:snapToGrid w:val="0"/>
              <w:spacing w:line="360" w:lineRule="auto"/>
              <w:ind w:firstLine="480" w:firstLineChars="200"/>
              <w:outlineLvl w:val="1"/>
              <w:rPr>
                <w:color w:val="auto"/>
                <w:sz w:val="24"/>
              </w:rPr>
            </w:pPr>
            <w:r>
              <w:rPr>
                <w:rFonts w:hint="eastAsia"/>
                <w:color w:val="auto"/>
                <w:sz w:val="24"/>
                <w:highlight w:val="none"/>
              </w:rPr>
              <w:t>按照《环境影响评价技术导则</w:t>
            </w:r>
            <w:r>
              <w:rPr>
                <w:rFonts w:hint="eastAsia"/>
                <w:color w:val="auto"/>
                <w:sz w:val="24"/>
                <w:highlight w:val="none"/>
                <w:lang w:val="en-US" w:eastAsia="zh-CN"/>
              </w:rPr>
              <w:t xml:space="preserve"> </w:t>
            </w:r>
            <w:r>
              <w:rPr>
                <w:rFonts w:hint="eastAsia"/>
                <w:color w:val="auto"/>
                <w:sz w:val="24"/>
                <w:highlight w:val="none"/>
              </w:rPr>
              <w:t>声环境》（HJ2.4-2021）中推荐模式进行预测，根据项目噪声源源强、所在位置，利用噪声预测模式和方法，对厂界四周的噪声贡献值进行预测</w:t>
            </w:r>
            <w:r>
              <w:rPr>
                <w:rFonts w:hint="eastAsia"/>
                <w:color w:val="auto"/>
                <w:kern w:val="0"/>
                <w:sz w:val="24"/>
                <w:szCs w:val="20"/>
                <w:highlight w:val="none"/>
                <w:lang w:val="zh-CN"/>
              </w:rPr>
              <w:t>。</w:t>
            </w:r>
            <w:r>
              <w:rPr>
                <w:color w:val="auto"/>
                <w:kern w:val="0"/>
                <w:sz w:val="24"/>
                <w:szCs w:val="20"/>
                <w:highlight w:val="none"/>
                <w:lang w:val="zh-CN"/>
              </w:rPr>
              <w:t>由于本项目夜间不生产，因此仅对昼间的厂界噪声值进行预测，噪声影响预测结果见</w:t>
            </w:r>
            <w:r>
              <w:rPr>
                <w:color w:val="auto"/>
                <w:kern w:val="0"/>
                <w:sz w:val="24"/>
                <w:szCs w:val="20"/>
                <w:highlight w:val="none"/>
              </w:rPr>
              <w:t>下</w:t>
            </w:r>
            <w:r>
              <w:rPr>
                <w:color w:val="auto"/>
                <w:kern w:val="0"/>
                <w:sz w:val="24"/>
                <w:szCs w:val="20"/>
                <w:highlight w:val="none"/>
                <w:lang w:val="zh-CN"/>
              </w:rPr>
              <w:t>表。</w:t>
            </w:r>
          </w:p>
          <w:p w14:paraId="7D3A285E">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hAnsi="Times New Roman" w:cs="Times New Roman"/>
                <w:b/>
                <w:bCs/>
                <w:color w:val="auto"/>
                <w:kern w:val="21"/>
                <w:szCs w:val="24"/>
              </w:rPr>
            </w:pPr>
            <w:r>
              <w:rPr>
                <w:rFonts w:hint="eastAsia" w:hAnsi="Times New Roman" w:cs="Times New Roman"/>
                <w:b/>
                <w:bCs/>
                <w:color w:val="auto"/>
                <w:kern w:val="21"/>
                <w:szCs w:val="24"/>
              </w:rPr>
              <w:t>表4-</w:t>
            </w:r>
            <w:r>
              <w:rPr>
                <w:rFonts w:hint="eastAsia" w:hAnsi="Times New Roman" w:cs="Times New Roman"/>
                <w:b/>
                <w:bCs/>
                <w:color w:val="auto"/>
                <w:kern w:val="21"/>
                <w:szCs w:val="24"/>
                <w:lang w:val="en-US" w:eastAsia="zh-CN"/>
              </w:rPr>
              <w:t>7</w:t>
            </w:r>
            <w:r>
              <w:rPr>
                <w:rFonts w:hint="eastAsia" w:hAnsi="Times New Roman" w:cs="Times New Roman"/>
                <w:b/>
                <w:bCs/>
                <w:color w:val="auto"/>
                <w:kern w:val="21"/>
                <w:szCs w:val="24"/>
              </w:rPr>
              <w:t xml:space="preserve">  项目噪声预测结果</w:t>
            </w:r>
          </w:p>
          <w:tbl>
            <w:tblPr>
              <w:tblStyle w:val="15"/>
              <w:tblW w:w="50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304"/>
              <w:gridCol w:w="1243"/>
              <w:gridCol w:w="1321"/>
              <w:gridCol w:w="1215"/>
              <w:gridCol w:w="1215"/>
              <w:gridCol w:w="1215"/>
            </w:tblGrid>
            <w:tr w14:paraId="1C0C5C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26" w:type="pct"/>
                  <w:gridSpan w:val="2"/>
                  <w:vMerge w:val="restart"/>
                  <w:noWrap w:val="0"/>
                  <w:vAlign w:val="center"/>
                </w:tcPr>
                <w:p w14:paraId="10FAAA91">
                  <w:pPr>
                    <w:jc w:val="center"/>
                    <w:rPr>
                      <w:b/>
                      <w:bCs/>
                      <w:color w:val="auto"/>
                      <w:szCs w:val="21"/>
                      <w:highlight w:val="none"/>
                    </w:rPr>
                  </w:pPr>
                  <w:r>
                    <w:rPr>
                      <w:b/>
                      <w:bCs/>
                      <w:color w:val="auto"/>
                      <w:szCs w:val="21"/>
                      <w:highlight w:val="none"/>
                    </w:rPr>
                    <w:t>预测点位置</w:t>
                  </w:r>
                </w:p>
              </w:tc>
              <w:tc>
                <w:tcPr>
                  <w:tcW w:w="1558" w:type="pct"/>
                  <w:gridSpan w:val="2"/>
                  <w:noWrap w:val="0"/>
                  <w:vAlign w:val="center"/>
                </w:tcPr>
                <w:p w14:paraId="364C2778">
                  <w:pPr>
                    <w:jc w:val="center"/>
                    <w:rPr>
                      <w:b/>
                      <w:bCs/>
                      <w:color w:val="auto"/>
                      <w:szCs w:val="21"/>
                      <w:highlight w:val="none"/>
                    </w:rPr>
                  </w:pPr>
                  <w:r>
                    <w:rPr>
                      <w:b/>
                      <w:bCs/>
                      <w:color w:val="auto"/>
                      <w:szCs w:val="21"/>
                      <w:highlight w:val="none"/>
                    </w:rPr>
                    <w:t>昼间</w:t>
                  </w:r>
                  <w:r>
                    <w:rPr>
                      <w:rFonts w:hint="eastAsia" w:hAnsi="Times New Roman" w:cs="Times New Roman"/>
                      <w:b/>
                      <w:bCs/>
                      <w:color w:val="auto"/>
                      <w:kern w:val="21"/>
                      <w:szCs w:val="24"/>
                    </w:rPr>
                    <w:t>dB（A）</w:t>
                  </w:r>
                </w:p>
              </w:tc>
              <w:tc>
                <w:tcPr>
                  <w:tcW w:w="1476" w:type="pct"/>
                  <w:gridSpan w:val="2"/>
                  <w:noWrap w:val="0"/>
                  <w:vAlign w:val="center"/>
                </w:tcPr>
                <w:p w14:paraId="4680F19C">
                  <w:pPr>
                    <w:jc w:val="center"/>
                    <w:rPr>
                      <w:rFonts w:hint="eastAsia" w:eastAsia="宋体"/>
                      <w:b/>
                      <w:bCs/>
                      <w:color w:val="auto"/>
                      <w:szCs w:val="21"/>
                      <w:highlight w:val="none"/>
                      <w:lang w:val="en-US" w:eastAsia="zh-CN"/>
                    </w:rPr>
                  </w:pPr>
                  <w:r>
                    <w:rPr>
                      <w:rFonts w:hint="eastAsia"/>
                      <w:b/>
                      <w:bCs/>
                      <w:color w:val="auto"/>
                      <w:szCs w:val="21"/>
                      <w:highlight w:val="none"/>
                      <w:lang w:val="en-US" w:eastAsia="zh-CN"/>
                    </w:rPr>
                    <w:t>夜间</w:t>
                  </w:r>
                  <w:r>
                    <w:rPr>
                      <w:rFonts w:hint="eastAsia" w:hAnsi="Times New Roman" w:cs="Times New Roman"/>
                      <w:b/>
                      <w:bCs/>
                      <w:color w:val="auto"/>
                      <w:kern w:val="21"/>
                      <w:szCs w:val="24"/>
                    </w:rPr>
                    <w:t>（A）</w:t>
                  </w:r>
                </w:p>
              </w:tc>
              <w:tc>
                <w:tcPr>
                  <w:tcW w:w="738" w:type="pct"/>
                  <w:vMerge w:val="restart"/>
                  <w:noWrap w:val="0"/>
                  <w:vAlign w:val="center"/>
                </w:tcPr>
                <w:p w14:paraId="7D4776F7">
                  <w:pPr>
                    <w:jc w:val="center"/>
                    <w:rPr>
                      <w:b/>
                      <w:bCs/>
                      <w:color w:val="auto"/>
                      <w:szCs w:val="21"/>
                      <w:highlight w:val="none"/>
                    </w:rPr>
                  </w:pPr>
                  <w:r>
                    <w:rPr>
                      <w:b/>
                      <w:bCs/>
                      <w:color w:val="auto"/>
                      <w:szCs w:val="21"/>
                      <w:highlight w:val="none"/>
                    </w:rPr>
                    <w:t>达标情况</w:t>
                  </w:r>
                </w:p>
              </w:tc>
            </w:tr>
            <w:tr w14:paraId="3C7360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26" w:type="pct"/>
                  <w:gridSpan w:val="2"/>
                  <w:vMerge w:val="continue"/>
                  <w:noWrap w:val="0"/>
                  <w:vAlign w:val="center"/>
                </w:tcPr>
                <w:p w14:paraId="4587B1E3">
                  <w:pPr>
                    <w:jc w:val="center"/>
                    <w:rPr>
                      <w:b/>
                      <w:bCs/>
                      <w:color w:val="auto"/>
                      <w:szCs w:val="21"/>
                      <w:highlight w:val="none"/>
                    </w:rPr>
                  </w:pPr>
                </w:p>
              </w:tc>
              <w:tc>
                <w:tcPr>
                  <w:tcW w:w="755" w:type="pct"/>
                  <w:noWrap w:val="0"/>
                  <w:vAlign w:val="center"/>
                </w:tcPr>
                <w:p w14:paraId="15633EDD">
                  <w:pPr>
                    <w:ind w:left="-105" w:leftChars="-50" w:right="-105" w:rightChars="-50"/>
                    <w:jc w:val="center"/>
                    <w:rPr>
                      <w:b/>
                      <w:bCs/>
                      <w:color w:val="auto"/>
                      <w:szCs w:val="21"/>
                      <w:highlight w:val="none"/>
                    </w:rPr>
                  </w:pPr>
                  <w:r>
                    <w:rPr>
                      <w:rFonts w:hint="eastAsia"/>
                      <w:b/>
                      <w:bCs/>
                      <w:color w:val="auto"/>
                      <w:szCs w:val="21"/>
                      <w:highlight w:val="none"/>
                      <w:lang w:val="en-US" w:eastAsia="zh-CN"/>
                    </w:rPr>
                    <w:t>贡献</w:t>
                  </w:r>
                  <w:r>
                    <w:rPr>
                      <w:b/>
                      <w:bCs/>
                      <w:color w:val="auto"/>
                      <w:szCs w:val="21"/>
                      <w:highlight w:val="none"/>
                    </w:rPr>
                    <w:t>值</w:t>
                  </w:r>
                </w:p>
              </w:tc>
              <w:tc>
                <w:tcPr>
                  <w:tcW w:w="802" w:type="pct"/>
                  <w:noWrap w:val="0"/>
                  <w:vAlign w:val="center"/>
                </w:tcPr>
                <w:p w14:paraId="017EA427">
                  <w:pPr>
                    <w:jc w:val="center"/>
                    <w:rPr>
                      <w:b/>
                      <w:bCs/>
                      <w:color w:val="auto"/>
                      <w:szCs w:val="21"/>
                      <w:highlight w:val="none"/>
                    </w:rPr>
                  </w:pPr>
                  <w:r>
                    <w:rPr>
                      <w:b/>
                      <w:bCs/>
                      <w:color w:val="auto"/>
                      <w:szCs w:val="21"/>
                      <w:highlight w:val="none"/>
                    </w:rPr>
                    <w:t>标准限值</w:t>
                  </w:r>
                </w:p>
              </w:tc>
              <w:tc>
                <w:tcPr>
                  <w:tcW w:w="738" w:type="pct"/>
                  <w:noWrap w:val="0"/>
                  <w:vAlign w:val="center"/>
                </w:tcPr>
                <w:p w14:paraId="6DD69913">
                  <w:pPr>
                    <w:jc w:val="center"/>
                    <w:rPr>
                      <w:b/>
                      <w:bCs/>
                      <w:color w:val="auto"/>
                      <w:szCs w:val="21"/>
                      <w:highlight w:val="none"/>
                    </w:rPr>
                  </w:pPr>
                  <w:r>
                    <w:rPr>
                      <w:rFonts w:hint="eastAsia"/>
                      <w:b/>
                      <w:bCs/>
                      <w:color w:val="auto"/>
                      <w:szCs w:val="21"/>
                      <w:highlight w:val="none"/>
                      <w:lang w:val="en-US" w:eastAsia="zh-CN"/>
                    </w:rPr>
                    <w:t>贡献</w:t>
                  </w:r>
                  <w:r>
                    <w:rPr>
                      <w:b/>
                      <w:bCs/>
                      <w:color w:val="auto"/>
                      <w:szCs w:val="21"/>
                      <w:highlight w:val="none"/>
                    </w:rPr>
                    <w:t>值</w:t>
                  </w:r>
                </w:p>
              </w:tc>
              <w:tc>
                <w:tcPr>
                  <w:tcW w:w="738" w:type="pct"/>
                  <w:noWrap w:val="0"/>
                  <w:vAlign w:val="center"/>
                </w:tcPr>
                <w:p w14:paraId="3A6D6E5D">
                  <w:pPr>
                    <w:jc w:val="center"/>
                    <w:rPr>
                      <w:b/>
                      <w:bCs/>
                      <w:color w:val="auto"/>
                      <w:kern w:val="2"/>
                      <w:sz w:val="21"/>
                      <w:szCs w:val="21"/>
                      <w:highlight w:val="none"/>
                      <w:lang w:val="en-US" w:eastAsia="zh-CN" w:bidi="ar-SA"/>
                    </w:rPr>
                  </w:pPr>
                  <w:r>
                    <w:rPr>
                      <w:b/>
                      <w:bCs/>
                      <w:color w:val="auto"/>
                      <w:szCs w:val="21"/>
                      <w:highlight w:val="none"/>
                    </w:rPr>
                    <w:t>标准限值</w:t>
                  </w:r>
                </w:p>
              </w:tc>
              <w:tc>
                <w:tcPr>
                  <w:tcW w:w="738" w:type="pct"/>
                  <w:vMerge w:val="continue"/>
                  <w:noWrap w:val="0"/>
                  <w:vAlign w:val="center"/>
                </w:tcPr>
                <w:p w14:paraId="68C82613">
                  <w:pPr>
                    <w:jc w:val="center"/>
                    <w:rPr>
                      <w:b/>
                      <w:bCs/>
                      <w:color w:val="auto"/>
                      <w:szCs w:val="21"/>
                      <w:highlight w:val="none"/>
                    </w:rPr>
                  </w:pPr>
                </w:p>
              </w:tc>
            </w:tr>
            <w:tr w14:paraId="0961D5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34" w:type="pct"/>
                  <w:vMerge w:val="restart"/>
                  <w:noWrap w:val="0"/>
                  <w:vAlign w:val="center"/>
                </w:tcPr>
                <w:p w14:paraId="31DB4475">
                  <w:pPr>
                    <w:jc w:val="center"/>
                    <w:rPr>
                      <w:bCs/>
                      <w:color w:val="auto"/>
                      <w:szCs w:val="21"/>
                      <w:highlight w:val="none"/>
                    </w:rPr>
                  </w:pPr>
                  <w:r>
                    <w:rPr>
                      <w:bCs/>
                      <w:color w:val="auto"/>
                      <w:szCs w:val="21"/>
                      <w:highlight w:val="none"/>
                    </w:rPr>
                    <w:t>厂界</w:t>
                  </w:r>
                </w:p>
              </w:tc>
              <w:tc>
                <w:tcPr>
                  <w:tcW w:w="792" w:type="pct"/>
                  <w:noWrap w:val="0"/>
                  <w:vAlign w:val="center"/>
                </w:tcPr>
                <w:p w14:paraId="0536DF8D">
                  <w:pPr>
                    <w:adjustRightInd w:val="0"/>
                    <w:snapToGrid w:val="0"/>
                    <w:jc w:val="center"/>
                    <w:rPr>
                      <w:bCs/>
                      <w:color w:val="auto"/>
                      <w:szCs w:val="21"/>
                      <w:highlight w:val="none"/>
                    </w:rPr>
                  </w:pPr>
                  <w:r>
                    <w:rPr>
                      <w:bCs/>
                      <w:color w:val="auto"/>
                      <w:szCs w:val="21"/>
                      <w:highlight w:val="none"/>
                    </w:rPr>
                    <w:t>东厂界1#</w:t>
                  </w:r>
                </w:p>
              </w:tc>
              <w:tc>
                <w:tcPr>
                  <w:tcW w:w="755" w:type="pct"/>
                  <w:noWrap w:val="0"/>
                  <w:vAlign w:val="center"/>
                </w:tcPr>
                <w:p w14:paraId="76ACA37F">
                  <w:pPr>
                    <w:autoSpaceDE w:val="0"/>
                    <w:autoSpaceDN w:val="0"/>
                    <w:adjustRightInd w:val="0"/>
                    <w:jc w:val="center"/>
                    <w:rPr>
                      <w:rFonts w:hint="default" w:eastAsia="宋体"/>
                      <w:bCs/>
                      <w:color w:val="auto"/>
                      <w:szCs w:val="21"/>
                      <w:highlight w:val="none"/>
                      <w:lang w:val="en-US" w:eastAsia="zh-CN"/>
                    </w:rPr>
                  </w:pPr>
                  <w:r>
                    <w:rPr>
                      <w:rFonts w:hint="eastAsia" w:eastAsia="宋体"/>
                      <w:bCs/>
                      <w:color w:val="auto"/>
                      <w:szCs w:val="21"/>
                      <w:highlight w:val="none"/>
                      <w:lang w:val="en-US" w:eastAsia="zh-CN"/>
                    </w:rPr>
                    <w:t>4</w:t>
                  </w:r>
                  <w:r>
                    <w:rPr>
                      <w:rFonts w:hint="eastAsia"/>
                      <w:bCs/>
                      <w:color w:val="auto"/>
                      <w:szCs w:val="21"/>
                      <w:highlight w:val="none"/>
                      <w:lang w:val="en-US" w:eastAsia="zh-CN"/>
                    </w:rPr>
                    <w:t>5.4</w:t>
                  </w:r>
                </w:p>
              </w:tc>
              <w:tc>
                <w:tcPr>
                  <w:tcW w:w="802" w:type="pct"/>
                  <w:noWrap w:val="0"/>
                  <w:vAlign w:val="center"/>
                </w:tcPr>
                <w:p w14:paraId="31C09E61">
                  <w:pPr>
                    <w:jc w:val="center"/>
                    <w:rPr>
                      <w:rFonts w:hint="eastAsia" w:eastAsia="宋体"/>
                      <w:bCs/>
                      <w:color w:val="auto"/>
                      <w:szCs w:val="21"/>
                      <w:highlight w:val="none"/>
                      <w:lang w:eastAsia="zh-CN"/>
                    </w:rPr>
                  </w:pPr>
                  <w:r>
                    <w:rPr>
                      <w:rFonts w:hint="eastAsia"/>
                      <w:bCs/>
                      <w:color w:val="auto"/>
                      <w:szCs w:val="21"/>
                      <w:highlight w:val="none"/>
                    </w:rPr>
                    <w:t>6</w:t>
                  </w:r>
                  <w:r>
                    <w:rPr>
                      <w:rFonts w:hint="eastAsia"/>
                      <w:bCs/>
                      <w:color w:val="auto"/>
                      <w:szCs w:val="21"/>
                      <w:highlight w:val="none"/>
                      <w:lang w:val="en-US" w:eastAsia="zh-CN"/>
                    </w:rPr>
                    <w:t>0</w:t>
                  </w:r>
                </w:p>
              </w:tc>
              <w:tc>
                <w:tcPr>
                  <w:tcW w:w="738" w:type="pct"/>
                  <w:shd w:val="clear" w:color="auto" w:fill="auto"/>
                  <w:noWrap w:val="0"/>
                  <w:vAlign w:val="center"/>
                </w:tcPr>
                <w:p w14:paraId="27A244AB">
                  <w:pPr>
                    <w:autoSpaceDE w:val="0"/>
                    <w:autoSpaceDN w:val="0"/>
                    <w:adjustRightInd w:val="0"/>
                    <w:jc w:val="center"/>
                    <w:rPr>
                      <w:rFonts w:hint="eastAsia" w:ascii="Times New Roman" w:hAnsi="Times New Roman" w:eastAsia="宋体" w:cs="Times New Roman"/>
                      <w:bCs/>
                      <w:color w:val="auto"/>
                      <w:kern w:val="2"/>
                      <w:sz w:val="21"/>
                      <w:szCs w:val="21"/>
                      <w:highlight w:val="none"/>
                      <w:lang w:val="en-US" w:eastAsia="zh-CN" w:bidi="ar-SA"/>
                    </w:rPr>
                  </w:pPr>
                  <w:r>
                    <w:rPr>
                      <w:rFonts w:hint="eastAsia" w:eastAsia="宋体"/>
                      <w:bCs/>
                      <w:color w:val="auto"/>
                      <w:szCs w:val="21"/>
                      <w:highlight w:val="none"/>
                      <w:lang w:val="en-US" w:eastAsia="zh-CN"/>
                    </w:rPr>
                    <w:t>4</w:t>
                  </w:r>
                  <w:r>
                    <w:rPr>
                      <w:rFonts w:hint="eastAsia"/>
                      <w:bCs/>
                      <w:color w:val="auto"/>
                      <w:szCs w:val="21"/>
                      <w:highlight w:val="none"/>
                      <w:lang w:val="en-US" w:eastAsia="zh-CN"/>
                    </w:rPr>
                    <w:t>5.4</w:t>
                  </w:r>
                </w:p>
              </w:tc>
              <w:tc>
                <w:tcPr>
                  <w:tcW w:w="738" w:type="pct"/>
                  <w:noWrap w:val="0"/>
                  <w:vAlign w:val="center"/>
                </w:tcPr>
                <w:p w14:paraId="31BF189E">
                  <w:pPr>
                    <w:jc w:val="center"/>
                    <w:rPr>
                      <w:rFonts w:hint="default" w:eastAsia="宋体"/>
                      <w:bCs/>
                      <w:color w:val="auto"/>
                      <w:kern w:val="2"/>
                      <w:sz w:val="21"/>
                      <w:szCs w:val="21"/>
                      <w:highlight w:val="none"/>
                      <w:lang w:val="en-US" w:eastAsia="zh-CN" w:bidi="ar-SA"/>
                    </w:rPr>
                  </w:pPr>
                  <w:r>
                    <w:rPr>
                      <w:rFonts w:hint="eastAsia"/>
                      <w:bCs/>
                      <w:color w:val="auto"/>
                      <w:szCs w:val="21"/>
                      <w:highlight w:val="none"/>
                      <w:lang w:val="en-US" w:eastAsia="zh-CN"/>
                    </w:rPr>
                    <w:t>50</w:t>
                  </w:r>
                </w:p>
              </w:tc>
              <w:tc>
                <w:tcPr>
                  <w:tcW w:w="738" w:type="pct"/>
                  <w:noWrap w:val="0"/>
                  <w:vAlign w:val="center"/>
                </w:tcPr>
                <w:p w14:paraId="4BF13348">
                  <w:pPr>
                    <w:jc w:val="center"/>
                    <w:rPr>
                      <w:bCs/>
                      <w:color w:val="auto"/>
                      <w:szCs w:val="21"/>
                      <w:highlight w:val="none"/>
                    </w:rPr>
                  </w:pPr>
                  <w:r>
                    <w:rPr>
                      <w:bCs/>
                      <w:color w:val="auto"/>
                      <w:szCs w:val="21"/>
                      <w:highlight w:val="none"/>
                    </w:rPr>
                    <w:t>达标</w:t>
                  </w:r>
                </w:p>
              </w:tc>
            </w:tr>
            <w:tr w14:paraId="39FCFD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34" w:type="pct"/>
                  <w:vMerge w:val="continue"/>
                  <w:noWrap w:val="0"/>
                  <w:vAlign w:val="center"/>
                </w:tcPr>
                <w:p w14:paraId="22EA9864">
                  <w:pPr>
                    <w:jc w:val="center"/>
                    <w:rPr>
                      <w:bCs/>
                      <w:color w:val="auto"/>
                      <w:szCs w:val="21"/>
                      <w:highlight w:val="none"/>
                    </w:rPr>
                  </w:pPr>
                </w:p>
              </w:tc>
              <w:tc>
                <w:tcPr>
                  <w:tcW w:w="792" w:type="pct"/>
                  <w:noWrap w:val="0"/>
                  <w:vAlign w:val="center"/>
                </w:tcPr>
                <w:p w14:paraId="6EE01D93">
                  <w:pPr>
                    <w:adjustRightInd w:val="0"/>
                    <w:snapToGrid w:val="0"/>
                    <w:jc w:val="center"/>
                    <w:rPr>
                      <w:bCs/>
                      <w:color w:val="auto"/>
                      <w:szCs w:val="21"/>
                      <w:highlight w:val="none"/>
                    </w:rPr>
                  </w:pPr>
                  <w:r>
                    <w:rPr>
                      <w:bCs/>
                      <w:color w:val="auto"/>
                      <w:szCs w:val="21"/>
                      <w:highlight w:val="none"/>
                    </w:rPr>
                    <w:t>南厂界2#</w:t>
                  </w:r>
                </w:p>
              </w:tc>
              <w:tc>
                <w:tcPr>
                  <w:tcW w:w="755" w:type="pct"/>
                  <w:noWrap w:val="0"/>
                  <w:vAlign w:val="center"/>
                </w:tcPr>
                <w:p w14:paraId="07AF3DA5">
                  <w:pPr>
                    <w:autoSpaceDE w:val="0"/>
                    <w:autoSpaceDN w:val="0"/>
                    <w:adjustRightInd w:val="0"/>
                    <w:jc w:val="center"/>
                    <w:rPr>
                      <w:rFonts w:hint="default" w:eastAsia="宋体"/>
                      <w:bCs/>
                      <w:color w:val="auto"/>
                      <w:szCs w:val="21"/>
                      <w:highlight w:val="none"/>
                      <w:lang w:val="en-US" w:eastAsia="zh-CN"/>
                    </w:rPr>
                  </w:pPr>
                  <w:r>
                    <w:rPr>
                      <w:rFonts w:hint="eastAsia" w:eastAsia="宋体"/>
                      <w:bCs/>
                      <w:color w:val="auto"/>
                      <w:szCs w:val="21"/>
                      <w:highlight w:val="none"/>
                      <w:lang w:val="en-US" w:eastAsia="zh-CN"/>
                    </w:rPr>
                    <w:t>4</w:t>
                  </w:r>
                  <w:r>
                    <w:rPr>
                      <w:rFonts w:hint="eastAsia"/>
                      <w:bCs/>
                      <w:color w:val="auto"/>
                      <w:szCs w:val="21"/>
                      <w:highlight w:val="none"/>
                      <w:lang w:val="en-US" w:eastAsia="zh-CN"/>
                    </w:rPr>
                    <w:t>6.2</w:t>
                  </w:r>
                </w:p>
              </w:tc>
              <w:tc>
                <w:tcPr>
                  <w:tcW w:w="802" w:type="pct"/>
                  <w:noWrap w:val="0"/>
                  <w:vAlign w:val="center"/>
                </w:tcPr>
                <w:p w14:paraId="3B1B18D2">
                  <w:pPr>
                    <w:jc w:val="center"/>
                    <w:rPr>
                      <w:rFonts w:hint="eastAsia" w:eastAsia="宋体"/>
                      <w:color w:val="auto"/>
                      <w:szCs w:val="21"/>
                      <w:highlight w:val="none"/>
                      <w:lang w:eastAsia="zh-CN"/>
                    </w:rPr>
                  </w:pPr>
                  <w:r>
                    <w:rPr>
                      <w:rFonts w:hint="eastAsia"/>
                      <w:bCs/>
                      <w:color w:val="auto"/>
                      <w:szCs w:val="21"/>
                      <w:highlight w:val="none"/>
                    </w:rPr>
                    <w:t>6</w:t>
                  </w:r>
                  <w:r>
                    <w:rPr>
                      <w:rFonts w:hint="eastAsia"/>
                      <w:bCs/>
                      <w:color w:val="auto"/>
                      <w:szCs w:val="21"/>
                      <w:highlight w:val="none"/>
                      <w:lang w:val="en-US" w:eastAsia="zh-CN"/>
                    </w:rPr>
                    <w:t>0</w:t>
                  </w:r>
                </w:p>
              </w:tc>
              <w:tc>
                <w:tcPr>
                  <w:tcW w:w="738" w:type="pct"/>
                  <w:shd w:val="clear" w:color="auto" w:fill="auto"/>
                  <w:noWrap w:val="0"/>
                  <w:vAlign w:val="center"/>
                </w:tcPr>
                <w:p w14:paraId="2C315E39">
                  <w:pPr>
                    <w:autoSpaceDE w:val="0"/>
                    <w:autoSpaceDN w:val="0"/>
                    <w:adjustRightInd w:val="0"/>
                    <w:jc w:val="center"/>
                    <w:rPr>
                      <w:rFonts w:hint="eastAsia" w:ascii="Times New Roman" w:hAnsi="Times New Roman" w:eastAsia="宋体" w:cs="Times New Roman"/>
                      <w:bCs/>
                      <w:color w:val="auto"/>
                      <w:kern w:val="2"/>
                      <w:sz w:val="21"/>
                      <w:szCs w:val="21"/>
                      <w:highlight w:val="none"/>
                      <w:lang w:val="en-US" w:eastAsia="zh-CN" w:bidi="ar-SA"/>
                    </w:rPr>
                  </w:pPr>
                  <w:r>
                    <w:rPr>
                      <w:rFonts w:hint="eastAsia" w:eastAsia="宋体"/>
                      <w:bCs/>
                      <w:color w:val="auto"/>
                      <w:szCs w:val="21"/>
                      <w:highlight w:val="none"/>
                      <w:lang w:val="en-US" w:eastAsia="zh-CN"/>
                    </w:rPr>
                    <w:t>4</w:t>
                  </w:r>
                  <w:r>
                    <w:rPr>
                      <w:rFonts w:hint="eastAsia"/>
                      <w:bCs/>
                      <w:color w:val="auto"/>
                      <w:szCs w:val="21"/>
                      <w:highlight w:val="none"/>
                      <w:lang w:val="en-US" w:eastAsia="zh-CN"/>
                    </w:rPr>
                    <w:t>6.2</w:t>
                  </w:r>
                </w:p>
              </w:tc>
              <w:tc>
                <w:tcPr>
                  <w:tcW w:w="738" w:type="pct"/>
                  <w:noWrap w:val="0"/>
                  <w:vAlign w:val="center"/>
                </w:tcPr>
                <w:p w14:paraId="19C48F11">
                  <w:pPr>
                    <w:jc w:val="center"/>
                    <w:rPr>
                      <w:rFonts w:hint="default" w:eastAsia="宋体"/>
                      <w:color w:val="auto"/>
                      <w:kern w:val="2"/>
                      <w:sz w:val="21"/>
                      <w:szCs w:val="21"/>
                      <w:highlight w:val="none"/>
                      <w:lang w:val="en-US" w:eastAsia="zh-CN" w:bidi="ar-SA"/>
                    </w:rPr>
                  </w:pPr>
                  <w:r>
                    <w:rPr>
                      <w:rFonts w:hint="eastAsia"/>
                      <w:bCs/>
                      <w:color w:val="auto"/>
                      <w:szCs w:val="21"/>
                      <w:highlight w:val="none"/>
                      <w:lang w:val="en-US" w:eastAsia="zh-CN"/>
                    </w:rPr>
                    <w:t>50</w:t>
                  </w:r>
                </w:p>
              </w:tc>
              <w:tc>
                <w:tcPr>
                  <w:tcW w:w="738" w:type="pct"/>
                  <w:noWrap w:val="0"/>
                  <w:vAlign w:val="center"/>
                </w:tcPr>
                <w:p w14:paraId="36983897">
                  <w:pPr>
                    <w:jc w:val="center"/>
                    <w:rPr>
                      <w:bCs/>
                      <w:color w:val="auto"/>
                      <w:szCs w:val="21"/>
                      <w:highlight w:val="none"/>
                    </w:rPr>
                  </w:pPr>
                  <w:r>
                    <w:rPr>
                      <w:bCs/>
                      <w:color w:val="auto"/>
                      <w:szCs w:val="21"/>
                      <w:highlight w:val="none"/>
                    </w:rPr>
                    <w:t>达标</w:t>
                  </w:r>
                </w:p>
              </w:tc>
            </w:tr>
            <w:tr w14:paraId="1A3EB8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34" w:type="pct"/>
                  <w:vMerge w:val="continue"/>
                  <w:noWrap w:val="0"/>
                  <w:vAlign w:val="center"/>
                </w:tcPr>
                <w:p w14:paraId="55BE06D3">
                  <w:pPr>
                    <w:jc w:val="center"/>
                    <w:rPr>
                      <w:bCs/>
                      <w:color w:val="auto"/>
                      <w:szCs w:val="21"/>
                      <w:highlight w:val="none"/>
                    </w:rPr>
                  </w:pPr>
                </w:p>
              </w:tc>
              <w:tc>
                <w:tcPr>
                  <w:tcW w:w="792" w:type="pct"/>
                  <w:noWrap w:val="0"/>
                  <w:vAlign w:val="center"/>
                </w:tcPr>
                <w:p w14:paraId="5F4B7F74">
                  <w:pPr>
                    <w:adjustRightInd w:val="0"/>
                    <w:snapToGrid w:val="0"/>
                    <w:jc w:val="center"/>
                    <w:rPr>
                      <w:bCs/>
                      <w:color w:val="auto"/>
                      <w:szCs w:val="21"/>
                      <w:highlight w:val="none"/>
                    </w:rPr>
                  </w:pPr>
                  <w:r>
                    <w:rPr>
                      <w:bCs/>
                      <w:color w:val="auto"/>
                      <w:szCs w:val="21"/>
                      <w:highlight w:val="none"/>
                    </w:rPr>
                    <w:t>西厂界3#</w:t>
                  </w:r>
                </w:p>
              </w:tc>
              <w:tc>
                <w:tcPr>
                  <w:tcW w:w="755" w:type="pct"/>
                  <w:noWrap w:val="0"/>
                  <w:vAlign w:val="center"/>
                </w:tcPr>
                <w:p w14:paraId="77DB33EA">
                  <w:pPr>
                    <w:autoSpaceDE w:val="0"/>
                    <w:autoSpaceDN w:val="0"/>
                    <w:adjustRightInd w:val="0"/>
                    <w:jc w:val="center"/>
                    <w:rPr>
                      <w:rFonts w:hint="default" w:eastAsia="宋体"/>
                      <w:bCs/>
                      <w:color w:val="auto"/>
                      <w:szCs w:val="21"/>
                      <w:highlight w:val="none"/>
                      <w:lang w:val="en-US" w:eastAsia="zh-CN"/>
                    </w:rPr>
                  </w:pPr>
                  <w:r>
                    <w:rPr>
                      <w:rFonts w:hint="eastAsia" w:eastAsia="宋体"/>
                      <w:bCs/>
                      <w:color w:val="auto"/>
                      <w:szCs w:val="21"/>
                      <w:highlight w:val="none"/>
                      <w:lang w:val="en-US" w:eastAsia="zh-CN"/>
                    </w:rPr>
                    <w:t>4</w:t>
                  </w:r>
                  <w:r>
                    <w:rPr>
                      <w:rFonts w:hint="eastAsia"/>
                      <w:bCs/>
                      <w:color w:val="auto"/>
                      <w:szCs w:val="21"/>
                      <w:highlight w:val="none"/>
                      <w:lang w:val="en-US" w:eastAsia="zh-CN"/>
                    </w:rPr>
                    <w:t>5.6</w:t>
                  </w:r>
                </w:p>
              </w:tc>
              <w:tc>
                <w:tcPr>
                  <w:tcW w:w="802" w:type="pct"/>
                  <w:noWrap w:val="0"/>
                  <w:vAlign w:val="center"/>
                </w:tcPr>
                <w:p w14:paraId="5565A03B">
                  <w:pPr>
                    <w:jc w:val="center"/>
                    <w:rPr>
                      <w:rFonts w:hint="eastAsia" w:eastAsia="宋体"/>
                      <w:color w:val="auto"/>
                      <w:szCs w:val="21"/>
                      <w:highlight w:val="none"/>
                      <w:lang w:eastAsia="zh-CN"/>
                    </w:rPr>
                  </w:pPr>
                  <w:r>
                    <w:rPr>
                      <w:rFonts w:hint="eastAsia"/>
                      <w:bCs/>
                      <w:color w:val="auto"/>
                      <w:szCs w:val="21"/>
                      <w:highlight w:val="none"/>
                    </w:rPr>
                    <w:t>6</w:t>
                  </w:r>
                  <w:r>
                    <w:rPr>
                      <w:rFonts w:hint="eastAsia"/>
                      <w:bCs/>
                      <w:color w:val="auto"/>
                      <w:szCs w:val="21"/>
                      <w:highlight w:val="none"/>
                      <w:lang w:val="en-US" w:eastAsia="zh-CN"/>
                    </w:rPr>
                    <w:t>0</w:t>
                  </w:r>
                </w:p>
              </w:tc>
              <w:tc>
                <w:tcPr>
                  <w:tcW w:w="738" w:type="pct"/>
                  <w:shd w:val="clear" w:color="auto" w:fill="auto"/>
                  <w:noWrap w:val="0"/>
                  <w:vAlign w:val="center"/>
                </w:tcPr>
                <w:p w14:paraId="071D6FC4">
                  <w:pPr>
                    <w:autoSpaceDE w:val="0"/>
                    <w:autoSpaceDN w:val="0"/>
                    <w:adjustRightInd w:val="0"/>
                    <w:jc w:val="center"/>
                    <w:rPr>
                      <w:rFonts w:hint="eastAsia" w:ascii="Times New Roman" w:hAnsi="Times New Roman" w:eastAsia="宋体" w:cs="Times New Roman"/>
                      <w:bCs/>
                      <w:color w:val="auto"/>
                      <w:kern w:val="2"/>
                      <w:sz w:val="21"/>
                      <w:szCs w:val="21"/>
                      <w:highlight w:val="none"/>
                      <w:lang w:val="en-US" w:eastAsia="zh-CN" w:bidi="ar-SA"/>
                    </w:rPr>
                  </w:pPr>
                  <w:r>
                    <w:rPr>
                      <w:rFonts w:hint="eastAsia" w:eastAsia="宋体"/>
                      <w:bCs/>
                      <w:color w:val="auto"/>
                      <w:szCs w:val="21"/>
                      <w:highlight w:val="none"/>
                      <w:lang w:val="en-US" w:eastAsia="zh-CN"/>
                    </w:rPr>
                    <w:t>4</w:t>
                  </w:r>
                  <w:r>
                    <w:rPr>
                      <w:rFonts w:hint="eastAsia"/>
                      <w:bCs/>
                      <w:color w:val="auto"/>
                      <w:szCs w:val="21"/>
                      <w:highlight w:val="none"/>
                      <w:lang w:val="en-US" w:eastAsia="zh-CN"/>
                    </w:rPr>
                    <w:t>5.6</w:t>
                  </w:r>
                </w:p>
              </w:tc>
              <w:tc>
                <w:tcPr>
                  <w:tcW w:w="738" w:type="pct"/>
                  <w:noWrap w:val="0"/>
                  <w:vAlign w:val="center"/>
                </w:tcPr>
                <w:p w14:paraId="4AFE8DD1">
                  <w:pPr>
                    <w:jc w:val="center"/>
                    <w:rPr>
                      <w:rFonts w:hint="default" w:eastAsia="宋体"/>
                      <w:color w:val="auto"/>
                      <w:kern w:val="2"/>
                      <w:sz w:val="21"/>
                      <w:szCs w:val="21"/>
                      <w:highlight w:val="none"/>
                      <w:lang w:val="en-US" w:eastAsia="zh-CN" w:bidi="ar-SA"/>
                    </w:rPr>
                  </w:pPr>
                  <w:r>
                    <w:rPr>
                      <w:rFonts w:hint="eastAsia"/>
                      <w:bCs/>
                      <w:color w:val="auto"/>
                      <w:szCs w:val="21"/>
                      <w:highlight w:val="none"/>
                      <w:lang w:val="en-US" w:eastAsia="zh-CN"/>
                    </w:rPr>
                    <w:t>50</w:t>
                  </w:r>
                </w:p>
              </w:tc>
              <w:tc>
                <w:tcPr>
                  <w:tcW w:w="738" w:type="pct"/>
                  <w:noWrap w:val="0"/>
                  <w:vAlign w:val="center"/>
                </w:tcPr>
                <w:p w14:paraId="65482681">
                  <w:pPr>
                    <w:jc w:val="center"/>
                    <w:rPr>
                      <w:bCs/>
                      <w:color w:val="auto"/>
                      <w:szCs w:val="21"/>
                      <w:highlight w:val="none"/>
                    </w:rPr>
                  </w:pPr>
                  <w:r>
                    <w:rPr>
                      <w:bCs/>
                      <w:color w:val="auto"/>
                      <w:szCs w:val="21"/>
                      <w:highlight w:val="none"/>
                    </w:rPr>
                    <w:t>达标</w:t>
                  </w:r>
                </w:p>
              </w:tc>
            </w:tr>
            <w:tr w14:paraId="00E9DD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34" w:type="pct"/>
                  <w:vMerge w:val="continue"/>
                  <w:noWrap w:val="0"/>
                  <w:vAlign w:val="center"/>
                </w:tcPr>
                <w:p w14:paraId="635AAFC4">
                  <w:pPr>
                    <w:jc w:val="center"/>
                    <w:rPr>
                      <w:bCs/>
                      <w:color w:val="auto"/>
                      <w:szCs w:val="21"/>
                      <w:highlight w:val="none"/>
                    </w:rPr>
                  </w:pPr>
                </w:p>
              </w:tc>
              <w:tc>
                <w:tcPr>
                  <w:tcW w:w="792" w:type="pct"/>
                  <w:noWrap w:val="0"/>
                  <w:vAlign w:val="center"/>
                </w:tcPr>
                <w:p w14:paraId="045026AC">
                  <w:pPr>
                    <w:adjustRightInd w:val="0"/>
                    <w:snapToGrid w:val="0"/>
                    <w:jc w:val="center"/>
                    <w:rPr>
                      <w:bCs/>
                      <w:color w:val="auto"/>
                      <w:kern w:val="2"/>
                      <w:sz w:val="21"/>
                      <w:szCs w:val="21"/>
                      <w:highlight w:val="none"/>
                      <w:lang w:val="en-US" w:eastAsia="zh-CN" w:bidi="ar-SA"/>
                    </w:rPr>
                  </w:pPr>
                  <w:r>
                    <w:rPr>
                      <w:bCs/>
                      <w:color w:val="auto"/>
                      <w:szCs w:val="21"/>
                      <w:highlight w:val="none"/>
                    </w:rPr>
                    <w:t>北厂界4#</w:t>
                  </w:r>
                </w:p>
              </w:tc>
              <w:tc>
                <w:tcPr>
                  <w:tcW w:w="755" w:type="pct"/>
                  <w:noWrap w:val="0"/>
                  <w:vAlign w:val="center"/>
                </w:tcPr>
                <w:p w14:paraId="2CC39EC6">
                  <w:pPr>
                    <w:autoSpaceDE w:val="0"/>
                    <w:autoSpaceDN w:val="0"/>
                    <w:adjustRightInd w:val="0"/>
                    <w:jc w:val="center"/>
                    <w:rPr>
                      <w:rFonts w:hint="default" w:eastAsia="宋体"/>
                      <w:bCs/>
                      <w:color w:val="auto"/>
                      <w:kern w:val="2"/>
                      <w:sz w:val="21"/>
                      <w:szCs w:val="21"/>
                      <w:highlight w:val="none"/>
                      <w:lang w:val="en-US" w:eastAsia="zh-CN" w:bidi="ar-SA"/>
                    </w:rPr>
                  </w:pPr>
                  <w:r>
                    <w:rPr>
                      <w:rFonts w:hint="eastAsia" w:eastAsia="宋体"/>
                      <w:bCs/>
                      <w:color w:val="auto"/>
                      <w:kern w:val="2"/>
                      <w:sz w:val="21"/>
                      <w:szCs w:val="21"/>
                      <w:highlight w:val="none"/>
                      <w:lang w:val="en-US" w:eastAsia="zh-CN" w:bidi="ar-SA"/>
                    </w:rPr>
                    <w:t>4</w:t>
                  </w:r>
                  <w:r>
                    <w:rPr>
                      <w:rFonts w:hint="eastAsia"/>
                      <w:bCs/>
                      <w:color w:val="auto"/>
                      <w:kern w:val="2"/>
                      <w:sz w:val="21"/>
                      <w:szCs w:val="21"/>
                      <w:highlight w:val="none"/>
                      <w:lang w:val="en-US" w:eastAsia="zh-CN" w:bidi="ar-SA"/>
                    </w:rPr>
                    <w:t>5.8</w:t>
                  </w:r>
                </w:p>
              </w:tc>
              <w:tc>
                <w:tcPr>
                  <w:tcW w:w="802" w:type="pct"/>
                  <w:noWrap w:val="0"/>
                  <w:vAlign w:val="center"/>
                </w:tcPr>
                <w:p w14:paraId="6B12D93B">
                  <w:pPr>
                    <w:jc w:val="center"/>
                    <w:rPr>
                      <w:rFonts w:hint="eastAsia" w:eastAsia="宋体"/>
                      <w:color w:val="auto"/>
                      <w:kern w:val="2"/>
                      <w:sz w:val="21"/>
                      <w:szCs w:val="21"/>
                      <w:highlight w:val="none"/>
                      <w:lang w:val="en-US" w:eastAsia="zh-CN" w:bidi="ar-SA"/>
                    </w:rPr>
                  </w:pPr>
                  <w:r>
                    <w:rPr>
                      <w:rFonts w:hint="eastAsia"/>
                      <w:bCs/>
                      <w:color w:val="auto"/>
                      <w:szCs w:val="21"/>
                      <w:highlight w:val="none"/>
                    </w:rPr>
                    <w:t>6</w:t>
                  </w:r>
                  <w:r>
                    <w:rPr>
                      <w:rFonts w:hint="eastAsia"/>
                      <w:bCs/>
                      <w:color w:val="auto"/>
                      <w:szCs w:val="21"/>
                      <w:highlight w:val="none"/>
                      <w:lang w:val="en-US" w:eastAsia="zh-CN"/>
                    </w:rPr>
                    <w:t>0</w:t>
                  </w:r>
                </w:p>
              </w:tc>
              <w:tc>
                <w:tcPr>
                  <w:tcW w:w="738" w:type="pct"/>
                  <w:shd w:val="clear" w:color="auto" w:fill="auto"/>
                  <w:noWrap w:val="0"/>
                  <w:vAlign w:val="center"/>
                </w:tcPr>
                <w:p w14:paraId="71FD6ED1">
                  <w:pPr>
                    <w:autoSpaceDE w:val="0"/>
                    <w:autoSpaceDN w:val="0"/>
                    <w:adjustRightInd w:val="0"/>
                    <w:jc w:val="center"/>
                    <w:rPr>
                      <w:rFonts w:hint="eastAsia" w:ascii="Times New Roman" w:hAnsi="Times New Roman" w:eastAsia="宋体" w:cs="Times New Roman"/>
                      <w:bCs/>
                      <w:color w:val="auto"/>
                      <w:kern w:val="2"/>
                      <w:sz w:val="21"/>
                      <w:szCs w:val="21"/>
                      <w:highlight w:val="none"/>
                      <w:lang w:val="en-US" w:eastAsia="zh-CN" w:bidi="ar-SA"/>
                    </w:rPr>
                  </w:pPr>
                  <w:r>
                    <w:rPr>
                      <w:rFonts w:hint="eastAsia" w:eastAsia="宋体"/>
                      <w:bCs/>
                      <w:color w:val="auto"/>
                      <w:kern w:val="2"/>
                      <w:sz w:val="21"/>
                      <w:szCs w:val="21"/>
                      <w:highlight w:val="none"/>
                      <w:lang w:val="en-US" w:eastAsia="zh-CN" w:bidi="ar-SA"/>
                    </w:rPr>
                    <w:t>4</w:t>
                  </w:r>
                  <w:r>
                    <w:rPr>
                      <w:rFonts w:hint="eastAsia"/>
                      <w:bCs/>
                      <w:color w:val="auto"/>
                      <w:kern w:val="2"/>
                      <w:sz w:val="21"/>
                      <w:szCs w:val="21"/>
                      <w:highlight w:val="none"/>
                      <w:lang w:val="en-US" w:eastAsia="zh-CN" w:bidi="ar-SA"/>
                    </w:rPr>
                    <w:t>5.8</w:t>
                  </w:r>
                </w:p>
              </w:tc>
              <w:tc>
                <w:tcPr>
                  <w:tcW w:w="738" w:type="pct"/>
                  <w:noWrap w:val="0"/>
                  <w:vAlign w:val="center"/>
                </w:tcPr>
                <w:p w14:paraId="1A235759">
                  <w:pPr>
                    <w:jc w:val="center"/>
                    <w:rPr>
                      <w:rFonts w:hint="default" w:eastAsia="宋体"/>
                      <w:color w:val="auto"/>
                      <w:kern w:val="2"/>
                      <w:sz w:val="21"/>
                      <w:szCs w:val="21"/>
                      <w:highlight w:val="none"/>
                      <w:lang w:val="en-US" w:eastAsia="zh-CN" w:bidi="ar-SA"/>
                    </w:rPr>
                  </w:pPr>
                  <w:r>
                    <w:rPr>
                      <w:rFonts w:hint="eastAsia"/>
                      <w:bCs/>
                      <w:color w:val="auto"/>
                      <w:szCs w:val="21"/>
                      <w:highlight w:val="none"/>
                      <w:lang w:val="en-US" w:eastAsia="zh-CN"/>
                    </w:rPr>
                    <w:t>50</w:t>
                  </w:r>
                </w:p>
              </w:tc>
              <w:tc>
                <w:tcPr>
                  <w:tcW w:w="738" w:type="pct"/>
                  <w:noWrap w:val="0"/>
                  <w:vAlign w:val="center"/>
                </w:tcPr>
                <w:p w14:paraId="2432913D">
                  <w:pPr>
                    <w:jc w:val="center"/>
                    <w:rPr>
                      <w:bCs/>
                      <w:color w:val="auto"/>
                      <w:kern w:val="2"/>
                      <w:sz w:val="21"/>
                      <w:szCs w:val="21"/>
                      <w:highlight w:val="none"/>
                      <w:lang w:val="en-US" w:eastAsia="zh-CN" w:bidi="ar-SA"/>
                    </w:rPr>
                  </w:pPr>
                  <w:r>
                    <w:rPr>
                      <w:bCs/>
                      <w:color w:val="auto"/>
                      <w:szCs w:val="21"/>
                      <w:highlight w:val="none"/>
                    </w:rPr>
                    <w:t>达标</w:t>
                  </w:r>
                </w:p>
              </w:tc>
            </w:tr>
          </w:tbl>
          <w:p w14:paraId="539D5553">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color w:val="auto"/>
                <w:lang w:val="en-US" w:eastAsia="zh-CN"/>
              </w:rPr>
            </w:pPr>
            <w:r>
              <w:rPr>
                <w:bCs/>
                <w:color w:val="auto"/>
                <w:sz w:val="24"/>
                <w:highlight w:val="none"/>
              </w:rPr>
              <w:t>根据预测结</w:t>
            </w:r>
            <w:r>
              <w:rPr>
                <w:color w:val="auto"/>
                <w:sz w:val="24"/>
                <w:highlight w:val="none"/>
              </w:rPr>
              <w:t>果可知，项目运营期间，厂界四周噪声昼间</w:t>
            </w:r>
            <w:r>
              <w:rPr>
                <w:rFonts w:hint="eastAsia"/>
                <w:color w:val="auto"/>
                <w:sz w:val="24"/>
                <w:highlight w:val="none"/>
                <w:lang w:eastAsia="zh-CN"/>
              </w:rPr>
              <w:t>、</w:t>
            </w:r>
            <w:r>
              <w:rPr>
                <w:rFonts w:hint="eastAsia"/>
                <w:color w:val="auto"/>
                <w:sz w:val="24"/>
                <w:highlight w:val="none"/>
                <w:lang w:val="en-US" w:eastAsia="zh-CN"/>
              </w:rPr>
              <w:t>夜间</w:t>
            </w:r>
            <w:r>
              <w:rPr>
                <w:color w:val="auto"/>
                <w:sz w:val="24"/>
                <w:highlight w:val="none"/>
              </w:rPr>
              <w:t>贡献值</w:t>
            </w:r>
            <w:r>
              <w:rPr>
                <w:rFonts w:hint="eastAsia"/>
                <w:color w:val="auto"/>
                <w:sz w:val="24"/>
                <w:highlight w:val="none"/>
                <w:lang w:val="en-US" w:eastAsia="zh-CN"/>
              </w:rPr>
              <w:t>均</w:t>
            </w:r>
            <w:r>
              <w:rPr>
                <w:rFonts w:hint="eastAsia"/>
                <w:color w:val="auto"/>
                <w:sz w:val="24"/>
                <w:highlight w:val="none"/>
              </w:rPr>
              <w:t>满足</w:t>
            </w:r>
            <w:r>
              <w:rPr>
                <w:color w:val="auto"/>
                <w:sz w:val="24"/>
                <w:highlight w:val="none"/>
              </w:rPr>
              <w:t>《工业企业厂界环境噪声排放标准》（GB12348-2008）</w:t>
            </w:r>
            <w:r>
              <w:rPr>
                <w:rFonts w:hint="eastAsia"/>
                <w:color w:val="auto"/>
                <w:sz w:val="24"/>
                <w:highlight w:val="none"/>
                <w:lang w:val="en-US" w:eastAsia="zh-CN"/>
              </w:rPr>
              <w:t>2</w:t>
            </w:r>
            <w:r>
              <w:rPr>
                <w:color w:val="auto"/>
                <w:sz w:val="24"/>
                <w:highlight w:val="none"/>
              </w:rPr>
              <w:t>类标准</w:t>
            </w:r>
            <w:r>
              <w:rPr>
                <w:rFonts w:hint="eastAsia"/>
                <w:color w:val="auto"/>
                <w:sz w:val="24"/>
                <w:highlight w:val="none"/>
              </w:rPr>
              <w:t>要求</w:t>
            </w:r>
            <w:r>
              <w:rPr>
                <w:rFonts w:hint="eastAsia"/>
                <w:color w:val="auto"/>
                <w:sz w:val="24"/>
                <w:highlight w:val="none"/>
                <w:lang w:eastAsia="zh-CN"/>
              </w:rPr>
              <w:t>，</w:t>
            </w:r>
            <w:r>
              <w:rPr>
                <w:rFonts w:hint="eastAsia"/>
                <w:color w:val="auto"/>
                <w:lang w:val="en-US" w:eastAsia="zh-CN"/>
              </w:rPr>
              <w:t>其对周围敏感点影响较小，因此不会对周围声环境产生明显影响。</w:t>
            </w:r>
          </w:p>
          <w:p w14:paraId="2FB011E6">
            <w:pPr>
              <w:pStyle w:val="22"/>
              <w:bidi w:val="0"/>
              <w:rPr>
                <w:rFonts w:hint="eastAsia"/>
                <w:b/>
                <w:bCs/>
                <w:color w:val="auto"/>
                <w:lang w:val="en-US" w:eastAsia="zh-CN"/>
              </w:rPr>
            </w:pPr>
            <w:r>
              <w:rPr>
                <w:rFonts w:hint="eastAsia"/>
                <w:b/>
                <w:bCs/>
                <w:color w:val="auto"/>
                <w:lang w:val="en-US" w:eastAsia="zh-CN"/>
              </w:rPr>
              <w:t>5、振动影响</w:t>
            </w:r>
          </w:p>
          <w:p w14:paraId="5C96E7D7">
            <w:pPr>
              <w:pStyle w:val="22"/>
              <w:bidi w:val="0"/>
              <w:rPr>
                <w:rFonts w:hint="eastAsia"/>
                <w:color w:val="auto"/>
                <w:lang w:val="en-US" w:eastAsia="zh-CN"/>
              </w:rPr>
            </w:pPr>
            <w:r>
              <w:rPr>
                <w:rFonts w:hint="eastAsia"/>
                <w:color w:val="auto"/>
                <w:lang w:val="en-US" w:eastAsia="zh-CN"/>
              </w:rPr>
              <w:t>本项目尾水循环泵、回灌过滤、排气装置及回灌加压泵等放置于紫境城小区供热机房内（地下设置），设备在运行时会产生振动。本项目通过以下措施减少振动影响：</w:t>
            </w:r>
          </w:p>
          <w:p w14:paraId="4F305A92">
            <w:pPr>
              <w:pStyle w:val="22"/>
              <w:bidi w:val="0"/>
              <w:rPr>
                <w:rFonts w:hint="eastAsia"/>
                <w:color w:val="auto"/>
                <w:lang w:val="en-US" w:eastAsia="zh-CN"/>
              </w:rPr>
            </w:pPr>
            <w:r>
              <w:rPr>
                <w:rFonts w:hint="eastAsia"/>
                <w:color w:val="auto"/>
                <w:lang w:val="en-US" w:eastAsia="zh-CN"/>
              </w:rPr>
              <w:t>①选用先进的低噪声低振动设备；同时在设备机座上安装减振器或防振材料；</w:t>
            </w:r>
          </w:p>
          <w:p w14:paraId="1C1F7198">
            <w:pPr>
              <w:pStyle w:val="22"/>
              <w:bidi w:val="0"/>
              <w:rPr>
                <w:rFonts w:hint="eastAsia"/>
                <w:color w:val="auto"/>
                <w:lang w:val="en-US" w:eastAsia="zh-CN"/>
              </w:rPr>
            </w:pPr>
            <w:r>
              <w:rPr>
                <w:rFonts w:hint="eastAsia"/>
                <w:color w:val="auto"/>
                <w:lang w:val="en-US" w:eastAsia="zh-CN"/>
              </w:rPr>
              <w:t>②管道出水口增加橡胶软连接，软连接宜接选用隔振性能较好，长度较长且耐腐蚀的专业隔振产品；</w:t>
            </w:r>
          </w:p>
          <w:p w14:paraId="2FD5EE34">
            <w:pPr>
              <w:pStyle w:val="22"/>
              <w:bidi w:val="0"/>
              <w:rPr>
                <w:rFonts w:hint="eastAsia"/>
                <w:color w:val="auto"/>
                <w:lang w:val="en-US" w:eastAsia="zh-CN"/>
              </w:rPr>
            </w:pPr>
            <w:r>
              <w:rPr>
                <w:rFonts w:hint="eastAsia"/>
                <w:color w:val="auto"/>
                <w:lang w:val="en-US" w:eastAsia="zh-CN"/>
              </w:rPr>
              <w:t>③设备房窗采用能满足隔声要求的隔声窗。</w:t>
            </w:r>
          </w:p>
          <w:p w14:paraId="340BF17A">
            <w:pPr>
              <w:pStyle w:val="22"/>
              <w:bidi w:val="0"/>
              <w:rPr>
                <w:rFonts w:hint="eastAsia"/>
                <w:color w:val="auto"/>
                <w:lang w:val="en-US" w:eastAsia="zh-CN"/>
              </w:rPr>
            </w:pPr>
            <w:r>
              <w:rPr>
                <w:rFonts w:hint="eastAsia"/>
                <w:color w:val="auto"/>
                <w:lang w:val="en-US" w:eastAsia="zh-CN"/>
              </w:rPr>
              <w:t>采取以上措施，不会对其他地上建筑物造成影响。</w:t>
            </w:r>
          </w:p>
          <w:p w14:paraId="44E0E4EC">
            <w:pPr>
              <w:pStyle w:val="22"/>
              <w:bidi w:val="0"/>
              <w:rPr>
                <w:rFonts w:hint="eastAsia"/>
                <w:b/>
                <w:bCs/>
                <w:color w:val="auto"/>
                <w:lang w:val="en-US" w:eastAsia="zh-CN"/>
              </w:rPr>
            </w:pPr>
            <w:r>
              <w:rPr>
                <w:rFonts w:hint="eastAsia"/>
                <w:b/>
                <w:bCs/>
                <w:color w:val="auto"/>
                <w:lang w:val="en-US" w:eastAsia="zh-CN"/>
              </w:rPr>
              <w:t>6、固体废物</w:t>
            </w:r>
          </w:p>
          <w:p w14:paraId="3D6E5E29">
            <w:pPr>
              <w:pStyle w:val="22"/>
              <w:bidi w:val="0"/>
              <w:rPr>
                <w:rFonts w:hint="eastAsia"/>
                <w:color w:val="auto"/>
                <w:lang w:val="en-US" w:eastAsia="zh-CN"/>
              </w:rPr>
            </w:pPr>
            <w:r>
              <w:rPr>
                <w:rFonts w:hint="eastAsia"/>
                <w:color w:val="auto"/>
                <w:lang w:val="en-US" w:eastAsia="zh-CN"/>
              </w:rPr>
              <w:t>（1）生活垃圾：项目劳动定员6人，日常生活产生的生活垃圾按照0.5kg/人·天，则项目生活垃圾产生量为3kg/d，0.36t/a，生活垃圾依托所在小区垃圾收集点收集后，由环卫部门定期清运。</w:t>
            </w:r>
          </w:p>
          <w:p w14:paraId="432205EA">
            <w:pPr>
              <w:pStyle w:val="22"/>
              <w:bidi w:val="0"/>
              <w:rPr>
                <w:rFonts w:hint="eastAsia"/>
                <w:color w:val="auto"/>
                <w:lang w:val="en-US" w:eastAsia="zh-CN"/>
              </w:rPr>
            </w:pPr>
            <w:r>
              <w:rPr>
                <w:rFonts w:hint="eastAsia"/>
                <w:color w:val="auto"/>
                <w:spacing w:val="2"/>
                <w:sz w:val="24"/>
                <w:szCs w:val="24"/>
                <w:lang w:eastAsia="zh-CN"/>
              </w:rPr>
              <w:t>（</w:t>
            </w:r>
            <w:r>
              <w:rPr>
                <w:rFonts w:hint="eastAsia"/>
                <w:color w:val="auto"/>
                <w:spacing w:val="2"/>
                <w:sz w:val="24"/>
                <w:szCs w:val="24"/>
                <w:lang w:val="en-US" w:eastAsia="zh-CN"/>
              </w:rPr>
              <w:t>2</w:t>
            </w:r>
            <w:r>
              <w:rPr>
                <w:rFonts w:hint="eastAsia"/>
                <w:color w:val="auto"/>
                <w:spacing w:val="2"/>
                <w:sz w:val="24"/>
                <w:szCs w:val="24"/>
                <w:lang w:eastAsia="zh-CN"/>
              </w:rPr>
              <w:t>）</w:t>
            </w:r>
            <w:r>
              <w:rPr>
                <w:color w:val="auto"/>
                <w:spacing w:val="2"/>
                <w:sz w:val="24"/>
                <w:szCs w:val="24"/>
              </w:rPr>
              <w:t>废砂：项目生产井井口除砂器主要去除水中的砂，会</w:t>
            </w:r>
            <w:r>
              <w:rPr>
                <w:color w:val="auto"/>
                <w:spacing w:val="-2"/>
                <w:sz w:val="24"/>
                <w:szCs w:val="24"/>
              </w:rPr>
              <w:t>产生少量的砂，产生量约为</w:t>
            </w:r>
            <w:r>
              <w:rPr>
                <w:rFonts w:ascii="Times New Roman" w:hAnsi="Times New Roman" w:eastAsia="Times New Roman" w:cs="Times New Roman"/>
                <w:color w:val="auto"/>
                <w:spacing w:val="-2"/>
                <w:sz w:val="24"/>
                <w:szCs w:val="24"/>
              </w:rPr>
              <w:t>1.5kg/d</w:t>
            </w:r>
            <w:r>
              <w:rPr>
                <w:color w:val="auto"/>
                <w:spacing w:val="-2"/>
                <w:sz w:val="24"/>
                <w:szCs w:val="24"/>
              </w:rPr>
              <w:t>（</w:t>
            </w:r>
            <w:r>
              <w:rPr>
                <w:rFonts w:ascii="Times New Roman" w:hAnsi="Times New Roman" w:eastAsia="Times New Roman" w:cs="Times New Roman"/>
                <w:color w:val="auto"/>
                <w:spacing w:val="-2"/>
                <w:sz w:val="24"/>
                <w:szCs w:val="24"/>
              </w:rPr>
              <w:t>0</w:t>
            </w:r>
            <w:r>
              <w:rPr>
                <w:rFonts w:hint="eastAsia" w:eastAsia="宋体" w:cs="Times New Roman"/>
                <w:color w:val="auto"/>
                <w:spacing w:val="-2"/>
                <w:sz w:val="24"/>
                <w:szCs w:val="24"/>
                <w:lang w:val="en-US" w:eastAsia="zh-CN"/>
              </w:rPr>
              <w:t>.1</w:t>
            </w:r>
            <w:r>
              <w:rPr>
                <w:rFonts w:ascii="Times New Roman" w:hAnsi="Times New Roman" w:eastAsia="Times New Roman" w:cs="Times New Roman"/>
                <w:color w:val="auto"/>
                <w:spacing w:val="-2"/>
                <w:sz w:val="24"/>
                <w:szCs w:val="24"/>
              </w:rPr>
              <w:t>8t</w:t>
            </w:r>
            <w:r>
              <w:rPr>
                <w:rFonts w:ascii="Times New Roman" w:hAnsi="Times New Roman" w:eastAsia="Times New Roman" w:cs="Times New Roman"/>
                <w:color w:val="auto"/>
                <w:spacing w:val="-3"/>
                <w:sz w:val="24"/>
                <w:szCs w:val="24"/>
              </w:rPr>
              <w:t>/a</w:t>
            </w:r>
            <w:r>
              <w:rPr>
                <w:color w:val="auto"/>
                <w:spacing w:val="5"/>
                <w:sz w:val="24"/>
                <w:szCs w:val="24"/>
              </w:rPr>
              <w:t>），</w:t>
            </w:r>
            <w:r>
              <w:rPr>
                <w:color w:val="auto"/>
                <w:spacing w:val="-3"/>
                <w:sz w:val="24"/>
                <w:szCs w:val="24"/>
              </w:rPr>
              <w:t>综合利用于修路。</w:t>
            </w:r>
          </w:p>
          <w:p w14:paraId="7F870506">
            <w:pPr>
              <w:pStyle w:val="22"/>
              <w:bidi w:val="0"/>
              <w:rPr>
                <w:rFonts w:hint="eastAsia"/>
                <w:color w:val="auto"/>
                <w:lang w:val="en-US" w:eastAsia="zh-CN"/>
              </w:rPr>
            </w:pPr>
            <w:r>
              <w:rPr>
                <w:rFonts w:hint="eastAsia"/>
                <w:color w:val="auto"/>
                <w:lang w:val="en-US" w:eastAsia="zh-CN"/>
              </w:rPr>
              <w:t>（3）废滤芯：项目换热尾水经初级过滤器+精密过滤器过滤后再经回灌加压泵进入回灌井回灌。过滤器的滤芯需根据生产实际情况定期更换，更换量约0.1t/a，交由厂家进行回收处置。</w:t>
            </w:r>
          </w:p>
          <w:p w14:paraId="38D56C96">
            <w:pPr>
              <w:pStyle w:val="22"/>
              <w:bidi w:val="0"/>
              <w:rPr>
                <w:rFonts w:hint="eastAsia" w:eastAsia="宋体"/>
                <w:color w:val="auto"/>
                <w:lang w:val="en-US" w:eastAsia="zh-CN"/>
              </w:rPr>
            </w:pPr>
            <w:r>
              <w:rPr>
                <w:rFonts w:hint="eastAsia"/>
                <w:color w:val="auto"/>
                <w:lang w:val="en-US" w:eastAsia="zh-CN"/>
              </w:rPr>
              <w:t>（4）</w:t>
            </w:r>
            <w:r>
              <w:rPr>
                <w:color w:val="auto"/>
                <w:spacing w:val="2"/>
                <w:sz w:val="24"/>
                <w:szCs w:val="24"/>
              </w:rPr>
              <w:t>废离子交换树脂</w:t>
            </w:r>
            <w:r>
              <w:rPr>
                <w:rFonts w:hint="eastAsia"/>
                <w:color w:val="auto"/>
                <w:spacing w:val="2"/>
                <w:sz w:val="24"/>
                <w:szCs w:val="24"/>
                <w:lang w:eastAsia="zh-CN"/>
              </w:rPr>
              <w:t>：离子交换树脂需定期更换，</w:t>
            </w:r>
            <w:r>
              <w:rPr>
                <w:rFonts w:hint="eastAsia"/>
                <w:color w:val="auto"/>
                <w:spacing w:val="2"/>
                <w:sz w:val="24"/>
                <w:szCs w:val="24"/>
                <w:lang w:val="en-US" w:eastAsia="zh-CN"/>
              </w:rPr>
              <w:t>五年更换一次，</w:t>
            </w:r>
            <w:r>
              <w:rPr>
                <w:rFonts w:hint="eastAsia"/>
                <w:color w:val="auto"/>
                <w:spacing w:val="2"/>
                <w:sz w:val="24"/>
                <w:szCs w:val="24"/>
                <w:lang w:eastAsia="zh-CN"/>
              </w:rPr>
              <w:t>更换量</w:t>
            </w:r>
            <w:r>
              <w:rPr>
                <w:rFonts w:hint="eastAsia"/>
                <w:color w:val="auto"/>
                <w:spacing w:val="2"/>
                <w:sz w:val="24"/>
                <w:szCs w:val="24"/>
                <w:lang w:val="en-US" w:eastAsia="zh-CN"/>
              </w:rPr>
              <w:t>约1</w:t>
            </w:r>
            <w:r>
              <w:rPr>
                <w:rFonts w:hint="eastAsia"/>
                <w:color w:val="auto"/>
                <w:spacing w:val="2"/>
                <w:sz w:val="24"/>
                <w:szCs w:val="24"/>
                <w:lang w:eastAsia="zh-CN"/>
              </w:rPr>
              <w:t>t</w:t>
            </w:r>
            <w:r>
              <w:rPr>
                <w:rFonts w:hint="eastAsia"/>
                <w:color w:val="auto"/>
                <w:spacing w:val="2"/>
                <w:sz w:val="24"/>
                <w:szCs w:val="24"/>
                <w:lang w:val="en-US" w:eastAsia="zh-CN"/>
              </w:rPr>
              <w:t>/5a</w:t>
            </w:r>
            <w:r>
              <w:rPr>
                <w:rFonts w:hint="eastAsia"/>
                <w:color w:val="auto"/>
                <w:spacing w:val="2"/>
                <w:sz w:val="24"/>
                <w:szCs w:val="24"/>
                <w:lang w:eastAsia="zh-CN"/>
              </w:rPr>
              <w:t>，废离子交换树脂为一般固废，由厂家回收处理。</w:t>
            </w:r>
          </w:p>
          <w:p w14:paraId="032EC864">
            <w:pPr>
              <w:pStyle w:val="22"/>
              <w:bidi w:val="0"/>
              <w:rPr>
                <w:rFonts w:hint="eastAsia"/>
                <w:color w:val="auto"/>
                <w:lang w:val="en-US" w:eastAsia="zh-CN"/>
              </w:rPr>
            </w:pPr>
            <w:r>
              <w:rPr>
                <w:rFonts w:hint="eastAsia"/>
                <w:color w:val="auto"/>
                <w:lang w:val="en-US" w:eastAsia="zh-CN"/>
              </w:rPr>
              <w:t>项目产生的固废得到了合理处置，对环境影响较小。</w:t>
            </w:r>
          </w:p>
          <w:p w14:paraId="108796DC">
            <w:pPr>
              <w:keepNext w:val="0"/>
              <w:keepLines w:val="0"/>
              <w:pageBreakBefore w:val="0"/>
              <w:widowControl/>
              <w:kinsoku/>
              <w:wordWrap/>
              <w:overflowPunct/>
              <w:topLinePunct w:val="0"/>
              <w:autoSpaceDE/>
              <w:autoSpaceDN/>
              <w:bidi w:val="0"/>
              <w:adjustRightInd w:val="0"/>
              <w:snapToGrid w:val="0"/>
              <w:spacing w:line="240" w:lineRule="auto"/>
              <w:ind w:firstLine="482" w:firstLineChars="200"/>
              <w:jc w:val="center"/>
              <w:textAlignment w:val="auto"/>
              <w:outlineLvl w:val="9"/>
              <w:rPr>
                <w:rFonts w:hint="default" w:ascii="Times New Roman" w:hAnsi="Times New Roman" w:eastAsia="宋体" w:cs="Times New Roman"/>
                <w:bCs/>
                <w:color w:val="auto"/>
                <w:kern w:val="0"/>
                <w:sz w:val="24"/>
                <w:szCs w:val="24"/>
                <w:lang w:val="en-US"/>
              </w:rPr>
            </w:pPr>
            <w:r>
              <w:rPr>
                <w:rFonts w:hint="default" w:ascii="Times New Roman" w:hAnsi="Times New Roman" w:eastAsia="宋体" w:cs="Times New Roman"/>
                <w:b/>
                <w:bCs w:val="0"/>
                <w:color w:val="auto"/>
                <w:kern w:val="0"/>
                <w:sz w:val="24"/>
                <w:szCs w:val="24"/>
                <w:lang w:val="en-US" w:eastAsia="zh-CN"/>
              </w:rPr>
              <w:t>表4-</w:t>
            </w:r>
            <w:r>
              <w:rPr>
                <w:rFonts w:hint="eastAsia" w:cs="Times New Roman"/>
                <w:b/>
                <w:bCs w:val="0"/>
                <w:color w:val="auto"/>
                <w:kern w:val="0"/>
                <w:sz w:val="24"/>
                <w:szCs w:val="24"/>
                <w:lang w:val="en-US" w:eastAsia="zh-CN"/>
              </w:rPr>
              <w:t>8</w:t>
            </w:r>
            <w:r>
              <w:rPr>
                <w:rFonts w:hint="default" w:ascii="Times New Roman" w:hAnsi="Times New Roman" w:eastAsia="宋体" w:cs="Times New Roman"/>
                <w:b/>
                <w:bCs w:val="0"/>
                <w:color w:val="auto"/>
                <w:kern w:val="0"/>
                <w:sz w:val="24"/>
                <w:szCs w:val="24"/>
                <w:lang w:val="en-US" w:eastAsia="zh-CN"/>
              </w:rPr>
              <w:t xml:space="preserve">  项目固体废物产生及处置情况一览表</w:t>
            </w:r>
          </w:p>
          <w:tbl>
            <w:tblPr>
              <w:tblStyle w:val="15"/>
              <w:tblW w:w="8228"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9"/>
              <w:gridCol w:w="1231"/>
              <w:gridCol w:w="1140"/>
              <w:gridCol w:w="1317"/>
              <w:gridCol w:w="1140"/>
              <w:gridCol w:w="2321"/>
            </w:tblGrid>
            <w:tr w14:paraId="0B4F168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546" w:hRule="atLeast"/>
                <w:jc w:val="center"/>
              </w:trPr>
              <w:tc>
                <w:tcPr>
                  <w:tcW w:w="1079" w:type="dxa"/>
                  <w:tcBorders>
                    <w:tl2br w:val="nil"/>
                    <w:tr2bl w:val="nil"/>
                  </w:tcBorders>
                  <w:noWrap w:val="0"/>
                  <w:vAlign w:val="center"/>
                </w:tcPr>
                <w:p w14:paraId="2AFFCC6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固废类型</w:t>
                  </w:r>
                </w:p>
              </w:tc>
              <w:tc>
                <w:tcPr>
                  <w:tcW w:w="1231" w:type="dxa"/>
                  <w:tcBorders>
                    <w:tl2br w:val="nil"/>
                    <w:tr2bl w:val="nil"/>
                  </w:tcBorders>
                  <w:noWrap w:val="0"/>
                  <w:vAlign w:val="center"/>
                </w:tcPr>
                <w:p w14:paraId="0C60837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产生源</w:t>
                  </w:r>
                </w:p>
              </w:tc>
              <w:tc>
                <w:tcPr>
                  <w:tcW w:w="1140" w:type="dxa"/>
                  <w:tcBorders>
                    <w:tl2br w:val="nil"/>
                    <w:tr2bl w:val="nil"/>
                  </w:tcBorders>
                  <w:noWrap w:val="0"/>
                  <w:vAlign w:val="center"/>
                </w:tcPr>
                <w:p w14:paraId="0342BCA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废物名称</w:t>
                  </w:r>
                </w:p>
              </w:tc>
              <w:tc>
                <w:tcPr>
                  <w:tcW w:w="1317" w:type="dxa"/>
                  <w:tcBorders>
                    <w:tl2br w:val="nil"/>
                    <w:tr2bl w:val="nil"/>
                  </w:tcBorders>
                  <w:noWrap w:val="0"/>
                  <w:vAlign w:val="center"/>
                </w:tcPr>
                <w:p w14:paraId="04BFDE2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分类编号</w:t>
                  </w:r>
                </w:p>
              </w:tc>
              <w:tc>
                <w:tcPr>
                  <w:tcW w:w="1140" w:type="dxa"/>
                  <w:tcBorders>
                    <w:tl2br w:val="nil"/>
                    <w:tr2bl w:val="nil"/>
                  </w:tcBorders>
                  <w:noWrap w:val="0"/>
                  <w:vAlign w:val="center"/>
                </w:tcPr>
                <w:p w14:paraId="720435B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产生量t/a</w:t>
                  </w:r>
                </w:p>
              </w:tc>
              <w:tc>
                <w:tcPr>
                  <w:tcW w:w="2321" w:type="dxa"/>
                  <w:tcBorders>
                    <w:tl2br w:val="nil"/>
                    <w:tr2bl w:val="nil"/>
                  </w:tcBorders>
                  <w:noWrap w:val="0"/>
                  <w:vAlign w:val="center"/>
                </w:tcPr>
                <w:p w14:paraId="3065309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处置方式</w:t>
                  </w:r>
                </w:p>
              </w:tc>
            </w:tr>
            <w:tr w14:paraId="19C827C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079" w:type="dxa"/>
                  <w:vMerge w:val="restart"/>
                  <w:tcBorders>
                    <w:tl2br w:val="nil"/>
                    <w:tr2bl w:val="nil"/>
                  </w:tcBorders>
                  <w:noWrap w:val="0"/>
                  <w:vAlign w:val="center"/>
                </w:tcPr>
                <w:p w14:paraId="5A712A0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lang w:eastAsia="zh-CN"/>
                    </w:rPr>
                    <w:t>一般固废</w:t>
                  </w:r>
                </w:p>
              </w:tc>
              <w:tc>
                <w:tcPr>
                  <w:tcW w:w="1231" w:type="dxa"/>
                  <w:tcBorders>
                    <w:tl2br w:val="nil"/>
                    <w:tr2bl w:val="nil"/>
                  </w:tcBorders>
                  <w:noWrap w:val="0"/>
                  <w:vAlign w:val="center"/>
                </w:tcPr>
                <w:p w14:paraId="4DA31CF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snapToGrid w:val="0"/>
                      <w:color w:val="auto"/>
                      <w:kern w:val="0"/>
                      <w:sz w:val="21"/>
                      <w:szCs w:val="21"/>
                      <w:lang w:val="en-US" w:eastAsia="zh-CN" w:bidi="ar-SA"/>
                    </w:rPr>
                    <w:t>尾水回灌过滤</w:t>
                  </w:r>
                </w:p>
              </w:tc>
              <w:tc>
                <w:tcPr>
                  <w:tcW w:w="1140" w:type="dxa"/>
                  <w:tcBorders>
                    <w:tl2br w:val="nil"/>
                    <w:tr2bl w:val="nil"/>
                  </w:tcBorders>
                  <w:noWrap w:val="0"/>
                  <w:vAlign w:val="center"/>
                </w:tcPr>
                <w:p w14:paraId="0B7376E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eastAsia="zh-CN"/>
                    </w:rPr>
                    <w:t>废滤芯</w:t>
                  </w:r>
                </w:p>
              </w:tc>
              <w:tc>
                <w:tcPr>
                  <w:tcW w:w="1317" w:type="dxa"/>
                  <w:tcBorders>
                    <w:tl2br w:val="nil"/>
                    <w:tr2bl w:val="nil"/>
                  </w:tcBorders>
                  <w:noWrap w:val="0"/>
                  <w:vAlign w:val="center"/>
                </w:tcPr>
                <w:p w14:paraId="080D3E2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rPr>
                    <w:t>一般固废</w:t>
                  </w:r>
                </w:p>
              </w:tc>
              <w:tc>
                <w:tcPr>
                  <w:tcW w:w="1140" w:type="dxa"/>
                  <w:tcBorders>
                    <w:tl2br w:val="nil"/>
                    <w:tr2bl w:val="nil"/>
                  </w:tcBorders>
                  <w:noWrap w:val="0"/>
                  <w:vAlign w:val="center"/>
                </w:tcPr>
                <w:p w14:paraId="7DF9209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0.1</w:t>
                  </w:r>
                </w:p>
              </w:tc>
              <w:tc>
                <w:tcPr>
                  <w:tcW w:w="2321" w:type="dxa"/>
                  <w:tcBorders>
                    <w:tl2br w:val="nil"/>
                    <w:tr2bl w:val="nil"/>
                  </w:tcBorders>
                  <w:noWrap w:val="0"/>
                  <w:vAlign w:val="center"/>
                </w:tcPr>
                <w:p w14:paraId="56F5A59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交由厂家进行回收处置</w:t>
                  </w:r>
                </w:p>
              </w:tc>
            </w:tr>
            <w:tr w14:paraId="605063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9" w:type="dxa"/>
                  <w:vMerge w:val="continue"/>
                  <w:tcBorders>
                    <w:tl2br w:val="nil"/>
                    <w:tr2bl w:val="nil"/>
                  </w:tcBorders>
                  <w:noWrap w:val="0"/>
                  <w:vAlign w:val="center"/>
                </w:tcPr>
                <w:p w14:paraId="6135826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sz w:val="21"/>
                      <w:szCs w:val="21"/>
                      <w:lang w:eastAsia="zh-CN"/>
                    </w:rPr>
                  </w:pPr>
                </w:p>
              </w:tc>
              <w:tc>
                <w:tcPr>
                  <w:tcW w:w="1231" w:type="dxa"/>
                  <w:tcBorders>
                    <w:tl2br w:val="nil"/>
                    <w:tr2bl w:val="nil"/>
                  </w:tcBorders>
                  <w:noWrap w:val="0"/>
                  <w:vAlign w:val="center"/>
                </w:tcPr>
                <w:p w14:paraId="08A7244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snapToGrid w:val="0"/>
                      <w:color w:val="auto"/>
                      <w:kern w:val="0"/>
                      <w:sz w:val="21"/>
                      <w:szCs w:val="21"/>
                      <w:lang w:val="en-US" w:eastAsia="zh-CN" w:bidi="ar-SA"/>
                    </w:rPr>
                  </w:pPr>
                  <w:r>
                    <w:rPr>
                      <w:rFonts w:hint="eastAsia" w:ascii="Times New Roman" w:hAnsi="Times New Roman" w:eastAsia="宋体" w:cs="Times New Roman"/>
                      <w:b w:val="0"/>
                      <w:bCs w:val="0"/>
                      <w:snapToGrid w:val="0"/>
                      <w:color w:val="auto"/>
                      <w:kern w:val="0"/>
                      <w:sz w:val="21"/>
                      <w:szCs w:val="21"/>
                      <w:lang w:val="en-US" w:eastAsia="zh-CN" w:bidi="ar-SA"/>
                    </w:rPr>
                    <w:t>除砂器</w:t>
                  </w:r>
                </w:p>
              </w:tc>
              <w:tc>
                <w:tcPr>
                  <w:tcW w:w="1140" w:type="dxa"/>
                  <w:tcBorders>
                    <w:tl2br w:val="nil"/>
                    <w:tr2bl w:val="nil"/>
                  </w:tcBorders>
                  <w:noWrap w:val="0"/>
                  <w:vAlign w:val="center"/>
                </w:tcPr>
                <w:p w14:paraId="6B2E72A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废砂</w:t>
                  </w:r>
                </w:p>
              </w:tc>
              <w:tc>
                <w:tcPr>
                  <w:tcW w:w="1317" w:type="dxa"/>
                  <w:tcBorders>
                    <w:tl2br w:val="nil"/>
                    <w:tr2bl w:val="nil"/>
                  </w:tcBorders>
                  <w:noWrap w:val="0"/>
                  <w:vAlign w:val="center"/>
                </w:tcPr>
                <w:p w14:paraId="1D0380F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一般固废</w:t>
                  </w:r>
                </w:p>
              </w:tc>
              <w:tc>
                <w:tcPr>
                  <w:tcW w:w="1140" w:type="dxa"/>
                  <w:tcBorders>
                    <w:tl2br w:val="nil"/>
                    <w:tr2bl w:val="nil"/>
                  </w:tcBorders>
                  <w:noWrap w:val="0"/>
                  <w:vAlign w:val="center"/>
                </w:tcPr>
                <w:p w14:paraId="3EBA2DA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0.18</w:t>
                  </w:r>
                </w:p>
              </w:tc>
              <w:tc>
                <w:tcPr>
                  <w:tcW w:w="2321" w:type="dxa"/>
                  <w:tcBorders>
                    <w:tl2br w:val="nil"/>
                    <w:tr2bl w:val="nil"/>
                  </w:tcBorders>
                  <w:noWrap w:val="0"/>
                  <w:vAlign w:val="center"/>
                </w:tcPr>
                <w:p w14:paraId="79DAD7E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综合利用于修路</w:t>
                  </w:r>
                </w:p>
              </w:tc>
            </w:tr>
            <w:tr w14:paraId="2114CF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9" w:type="dxa"/>
                  <w:vMerge w:val="continue"/>
                  <w:tcBorders>
                    <w:tl2br w:val="nil"/>
                    <w:tr2bl w:val="nil"/>
                  </w:tcBorders>
                  <w:noWrap w:val="0"/>
                  <w:vAlign w:val="center"/>
                </w:tcPr>
                <w:p w14:paraId="764FE4B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sz w:val="21"/>
                      <w:szCs w:val="21"/>
                      <w:lang w:eastAsia="zh-CN"/>
                    </w:rPr>
                  </w:pPr>
                </w:p>
              </w:tc>
              <w:tc>
                <w:tcPr>
                  <w:tcW w:w="1231" w:type="dxa"/>
                  <w:tcBorders>
                    <w:tl2br w:val="nil"/>
                    <w:tr2bl w:val="nil"/>
                  </w:tcBorders>
                  <w:noWrap w:val="0"/>
                  <w:vAlign w:val="center"/>
                </w:tcPr>
                <w:p w14:paraId="2A87ADB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snapToGrid w:val="0"/>
                      <w:color w:val="auto"/>
                      <w:kern w:val="0"/>
                      <w:sz w:val="21"/>
                      <w:szCs w:val="21"/>
                      <w:lang w:val="en-US" w:eastAsia="zh-CN" w:bidi="ar-SA"/>
                    </w:rPr>
                  </w:pPr>
                  <w:r>
                    <w:rPr>
                      <w:rFonts w:hint="eastAsia" w:ascii="Times New Roman" w:hAnsi="Times New Roman" w:eastAsia="宋体" w:cs="Times New Roman"/>
                      <w:b w:val="0"/>
                      <w:bCs w:val="0"/>
                      <w:snapToGrid w:val="0"/>
                      <w:color w:val="auto"/>
                      <w:kern w:val="0"/>
                      <w:sz w:val="21"/>
                      <w:szCs w:val="21"/>
                      <w:lang w:val="en-US" w:eastAsia="zh-CN" w:bidi="ar-SA"/>
                    </w:rPr>
                    <w:t>软水制备</w:t>
                  </w:r>
                </w:p>
              </w:tc>
              <w:tc>
                <w:tcPr>
                  <w:tcW w:w="1140" w:type="dxa"/>
                  <w:tcBorders>
                    <w:tl2br w:val="nil"/>
                    <w:tr2bl w:val="nil"/>
                  </w:tcBorders>
                  <w:noWrap w:val="0"/>
                  <w:vAlign w:val="center"/>
                </w:tcPr>
                <w:p w14:paraId="072D482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废离子交换树脂</w:t>
                  </w:r>
                </w:p>
              </w:tc>
              <w:tc>
                <w:tcPr>
                  <w:tcW w:w="1317" w:type="dxa"/>
                  <w:tcBorders>
                    <w:tl2br w:val="nil"/>
                    <w:tr2bl w:val="nil"/>
                  </w:tcBorders>
                  <w:noWrap w:val="0"/>
                  <w:vAlign w:val="center"/>
                </w:tcPr>
                <w:p w14:paraId="5A1105C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一般固废</w:t>
                  </w:r>
                </w:p>
              </w:tc>
              <w:tc>
                <w:tcPr>
                  <w:tcW w:w="1140" w:type="dxa"/>
                  <w:tcBorders>
                    <w:tl2br w:val="nil"/>
                    <w:tr2bl w:val="nil"/>
                  </w:tcBorders>
                  <w:noWrap w:val="0"/>
                  <w:vAlign w:val="center"/>
                </w:tcPr>
                <w:p w14:paraId="6CD19F1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1t/5a</w:t>
                  </w:r>
                </w:p>
              </w:tc>
              <w:tc>
                <w:tcPr>
                  <w:tcW w:w="2321" w:type="dxa"/>
                  <w:tcBorders>
                    <w:tl2br w:val="nil"/>
                    <w:tr2bl w:val="nil"/>
                  </w:tcBorders>
                  <w:noWrap w:val="0"/>
                  <w:vAlign w:val="center"/>
                </w:tcPr>
                <w:p w14:paraId="72E3FF1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eastAsia="zh-CN"/>
                    </w:rPr>
                    <w:t>厂家回收处理</w:t>
                  </w:r>
                </w:p>
              </w:tc>
            </w:tr>
            <w:tr w14:paraId="78A780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079" w:type="dxa"/>
                  <w:vMerge w:val="continue"/>
                  <w:tcBorders>
                    <w:tl2br w:val="nil"/>
                    <w:tr2bl w:val="nil"/>
                  </w:tcBorders>
                  <w:noWrap w:val="0"/>
                  <w:vAlign w:val="center"/>
                </w:tcPr>
                <w:p w14:paraId="7C22B107">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sz w:val="21"/>
                      <w:szCs w:val="21"/>
                      <w:lang w:eastAsia="zh-CN"/>
                    </w:rPr>
                  </w:pPr>
                </w:p>
              </w:tc>
              <w:tc>
                <w:tcPr>
                  <w:tcW w:w="1231" w:type="dxa"/>
                  <w:tcBorders>
                    <w:tl2br w:val="nil"/>
                    <w:tr2bl w:val="nil"/>
                  </w:tcBorders>
                  <w:noWrap w:val="0"/>
                  <w:vAlign w:val="center"/>
                </w:tcPr>
                <w:p w14:paraId="2C8DB22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snapToGrid w:val="0"/>
                      <w:color w:val="auto"/>
                      <w:kern w:val="0"/>
                      <w:sz w:val="21"/>
                      <w:szCs w:val="21"/>
                      <w:lang w:val="en-US" w:eastAsia="zh-CN" w:bidi="ar-SA"/>
                    </w:rPr>
                  </w:pPr>
                  <w:r>
                    <w:rPr>
                      <w:rFonts w:hint="default" w:ascii="Times New Roman" w:hAnsi="Times New Roman" w:eastAsia="宋体" w:cs="Times New Roman"/>
                      <w:b w:val="0"/>
                      <w:bCs w:val="0"/>
                      <w:snapToGrid w:val="0"/>
                      <w:color w:val="auto"/>
                      <w:kern w:val="0"/>
                      <w:sz w:val="21"/>
                      <w:szCs w:val="21"/>
                      <w:lang w:val="en-US" w:eastAsia="zh-CN" w:bidi="ar-SA"/>
                    </w:rPr>
                    <w:t>生活</w:t>
                  </w:r>
                  <w:r>
                    <w:rPr>
                      <w:rFonts w:hint="eastAsia" w:ascii="Times New Roman" w:hAnsi="Times New Roman" w:eastAsia="宋体" w:cs="Times New Roman"/>
                      <w:b w:val="0"/>
                      <w:bCs w:val="0"/>
                      <w:snapToGrid w:val="0"/>
                      <w:color w:val="auto"/>
                      <w:kern w:val="0"/>
                      <w:sz w:val="21"/>
                      <w:szCs w:val="21"/>
                      <w:lang w:val="en-US" w:eastAsia="zh-CN" w:bidi="ar-SA"/>
                    </w:rPr>
                    <w:t>垃圾</w:t>
                  </w:r>
                </w:p>
              </w:tc>
              <w:tc>
                <w:tcPr>
                  <w:tcW w:w="1140" w:type="dxa"/>
                  <w:tcBorders>
                    <w:tl2br w:val="nil"/>
                    <w:tr2bl w:val="nil"/>
                  </w:tcBorders>
                  <w:noWrap w:val="0"/>
                  <w:vAlign w:val="center"/>
                </w:tcPr>
                <w:p w14:paraId="5399DE6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生活垃圾</w:t>
                  </w:r>
                </w:p>
              </w:tc>
              <w:tc>
                <w:tcPr>
                  <w:tcW w:w="1317" w:type="dxa"/>
                  <w:tcBorders>
                    <w:tl2br w:val="nil"/>
                    <w:tr2bl w:val="nil"/>
                  </w:tcBorders>
                  <w:noWrap w:val="0"/>
                  <w:vAlign w:val="center"/>
                </w:tcPr>
                <w:p w14:paraId="34C41A6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一般固废</w:t>
                  </w:r>
                </w:p>
              </w:tc>
              <w:tc>
                <w:tcPr>
                  <w:tcW w:w="1140" w:type="dxa"/>
                  <w:tcBorders>
                    <w:tl2br w:val="nil"/>
                    <w:tr2bl w:val="nil"/>
                  </w:tcBorders>
                  <w:noWrap w:val="0"/>
                  <w:vAlign w:val="center"/>
                </w:tcPr>
                <w:p w14:paraId="78D055E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w:t>
                  </w:r>
                  <w:r>
                    <w:rPr>
                      <w:rFonts w:hint="eastAsia" w:ascii="Times New Roman" w:hAnsi="Times New Roman" w:eastAsia="宋体" w:cs="Times New Roman"/>
                      <w:b w:val="0"/>
                      <w:bCs w:val="0"/>
                      <w:color w:val="auto"/>
                      <w:sz w:val="21"/>
                      <w:szCs w:val="21"/>
                      <w:lang w:val="en-US" w:eastAsia="zh-CN"/>
                    </w:rPr>
                    <w:t>36</w:t>
                  </w:r>
                </w:p>
              </w:tc>
              <w:tc>
                <w:tcPr>
                  <w:tcW w:w="2321" w:type="dxa"/>
                  <w:tcBorders>
                    <w:tl2br w:val="nil"/>
                    <w:tr2bl w:val="nil"/>
                  </w:tcBorders>
                  <w:noWrap w:val="0"/>
                  <w:vAlign w:val="center"/>
                </w:tcPr>
                <w:p w14:paraId="52672CB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color w:val="auto"/>
                    </w:rPr>
                  </w:pPr>
                  <w:r>
                    <w:rPr>
                      <w:rFonts w:hint="default" w:ascii="Times New Roman" w:hAnsi="Times New Roman" w:eastAsia="宋体" w:cs="Times New Roman"/>
                      <w:b w:val="0"/>
                      <w:bCs w:val="0"/>
                      <w:color w:val="auto"/>
                    </w:rPr>
                    <w:t>生活垃圾依托所在小区垃圾收集点收集后，由环卫部门定期清运</w:t>
                  </w:r>
                </w:p>
              </w:tc>
            </w:tr>
          </w:tbl>
          <w:p w14:paraId="29F0EF7B">
            <w:pPr>
              <w:adjustRightInd w:val="0"/>
              <w:snapToGrid w:val="0"/>
              <w:rPr>
                <w:rFonts w:hint="eastAsia" w:ascii="宋体" w:hAnsi="宋体" w:cs="宋体"/>
                <w:bCs/>
                <w:color w:val="auto"/>
                <w:szCs w:val="21"/>
                <w:lang w:val="en-US" w:eastAsia="zh-CN"/>
              </w:rPr>
            </w:pPr>
          </w:p>
          <w:p w14:paraId="787A12BF">
            <w:pPr>
              <w:adjustRightInd w:val="0"/>
              <w:snapToGrid w:val="0"/>
              <w:rPr>
                <w:rFonts w:hint="eastAsia" w:ascii="宋体" w:hAnsi="宋体" w:eastAsia="宋体" w:cs="宋体"/>
                <w:bCs/>
                <w:color w:val="auto"/>
                <w:szCs w:val="21"/>
                <w:lang w:val="en-US" w:eastAsia="zh-CN"/>
              </w:rPr>
            </w:pPr>
          </w:p>
        </w:tc>
      </w:tr>
      <w:tr w14:paraId="04F151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31" w:hRule="atLeast"/>
          <w:jc w:val="center"/>
        </w:trPr>
        <w:tc>
          <w:tcPr>
            <w:tcW w:w="879" w:type="dxa"/>
            <w:noWrap w:val="0"/>
            <w:vAlign w:val="center"/>
          </w:tcPr>
          <w:p w14:paraId="58D90FC0">
            <w:pPr>
              <w:adjustRightInd w:val="0"/>
              <w:snapToGrid w:val="0"/>
              <w:spacing w:before="0" w:beforeAutospacing="0" w:after="0" w:afterAutospacing="0"/>
              <w:jc w:val="center"/>
              <w:rPr>
                <w:rFonts w:cs="宋体"/>
                <w:bCs/>
                <w:color w:val="auto"/>
                <w:kern w:val="2"/>
                <w:sz w:val="24"/>
                <w:szCs w:val="24"/>
              </w:rPr>
            </w:pPr>
            <w:r>
              <w:rPr>
                <w:rFonts w:hint="eastAsia" w:cs="宋体"/>
                <w:bCs/>
                <w:color w:val="auto"/>
                <w:kern w:val="2"/>
                <w:sz w:val="24"/>
                <w:szCs w:val="24"/>
              </w:rPr>
              <w:t>选址选线环境合理性分析</w:t>
            </w:r>
          </w:p>
        </w:tc>
        <w:tc>
          <w:tcPr>
            <w:tcW w:w="8363" w:type="dxa"/>
            <w:noWrap w:val="0"/>
            <w:vAlign w:val="top"/>
          </w:tcPr>
          <w:p w14:paraId="2BEDD789">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color w:val="auto"/>
              </w:rPr>
            </w:pPr>
            <w:r>
              <w:rPr>
                <w:rFonts w:hint="eastAsia"/>
                <w:color w:val="auto"/>
              </w:rPr>
              <w:t>通过现场调查，项目井</w:t>
            </w:r>
            <w:r>
              <w:rPr>
                <w:rFonts w:hint="eastAsia"/>
                <w:color w:val="auto"/>
                <w:lang w:val="en-US" w:eastAsia="zh-CN"/>
              </w:rPr>
              <w:t>口</w:t>
            </w:r>
            <w:r>
              <w:rPr>
                <w:rFonts w:hint="eastAsia"/>
                <w:color w:val="auto"/>
              </w:rPr>
              <w:t>及</w:t>
            </w:r>
            <w:r>
              <w:rPr>
                <w:rFonts w:hint="eastAsia"/>
                <w:color w:val="auto"/>
                <w:lang w:val="en-US" w:eastAsia="zh-CN"/>
              </w:rPr>
              <w:t>供热机房</w:t>
            </w:r>
            <w:r>
              <w:rPr>
                <w:rFonts w:hint="eastAsia"/>
                <w:color w:val="auto"/>
              </w:rPr>
              <w:t>周围无特殊环境保护目标。本项目地热井及回灌井位于</w:t>
            </w:r>
            <w:r>
              <w:rPr>
                <w:rFonts w:hint="eastAsia"/>
                <w:color w:val="auto"/>
                <w:lang w:eastAsia="zh-CN"/>
              </w:rPr>
              <w:t>陕西省西咸新区沣东新城三桥街道北沙口村紫境城小区</w:t>
            </w:r>
            <w:r>
              <w:rPr>
                <w:rFonts w:hint="eastAsia"/>
                <w:color w:val="auto"/>
              </w:rPr>
              <w:t>内，建设地热井</w:t>
            </w:r>
            <w:r>
              <w:rPr>
                <w:rFonts w:hint="eastAsia"/>
                <w:color w:val="auto"/>
                <w:lang w:eastAsia="zh-CN"/>
              </w:rPr>
              <w:t>1眼</w:t>
            </w:r>
            <w:r>
              <w:rPr>
                <w:rFonts w:hint="eastAsia"/>
                <w:color w:val="auto"/>
              </w:rPr>
              <w:t>（已建成运行），回灌井</w:t>
            </w:r>
            <w:r>
              <w:rPr>
                <w:rFonts w:hint="eastAsia"/>
                <w:color w:val="auto"/>
                <w:lang w:eastAsia="zh-CN"/>
              </w:rPr>
              <w:t>1眼</w:t>
            </w:r>
            <w:r>
              <w:rPr>
                <w:rFonts w:hint="eastAsia"/>
                <w:color w:val="auto"/>
              </w:rPr>
              <w:t>，取水泵在井下，运行期噪声对环境影响小。尾水回灌泵</w:t>
            </w:r>
            <w:r>
              <w:rPr>
                <w:rFonts w:hint="eastAsia"/>
                <w:color w:val="auto"/>
                <w:lang w:eastAsia="zh-CN"/>
              </w:rPr>
              <w:t>、</w:t>
            </w:r>
            <w:r>
              <w:rPr>
                <w:rFonts w:hint="eastAsia"/>
                <w:color w:val="auto"/>
              </w:rPr>
              <w:t>回灌过滤、排气装置及回灌加压泵放置于</w:t>
            </w:r>
            <w:r>
              <w:rPr>
                <w:rFonts w:hint="eastAsia"/>
                <w:color w:val="auto"/>
                <w:lang w:eastAsia="zh-CN"/>
              </w:rPr>
              <w:t>紫境城小区</w:t>
            </w:r>
            <w:r>
              <w:rPr>
                <w:rFonts w:hint="eastAsia"/>
                <w:color w:val="auto"/>
                <w:lang w:val="en-US" w:eastAsia="zh-CN"/>
              </w:rPr>
              <w:t>供热机房</w:t>
            </w:r>
            <w:r>
              <w:rPr>
                <w:rFonts w:hint="eastAsia"/>
                <w:color w:val="auto"/>
              </w:rPr>
              <w:t>内，泵体采用低噪声设备，设备减振，泵体软连接，室内放置等降噪措施后，设备运行过程中不会对周边住户造成噪声及振动影响。项目管网在</w:t>
            </w:r>
            <w:r>
              <w:rPr>
                <w:rFonts w:hint="eastAsia"/>
                <w:color w:val="auto"/>
                <w:lang w:val="en-US" w:eastAsia="zh-CN"/>
              </w:rPr>
              <w:t>供热机房</w:t>
            </w:r>
            <w:r>
              <w:rPr>
                <w:rFonts w:hint="eastAsia"/>
                <w:color w:val="auto"/>
              </w:rPr>
              <w:t>与回灌井口之间进行敷设，敷设采用</w:t>
            </w:r>
            <w:r>
              <w:rPr>
                <w:rFonts w:hint="eastAsia"/>
                <w:color w:val="auto"/>
                <w:lang w:val="en-US" w:eastAsia="zh-CN"/>
              </w:rPr>
              <w:t>地下室架空敷设和顶管施工，</w:t>
            </w:r>
            <w:r>
              <w:rPr>
                <w:rFonts w:hint="eastAsia"/>
                <w:color w:val="auto"/>
              </w:rPr>
              <w:t>敷设完成后及时对地表地貌进行恢复。</w:t>
            </w:r>
          </w:p>
          <w:p w14:paraId="52BDA8E3">
            <w:pPr>
              <w:pStyle w:val="22"/>
              <w:bidi w:val="0"/>
              <w:rPr>
                <w:rFonts w:ascii="宋体" w:hAnsi="宋体" w:cs="宋体"/>
                <w:bCs/>
                <w:color w:val="auto"/>
                <w:szCs w:val="21"/>
              </w:rPr>
            </w:pPr>
            <w:r>
              <w:rPr>
                <w:rFonts w:hint="eastAsia"/>
                <w:color w:val="auto"/>
              </w:rPr>
              <w:t>经以上分析项目井</w:t>
            </w:r>
            <w:r>
              <w:rPr>
                <w:rFonts w:hint="eastAsia"/>
                <w:color w:val="auto"/>
                <w:lang w:val="en-US" w:eastAsia="zh-CN"/>
              </w:rPr>
              <w:t>口</w:t>
            </w:r>
            <w:r>
              <w:rPr>
                <w:rFonts w:hint="eastAsia"/>
                <w:color w:val="auto"/>
              </w:rPr>
              <w:t>、</w:t>
            </w:r>
            <w:r>
              <w:rPr>
                <w:rFonts w:hint="eastAsia"/>
                <w:color w:val="auto"/>
                <w:lang w:val="en-US" w:eastAsia="zh-CN"/>
              </w:rPr>
              <w:t>供热机房</w:t>
            </w:r>
            <w:r>
              <w:rPr>
                <w:rFonts w:hint="eastAsia"/>
                <w:color w:val="auto"/>
              </w:rPr>
              <w:t>及管线敷设选址选线可行。</w:t>
            </w:r>
          </w:p>
        </w:tc>
      </w:tr>
    </w:tbl>
    <w:p w14:paraId="0B5B89FD">
      <w:pPr>
        <w:jc w:val="center"/>
        <w:rPr>
          <w:rFonts w:ascii="黑体" w:hAnsi="黑体" w:eastAsia="黑体"/>
          <w:snapToGrid w:val="0"/>
          <w:color w:val="auto"/>
          <w:sz w:val="36"/>
          <w:szCs w:val="36"/>
        </w:rPr>
        <w:sectPr>
          <w:pgSz w:w="11906" w:h="16838"/>
          <w:pgMar w:top="1440" w:right="1800" w:bottom="1440" w:left="1800" w:header="851" w:footer="1077" w:gutter="0"/>
          <w:pgBorders>
            <w:top w:val="none" w:sz="0" w:space="0"/>
            <w:left w:val="none" w:sz="0" w:space="0"/>
            <w:bottom w:val="none" w:sz="0" w:space="0"/>
            <w:right w:val="none" w:sz="0" w:space="0"/>
          </w:pgBorders>
          <w:pgNumType w:fmt="decimal"/>
          <w:cols w:space="720" w:num="1"/>
          <w:docGrid w:linePitch="312" w:charSpace="0"/>
        </w:sectPr>
      </w:pPr>
    </w:p>
    <w:p w14:paraId="74596A64">
      <w:pPr>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五、主要生态环境保护措施</w:t>
      </w:r>
    </w:p>
    <w:tbl>
      <w:tblPr>
        <w:tblStyle w:val="15"/>
        <w:tblW w:w="921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3"/>
        <w:gridCol w:w="8457"/>
      </w:tblGrid>
      <w:tr w14:paraId="51E436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753" w:type="dxa"/>
            <w:noWrap w:val="0"/>
            <w:tcMar>
              <w:left w:w="28" w:type="dxa"/>
              <w:right w:w="28" w:type="dxa"/>
            </w:tcMar>
            <w:vAlign w:val="center"/>
          </w:tcPr>
          <w:p w14:paraId="757B11FF">
            <w:pPr>
              <w:adjustRightInd w:val="0"/>
              <w:snapToGrid w:val="0"/>
              <w:jc w:val="center"/>
              <w:rPr>
                <w:rFonts w:ascii="宋体" w:hAnsi="宋体"/>
                <w:bCs/>
                <w:color w:val="auto"/>
                <w:sz w:val="24"/>
                <w:szCs w:val="24"/>
              </w:rPr>
            </w:pPr>
            <w:r>
              <w:rPr>
                <w:rFonts w:hint="eastAsia" w:ascii="宋体" w:hAnsi="宋体" w:cs="宋体"/>
                <w:bCs/>
                <w:color w:val="auto"/>
                <w:spacing w:val="10"/>
                <w:sz w:val="24"/>
                <w:szCs w:val="24"/>
              </w:rPr>
              <w:t>施工期生态环境保护措施</w:t>
            </w:r>
          </w:p>
        </w:tc>
        <w:tc>
          <w:tcPr>
            <w:tcW w:w="8457" w:type="dxa"/>
            <w:noWrap w:val="0"/>
            <w:vAlign w:val="top"/>
          </w:tcPr>
          <w:p w14:paraId="3BD05BF9">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b/>
                <w:bCs/>
                <w:color w:val="auto"/>
                <w:lang w:eastAsia="zh-CN"/>
              </w:rPr>
            </w:pPr>
            <w:r>
              <w:rPr>
                <w:rFonts w:hint="eastAsia"/>
                <w:b/>
                <w:bCs/>
                <w:color w:val="auto"/>
                <w:lang w:eastAsia="zh-CN"/>
              </w:rPr>
              <w:t>1、废气</w:t>
            </w:r>
          </w:p>
          <w:p w14:paraId="683AE51D">
            <w:pPr>
              <w:pStyle w:val="22"/>
              <w:bidi w:val="0"/>
              <w:rPr>
                <w:rFonts w:hint="eastAsia"/>
                <w:color w:val="auto"/>
                <w:lang w:eastAsia="zh-CN"/>
              </w:rPr>
            </w:pPr>
            <w:r>
              <w:rPr>
                <w:rFonts w:hint="eastAsia"/>
                <w:color w:val="auto"/>
                <w:lang w:eastAsia="zh-CN"/>
              </w:rPr>
              <w:t>（1）扬尘</w:t>
            </w:r>
          </w:p>
          <w:p w14:paraId="1D94E303">
            <w:pPr>
              <w:pStyle w:val="22"/>
              <w:bidi w:val="0"/>
              <w:rPr>
                <w:rFonts w:hint="eastAsia"/>
                <w:color w:val="auto"/>
                <w:lang w:eastAsia="zh-CN"/>
              </w:rPr>
            </w:pPr>
            <w:r>
              <w:rPr>
                <w:rFonts w:hint="eastAsia"/>
                <w:color w:val="auto"/>
                <w:lang w:eastAsia="zh-CN"/>
              </w:rPr>
              <w:t>本项目回灌井位于紫境城小区</w:t>
            </w:r>
            <w:r>
              <w:rPr>
                <w:rFonts w:hint="eastAsia"/>
                <w:color w:val="auto"/>
                <w:lang w:val="en-US" w:eastAsia="zh-CN"/>
              </w:rPr>
              <w:t>东侧北沙口工业园内空地</w:t>
            </w:r>
            <w:r>
              <w:rPr>
                <w:rFonts w:hint="eastAsia"/>
                <w:color w:val="auto"/>
                <w:lang w:eastAsia="zh-CN"/>
              </w:rPr>
              <w:t>，粗放式施工是加重施工扬尘污染的重要原因之一，因此施工期应严格参照《陕西省大气污染防治条例》、《陕西省建筑施工扬尘治理行动方案》等文件要求进行文明施工、绿色施工，本次评价要求采取如下措施：</w:t>
            </w:r>
          </w:p>
          <w:p w14:paraId="5A1B2228">
            <w:pPr>
              <w:pStyle w:val="22"/>
              <w:bidi w:val="0"/>
              <w:rPr>
                <w:rFonts w:hint="eastAsia"/>
                <w:color w:val="auto"/>
                <w:lang w:eastAsia="zh-CN"/>
              </w:rPr>
            </w:pPr>
            <w:r>
              <w:rPr>
                <w:rFonts w:hint="eastAsia"/>
                <w:color w:val="auto"/>
                <w:lang w:eastAsia="zh-CN"/>
              </w:rPr>
              <w:t>①在施工场地安排员工定期对施工场地洒水以减少扬尘量，洒水次数根据天气状况而定，一般每天洒水1~2次，若遇到大风或干燥天气可适当增加洒水次数。施工场地洒水与否对扬尘的影响较大，场地洒水后，扬尘量将减低28%～75%，大大减少了其对环境的影响。</w:t>
            </w:r>
          </w:p>
          <w:p w14:paraId="2C39CB2D">
            <w:pPr>
              <w:pStyle w:val="22"/>
              <w:bidi w:val="0"/>
              <w:rPr>
                <w:rFonts w:hint="eastAsia"/>
                <w:color w:val="auto"/>
                <w:lang w:eastAsia="zh-CN"/>
              </w:rPr>
            </w:pPr>
            <w:r>
              <w:rPr>
                <w:rFonts w:hint="eastAsia"/>
                <w:color w:val="auto"/>
                <w:lang w:eastAsia="zh-CN"/>
              </w:rPr>
              <w:t>②对运输建筑材料及建筑垃圾的车辆加盖篷布以减少洒落。车辆行驶路线应尽量避开村庄等居民区；车辆行驶速度适当降低。</w:t>
            </w:r>
          </w:p>
          <w:p w14:paraId="37F2550A">
            <w:pPr>
              <w:pStyle w:val="22"/>
              <w:bidi w:val="0"/>
              <w:rPr>
                <w:rFonts w:hint="eastAsia"/>
                <w:color w:val="auto"/>
                <w:lang w:eastAsia="zh-CN"/>
              </w:rPr>
            </w:pPr>
            <w:r>
              <w:rPr>
                <w:rFonts w:hint="eastAsia"/>
                <w:color w:val="auto"/>
                <w:lang w:eastAsia="zh-CN"/>
              </w:rPr>
              <w:t>③</w:t>
            </w:r>
            <w:r>
              <w:rPr>
                <w:rFonts w:hint="eastAsia"/>
                <w:color w:val="auto"/>
                <w:lang w:val="en-US" w:eastAsia="zh-CN"/>
              </w:rPr>
              <w:t>回灌</w:t>
            </w:r>
            <w:r>
              <w:rPr>
                <w:rFonts w:hint="eastAsia"/>
                <w:color w:val="auto"/>
                <w:lang w:eastAsia="zh-CN"/>
              </w:rPr>
              <w:t>井和管线施工场地出入口必须进行硬化处理，凡出入施工工地的运输车辆车体和车轮带有泥土的必须清洗，不得带泥土驶出工地。</w:t>
            </w:r>
          </w:p>
          <w:p w14:paraId="47B7278C">
            <w:pPr>
              <w:pStyle w:val="22"/>
              <w:bidi w:val="0"/>
              <w:rPr>
                <w:rFonts w:hint="eastAsia"/>
                <w:color w:val="auto"/>
                <w:lang w:eastAsia="zh-CN"/>
              </w:rPr>
            </w:pPr>
            <w:r>
              <w:rPr>
                <w:rFonts w:hint="eastAsia"/>
                <w:color w:val="auto"/>
                <w:lang w:eastAsia="zh-CN"/>
              </w:rPr>
              <w:t>④在施工场地上设置专人负责建筑垃圾、建筑材料的处置、清运和堆放，堆放场地加盖篷布或洒水，防止二次扬尘。</w:t>
            </w:r>
          </w:p>
          <w:p w14:paraId="205CE835">
            <w:pPr>
              <w:pStyle w:val="22"/>
              <w:bidi w:val="0"/>
              <w:rPr>
                <w:rFonts w:hint="eastAsia"/>
                <w:color w:val="auto"/>
                <w:lang w:eastAsia="zh-CN"/>
              </w:rPr>
            </w:pPr>
            <w:r>
              <w:rPr>
                <w:rFonts w:hint="eastAsia"/>
                <w:color w:val="auto"/>
                <w:lang w:eastAsia="zh-CN"/>
              </w:rPr>
              <w:t>⑤项目施工期间要向社会公示，并进行严格监管。施工单位必须制定施工现场扬尘预防治理专项方案和空气重污染应急预案，并指定专人负责落实。政府发布重污染预警时，立即启动应急响应，并对进场所有作业人员进行工地扬尘预防治理知识培训，未经培训严禁上岗。</w:t>
            </w:r>
          </w:p>
          <w:p w14:paraId="65694838">
            <w:pPr>
              <w:pStyle w:val="22"/>
              <w:bidi w:val="0"/>
              <w:rPr>
                <w:rFonts w:hint="eastAsia"/>
                <w:color w:val="auto"/>
                <w:lang w:eastAsia="zh-CN"/>
              </w:rPr>
            </w:pPr>
            <w:r>
              <w:rPr>
                <w:rFonts w:hint="eastAsia"/>
                <w:color w:val="auto"/>
                <w:lang w:eastAsia="zh-CN"/>
              </w:rPr>
              <w:t>⑥建设单位与施工单位签订的合同，应当明确施工单位的扬尘污染防治责任，并将扬尘污染防治费用列入工程预算并及时足额支付施工单位。</w:t>
            </w:r>
          </w:p>
          <w:p w14:paraId="3A7CE04F">
            <w:pPr>
              <w:pStyle w:val="22"/>
              <w:bidi w:val="0"/>
              <w:rPr>
                <w:rFonts w:hint="eastAsia"/>
                <w:color w:val="auto"/>
                <w:lang w:eastAsia="zh-CN"/>
              </w:rPr>
            </w:pPr>
            <w:r>
              <w:rPr>
                <w:rFonts w:hint="eastAsia"/>
                <w:color w:val="auto"/>
                <w:lang w:eastAsia="zh-CN"/>
              </w:rPr>
              <w:t>⑦施工企业应制定专门的扬尘治理管理制度，企业技术负责人在审批施工组织设计和专项施工方案时，要对施工现场扬尘治理措施进行认真审核；施工企业定期召开安全例会和安全检查时，要将扬尘治理工作作为重要内容。</w:t>
            </w:r>
          </w:p>
          <w:p w14:paraId="221F7155">
            <w:pPr>
              <w:pStyle w:val="22"/>
              <w:bidi w:val="0"/>
              <w:rPr>
                <w:rFonts w:hint="eastAsia"/>
                <w:color w:val="auto"/>
                <w:lang w:eastAsia="zh-CN"/>
              </w:rPr>
            </w:pPr>
            <w:r>
              <w:rPr>
                <w:rFonts w:hint="eastAsia"/>
                <w:color w:val="auto"/>
                <w:lang w:eastAsia="zh-CN"/>
              </w:rPr>
              <w:t>⑧施工现场必须设置固定垃圾存放点，垃圾应分类集中堆放并覆盖清运，严禁私自焚烧、填埋和随意丢弃。</w:t>
            </w:r>
          </w:p>
          <w:p w14:paraId="20A46E47">
            <w:pPr>
              <w:pStyle w:val="22"/>
              <w:bidi w:val="0"/>
              <w:rPr>
                <w:rFonts w:hint="eastAsia"/>
                <w:color w:val="auto"/>
                <w:lang w:eastAsia="zh-CN"/>
              </w:rPr>
            </w:pPr>
            <w:r>
              <w:rPr>
                <w:rFonts w:hint="eastAsia"/>
                <w:color w:val="auto"/>
                <w:lang w:eastAsia="zh-CN"/>
              </w:rPr>
              <w:t>综上，建设单位加强管理、切实落实以上各项污染防治措施后，施工场地扬尘对周围环境的影响将降至最低，同时施工期对周围环境的影响是局部的、暂时的，会随着工程建设的完成而消失。</w:t>
            </w:r>
          </w:p>
          <w:p w14:paraId="12CF4D1E">
            <w:pPr>
              <w:pStyle w:val="22"/>
              <w:bidi w:val="0"/>
              <w:rPr>
                <w:rFonts w:hint="eastAsia"/>
                <w:color w:val="auto"/>
                <w:lang w:eastAsia="zh-CN"/>
              </w:rPr>
            </w:pPr>
            <w:r>
              <w:rPr>
                <w:rFonts w:hint="eastAsia"/>
                <w:color w:val="auto"/>
                <w:lang w:eastAsia="zh-CN"/>
              </w:rPr>
              <w:t>（2）施工机械及车辆废气</w:t>
            </w:r>
          </w:p>
          <w:p w14:paraId="76BAF601">
            <w:pPr>
              <w:pStyle w:val="22"/>
              <w:bidi w:val="0"/>
              <w:rPr>
                <w:rFonts w:hint="eastAsia"/>
                <w:color w:val="auto"/>
                <w:lang w:eastAsia="zh-CN"/>
              </w:rPr>
            </w:pPr>
            <w:r>
              <w:rPr>
                <w:rFonts w:hint="eastAsia"/>
                <w:color w:val="auto"/>
              </w:rPr>
              <w:t>项目钻井过程中不使用柴油发电机，少量施工机械及汽车尾气污染物主要为NO</w:t>
            </w:r>
            <w:r>
              <w:rPr>
                <w:rFonts w:hint="eastAsia"/>
                <w:color w:val="auto"/>
                <w:lang w:val="en-US" w:eastAsia="zh-CN"/>
              </w:rPr>
              <w:t>x</w:t>
            </w:r>
            <w:r>
              <w:rPr>
                <w:rFonts w:hint="eastAsia"/>
                <w:color w:val="auto"/>
              </w:rPr>
              <w:t>、CO、THC等，</w:t>
            </w:r>
            <w:r>
              <w:rPr>
                <w:rFonts w:hint="eastAsia"/>
                <w:color w:val="auto"/>
                <w:lang w:eastAsia="zh-CN"/>
              </w:rPr>
              <w:t>运输车辆为间断运行，产生的废气量较少。</w:t>
            </w:r>
          </w:p>
          <w:p w14:paraId="38466BA1">
            <w:pPr>
              <w:pStyle w:val="22"/>
              <w:bidi w:val="0"/>
              <w:rPr>
                <w:rFonts w:hint="eastAsia"/>
                <w:b/>
                <w:bCs/>
                <w:color w:val="auto"/>
                <w:lang w:eastAsia="zh-CN"/>
              </w:rPr>
            </w:pPr>
            <w:r>
              <w:rPr>
                <w:rFonts w:hint="eastAsia"/>
                <w:b/>
                <w:bCs/>
                <w:color w:val="auto"/>
                <w:lang w:eastAsia="zh-CN"/>
              </w:rPr>
              <w:t>2、废水</w:t>
            </w:r>
          </w:p>
          <w:p w14:paraId="0B0D116E">
            <w:pPr>
              <w:pStyle w:val="22"/>
              <w:bidi w:val="0"/>
              <w:rPr>
                <w:rFonts w:hint="eastAsia"/>
                <w:color w:val="auto"/>
                <w:lang w:eastAsia="zh-CN"/>
              </w:rPr>
            </w:pPr>
            <w:r>
              <w:rPr>
                <w:rFonts w:hint="eastAsia"/>
                <w:color w:val="auto"/>
                <w:lang w:eastAsia="zh-CN"/>
              </w:rPr>
              <w:t>施工期钻井废水排入井场防渗泥浆罐中用于配制泥浆，循环使用，钻井结束后与废弃泥浆一起固化处置。抽水试验前要求先对地热水水质进行重金属等分析，水质满足《污水综合排放标准》（GB8978-1996）三级标准排放要求，可经临时散热沉淀池等将水温降至35℃以下排放至西安净水处理有限责任公司第六再生水厂，达标排放后不会对污水处理厂生化系统产生影响；若水质不满足排水标准应处理达标后排入西安净水处理有限责任公司第六再生水厂。</w:t>
            </w:r>
          </w:p>
          <w:p w14:paraId="6942811C">
            <w:pPr>
              <w:pStyle w:val="22"/>
              <w:bidi w:val="0"/>
              <w:rPr>
                <w:rFonts w:hint="eastAsia"/>
                <w:color w:val="auto"/>
                <w:lang w:eastAsia="zh-CN"/>
              </w:rPr>
            </w:pPr>
            <w:r>
              <w:rPr>
                <w:rFonts w:hint="eastAsia"/>
                <w:color w:val="auto"/>
                <w:lang w:eastAsia="zh-CN"/>
              </w:rPr>
              <w:t>管道试压水中主要污染物为SS，水质较清，管道试压是分段施工，分段试压，每次的废水产生量不大，用于场地及周边道路绿化降尘洒水；</w:t>
            </w:r>
            <w:r>
              <w:rPr>
                <w:rFonts w:hint="eastAsia"/>
                <w:color w:val="auto"/>
                <w:lang w:val="en-US" w:eastAsia="zh-CN"/>
              </w:rPr>
              <w:t>生活污水依托小区</w:t>
            </w:r>
            <w:r>
              <w:rPr>
                <w:rFonts w:hint="eastAsia"/>
                <w:color w:val="auto"/>
              </w:rPr>
              <w:t>化粪池处理后排入市政污水管网，最终进入西安净水处理有限责任公司第六再生水厂进行处理</w:t>
            </w:r>
            <w:r>
              <w:rPr>
                <w:rFonts w:hint="eastAsia"/>
                <w:color w:val="auto"/>
                <w:lang w:eastAsia="zh-CN"/>
              </w:rPr>
              <w:t>。项目施工期较短，废水产生量较小，对环境影响较小。</w:t>
            </w:r>
          </w:p>
          <w:p w14:paraId="11FF2983">
            <w:pPr>
              <w:pStyle w:val="22"/>
              <w:bidi w:val="0"/>
              <w:rPr>
                <w:rFonts w:hint="eastAsia"/>
                <w:color w:val="auto"/>
                <w:lang w:eastAsia="zh-CN"/>
              </w:rPr>
            </w:pPr>
            <w:r>
              <w:rPr>
                <w:rFonts w:hint="eastAsia"/>
                <w:color w:val="auto"/>
                <w:lang w:eastAsia="zh-CN"/>
              </w:rPr>
              <w:t>为进一步减少施工废水对环境的影响，本次评价提出以下措施：</w:t>
            </w:r>
          </w:p>
          <w:p w14:paraId="6401AE5E">
            <w:pPr>
              <w:pStyle w:val="22"/>
              <w:bidi w:val="0"/>
              <w:rPr>
                <w:rFonts w:hint="eastAsia"/>
                <w:color w:val="auto"/>
                <w:lang w:eastAsia="zh-CN"/>
              </w:rPr>
            </w:pPr>
            <w:r>
              <w:rPr>
                <w:rFonts w:hint="eastAsia"/>
                <w:color w:val="auto"/>
                <w:lang w:eastAsia="zh-CN"/>
              </w:rPr>
              <w:t>①严格操作程序，减少钻井液的跑、冒、滴、漏，减少钻井液的产生量；</w:t>
            </w:r>
          </w:p>
          <w:p w14:paraId="5FF2C6E1">
            <w:pPr>
              <w:pStyle w:val="22"/>
              <w:bidi w:val="0"/>
              <w:rPr>
                <w:rFonts w:hint="eastAsia"/>
                <w:color w:val="auto"/>
                <w:lang w:eastAsia="zh-CN"/>
              </w:rPr>
            </w:pPr>
            <w:r>
              <w:rPr>
                <w:rFonts w:hint="eastAsia"/>
                <w:color w:val="auto"/>
                <w:lang w:eastAsia="zh-CN"/>
              </w:rPr>
              <w:t>②钻井废水必须排入防渗漏泥浆罐，循环使用，钻井结束后与废弃泥浆一并进行固化处置。泥浆罐容积按规范设计，保证钻井</w:t>
            </w:r>
            <w:r>
              <w:rPr>
                <w:rFonts w:hint="eastAsia"/>
                <w:color w:val="auto"/>
                <w:lang w:val="en-US" w:eastAsia="zh-CN"/>
              </w:rPr>
              <w:t>液</w:t>
            </w:r>
            <w:r>
              <w:rPr>
                <w:rFonts w:hint="eastAsia"/>
                <w:color w:val="auto"/>
                <w:lang w:eastAsia="zh-CN"/>
              </w:rPr>
              <w:t>及废弃泥浆不产生溢流现象，做到废水不外排。</w:t>
            </w:r>
          </w:p>
          <w:p w14:paraId="6C973FEC">
            <w:pPr>
              <w:pStyle w:val="22"/>
              <w:bidi w:val="0"/>
              <w:rPr>
                <w:rFonts w:hint="eastAsia"/>
                <w:color w:val="auto"/>
                <w:lang w:eastAsia="zh-CN"/>
              </w:rPr>
            </w:pPr>
            <w:r>
              <w:rPr>
                <w:rFonts w:hint="eastAsia"/>
                <w:color w:val="auto"/>
                <w:lang w:eastAsia="zh-CN"/>
              </w:rPr>
              <w:t>③洗井废水排入防渗泥浆罐中，与废弃泥浆一并固化处置。</w:t>
            </w:r>
          </w:p>
          <w:p w14:paraId="314BCF6E">
            <w:pPr>
              <w:pStyle w:val="22"/>
              <w:bidi w:val="0"/>
              <w:rPr>
                <w:rFonts w:hint="eastAsia"/>
                <w:b/>
                <w:bCs/>
                <w:color w:val="auto"/>
                <w:lang w:eastAsia="zh-CN"/>
              </w:rPr>
            </w:pPr>
            <w:r>
              <w:rPr>
                <w:rFonts w:hint="eastAsia"/>
                <w:b/>
                <w:bCs/>
                <w:color w:val="auto"/>
                <w:lang w:eastAsia="zh-CN"/>
              </w:rPr>
              <w:t>3、地下水</w:t>
            </w:r>
          </w:p>
          <w:p w14:paraId="645A0DCA">
            <w:pPr>
              <w:pStyle w:val="22"/>
              <w:bidi w:val="0"/>
              <w:rPr>
                <w:rFonts w:hint="eastAsia"/>
                <w:color w:val="auto"/>
                <w:lang w:eastAsia="zh-CN"/>
              </w:rPr>
            </w:pPr>
            <w:r>
              <w:rPr>
                <w:rFonts w:hint="eastAsia"/>
                <w:color w:val="auto"/>
                <w:lang w:eastAsia="zh-CN"/>
              </w:rPr>
              <w:t>项目区取水井多自地下400m以内，钻井施工时，0～450m泵管外全部水泥固井，水泥返出地面；φ339.7mm套管外采用水泥固井，采用G级油井水泥与专用固井车对表层套管外环状间隙全段封固，使固井水泥返出至地面，同时为保证固井质量，固井水泥浆密度应控制在1.80g/cm</w:t>
            </w:r>
            <w:r>
              <w:rPr>
                <w:rFonts w:hint="eastAsia"/>
                <w:color w:val="auto"/>
                <w:vertAlign w:val="superscript"/>
                <w:lang w:eastAsia="zh-CN"/>
              </w:rPr>
              <w:t>3</w:t>
            </w:r>
            <w:r>
              <w:rPr>
                <w:rFonts w:hint="eastAsia"/>
                <w:color w:val="auto"/>
                <w:lang w:eastAsia="zh-CN"/>
              </w:rPr>
              <w:t>以上。表层套管固井凝固36小时后试压，压力</w:t>
            </w:r>
            <w:r>
              <w:rPr>
                <w:rFonts w:hint="eastAsia"/>
                <w:color w:val="auto"/>
                <w:lang w:val="en-US" w:eastAsia="zh-CN"/>
              </w:rPr>
              <w:t>8</w:t>
            </w:r>
            <w:r>
              <w:rPr>
                <w:rFonts w:hint="eastAsia"/>
                <w:color w:val="auto"/>
                <w:lang w:eastAsia="zh-CN"/>
              </w:rPr>
              <w:t>MPa，30min降压≤0.5MPa为合格。</w:t>
            </w:r>
          </w:p>
          <w:p w14:paraId="3457A5F1">
            <w:pPr>
              <w:pStyle w:val="22"/>
              <w:bidi w:val="0"/>
              <w:rPr>
                <w:rFonts w:hint="eastAsia"/>
                <w:color w:val="auto"/>
                <w:lang w:eastAsia="zh-CN"/>
              </w:rPr>
            </w:pPr>
            <w:r>
              <w:rPr>
                <w:rFonts w:hint="eastAsia"/>
                <w:color w:val="auto"/>
                <w:lang w:eastAsia="zh-CN"/>
              </w:rPr>
              <w:t>此外不仅对回灌层段、泵室管与技术管间进行有效的止水，同时在新近系与第四系地层间进行止水，以防止管外上下地层连通而造成地下水污染。</w:t>
            </w:r>
          </w:p>
          <w:p w14:paraId="788B19F1">
            <w:pPr>
              <w:pStyle w:val="22"/>
              <w:bidi w:val="0"/>
              <w:rPr>
                <w:rFonts w:hint="eastAsia"/>
                <w:b/>
                <w:bCs/>
                <w:color w:val="auto"/>
                <w:lang w:eastAsia="zh-CN"/>
              </w:rPr>
            </w:pPr>
            <w:r>
              <w:rPr>
                <w:rFonts w:hint="eastAsia"/>
                <w:b/>
                <w:bCs/>
                <w:color w:val="auto"/>
                <w:lang w:eastAsia="zh-CN"/>
              </w:rPr>
              <w:t>4、噪声</w:t>
            </w:r>
          </w:p>
          <w:p w14:paraId="726525A3">
            <w:pPr>
              <w:pStyle w:val="22"/>
              <w:bidi w:val="0"/>
              <w:rPr>
                <w:rFonts w:hint="eastAsia"/>
                <w:color w:val="auto"/>
                <w:lang w:eastAsia="zh-CN"/>
              </w:rPr>
            </w:pPr>
            <w:r>
              <w:rPr>
                <w:rFonts w:hint="eastAsia"/>
                <w:color w:val="auto"/>
                <w:lang w:eastAsia="zh-CN"/>
              </w:rPr>
              <w:t>施工机械声级较高，在空旷地带噪声传播距离较远，昼间最大影响范围在50m内，夜间在</w:t>
            </w:r>
            <w:r>
              <w:rPr>
                <w:rFonts w:hint="eastAsia"/>
                <w:color w:val="auto"/>
                <w:lang w:val="en-US" w:eastAsia="zh-CN"/>
              </w:rPr>
              <w:t>178</w:t>
            </w:r>
            <w:r>
              <w:rPr>
                <w:rFonts w:hint="eastAsia"/>
                <w:color w:val="auto"/>
                <w:lang w:eastAsia="zh-CN"/>
              </w:rPr>
              <w:t>m内，在实际施工过程中，往往是多种机械同时使用，噪声影响较大。经现场调查距离回灌井场最近敏感点为回灌井西侧190m的紫境城小区24号楼，评价提出以下噪声防治措施：</w:t>
            </w:r>
          </w:p>
          <w:p w14:paraId="70F4A970">
            <w:pPr>
              <w:pStyle w:val="22"/>
              <w:bidi w:val="0"/>
              <w:rPr>
                <w:rFonts w:hint="eastAsia"/>
                <w:color w:val="auto"/>
                <w:lang w:eastAsia="zh-CN"/>
              </w:rPr>
            </w:pPr>
            <w:r>
              <w:rPr>
                <w:rFonts w:hint="eastAsia"/>
                <w:color w:val="auto"/>
                <w:lang w:eastAsia="zh-CN"/>
              </w:rPr>
              <w:t>①</w:t>
            </w:r>
            <w:r>
              <w:rPr>
                <w:rFonts w:hint="eastAsia"/>
                <w:color w:val="auto"/>
                <w:lang w:val="en-US" w:eastAsia="zh-CN"/>
              </w:rPr>
              <w:t>回灌井</w:t>
            </w:r>
            <w:r>
              <w:rPr>
                <w:rFonts w:hint="eastAsia"/>
                <w:color w:val="auto"/>
                <w:lang w:eastAsia="zh-CN"/>
              </w:rPr>
              <w:t>与管线施工现场的施工机械应尽量远离居民区等声环境敏感区，井场施工设围挡。</w:t>
            </w:r>
          </w:p>
          <w:p w14:paraId="2B0B122F">
            <w:pPr>
              <w:pStyle w:val="22"/>
              <w:bidi w:val="0"/>
              <w:rPr>
                <w:rFonts w:hint="eastAsia"/>
                <w:color w:val="auto"/>
                <w:lang w:eastAsia="zh-CN"/>
              </w:rPr>
            </w:pPr>
            <w:r>
              <w:rPr>
                <w:rFonts w:hint="eastAsia"/>
                <w:color w:val="auto"/>
                <w:lang w:eastAsia="zh-CN"/>
              </w:rPr>
              <w:t>②由于钻井施工作业一般不间断运行，因此22:00至次日6:00期间施工必须征得夜间施工许可证，并告知周边居民，维护好与周边居民的关系。</w:t>
            </w:r>
          </w:p>
          <w:p w14:paraId="7546111D">
            <w:pPr>
              <w:pStyle w:val="22"/>
              <w:bidi w:val="0"/>
              <w:rPr>
                <w:rFonts w:hint="eastAsia"/>
                <w:color w:val="auto"/>
                <w:lang w:eastAsia="zh-CN"/>
              </w:rPr>
            </w:pPr>
            <w:r>
              <w:rPr>
                <w:rFonts w:hint="eastAsia"/>
                <w:color w:val="auto"/>
                <w:lang w:eastAsia="zh-CN"/>
              </w:rPr>
              <w:t>③施工单位应优先选用低噪声机械设备或自带隔声、消声的机械设备；同时做好施工机械的维护和保养，有效降低机械设备运转噪声。</w:t>
            </w:r>
          </w:p>
          <w:p w14:paraId="44597349">
            <w:pPr>
              <w:pStyle w:val="22"/>
              <w:bidi w:val="0"/>
              <w:rPr>
                <w:rFonts w:hint="eastAsia"/>
                <w:color w:val="auto"/>
                <w:lang w:eastAsia="zh-CN"/>
              </w:rPr>
            </w:pPr>
            <w:r>
              <w:rPr>
                <w:rFonts w:hint="eastAsia"/>
                <w:color w:val="auto"/>
                <w:lang w:eastAsia="zh-CN"/>
              </w:rPr>
              <w:t>④加强对装卸施工的管理；金属材料在卸货时，要求轻抬、轻放，减少撞击性噪声。</w:t>
            </w:r>
          </w:p>
          <w:p w14:paraId="699B4872">
            <w:pPr>
              <w:pStyle w:val="22"/>
              <w:bidi w:val="0"/>
              <w:rPr>
                <w:rFonts w:hint="eastAsia"/>
                <w:color w:val="auto"/>
                <w:lang w:eastAsia="zh-CN"/>
              </w:rPr>
            </w:pPr>
            <w:r>
              <w:rPr>
                <w:rFonts w:hint="eastAsia"/>
                <w:color w:val="auto"/>
                <w:lang w:eastAsia="zh-CN"/>
              </w:rPr>
              <w:t>⑤合理安排强噪声施工机械的工作频次，缩短作业周期，合理调配车辆来往行车密度，在居民区等敏感区禁止鸣笛。</w:t>
            </w:r>
          </w:p>
          <w:p w14:paraId="3972CE96">
            <w:pPr>
              <w:pStyle w:val="22"/>
              <w:bidi w:val="0"/>
              <w:rPr>
                <w:rFonts w:hint="eastAsia"/>
                <w:b/>
                <w:bCs/>
                <w:color w:val="auto"/>
                <w:lang w:eastAsia="zh-CN"/>
              </w:rPr>
            </w:pPr>
            <w:r>
              <w:rPr>
                <w:rFonts w:hint="eastAsia"/>
                <w:b/>
                <w:bCs/>
                <w:color w:val="auto"/>
                <w:lang w:eastAsia="zh-CN"/>
              </w:rPr>
              <w:t>5、固废</w:t>
            </w:r>
          </w:p>
          <w:p w14:paraId="2809CEE1">
            <w:pPr>
              <w:pStyle w:val="22"/>
              <w:bidi w:val="0"/>
              <w:rPr>
                <w:rFonts w:hint="eastAsia"/>
                <w:color w:val="auto"/>
                <w:lang w:eastAsia="zh-CN"/>
              </w:rPr>
            </w:pPr>
            <w:r>
              <w:rPr>
                <w:rFonts w:hint="eastAsia"/>
                <w:color w:val="auto"/>
                <w:lang w:eastAsia="zh-CN"/>
              </w:rPr>
              <w:t>（</w:t>
            </w:r>
            <w:r>
              <w:rPr>
                <w:rFonts w:hint="eastAsia"/>
                <w:color w:val="auto"/>
                <w:lang w:val="en-US" w:eastAsia="zh-CN"/>
              </w:rPr>
              <w:t>1</w:t>
            </w:r>
            <w:r>
              <w:rPr>
                <w:rFonts w:hint="eastAsia"/>
                <w:color w:val="auto"/>
                <w:lang w:eastAsia="zh-CN"/>
              </w:rPr>
              <w:t>）生活垃圾</w:t>
            </w:r>
          </w:p>
          <w:p w14:paraId="6E2A6E55">
            <w:pPr>
              <w:pStyle w:val="22"/>
              <w:bidi w:val="0"/>
              <w:rPr>
                <w:rFonts w:hint="eastAsia"/>
                <w:color w:val="auto"/>
                <w:lang w:eastAsia="zh-CN"/>
              </w:rPr>
            </w:pPr>
            <w:r>
              <w:rPr>
                <w:rFonts w:hint="eastAsia"/>
                <w:color w:val="auto"/>
                <w:lang w:eastAsia="zh-CN"/>
              </w:rPr>
              <w:t>施工场地设垃圾桶统一收集生活垃圾，定期由环卫清运，施工人员生活垃圾对环境影响较小。</w:t>
            </w:r>
          </w:p>
          <w:p w14:paraId="67697BDB">
            <w:pPr>
              <w:pStyle w:val="22"/>
              <w:bidi w:val="0"/>
              <w:rPr>
                <w:rFonts w:hint="eastAsia"/>
                <w:color w:val="auto"/>
                <w:lang w:eastAsia="zh-CN"/>
              </w:rPr>
            </w:pPr>
            <w:r>
              <w:rPr>
                <w:rFonts w:hint="eastAsia"/>
                <w:color w:val="auto"/>
                <w:lang w:eastAsia="zh-CN"/>
              </w:rPr>
              <w:t>（</w:t>
            </w:r>
            <w:r>
              <w:rPr>
                <w:rFonts w:hint="eastAsia"/>
                <w:color w:val="auto"/>
                <w:lang w:val="en-US" w:eastAsia="zh-CN"/>
              </w:rPr>
              <w:t>2</w:t>
            </w:r>
            <w:r>
              <w:rPr>
                <w:rFonts w:hint="eastAsia"/>
                <w:color w:val="auto"/>
                <w:lang w:eastAsia="zh-CN"/>
              </w:rPr>
              <w:t>）弃土</w:t>
            </w:r>
          </w:p>
          <w:p w14:paraId="06A41221">
            <w:pPr>
              <w:pStyle w:val="22"/>
              <w:bidi w:val="0"/>
              <w:rPr>
                <w:rFonts w:hint="eastAsia"/>
                <w:color w:val="auto"/>
                <w:lang w:eastAsia="zh-CN"/>
              </w:rPr>
            </w:pPr>
            <w:r>
              <w:rPr>
                <w:rFonts w:hint="eastAsia"/>
                <w:color w:val="auto"/>
                <w:lang w:eastAsia="zh-CN"/>
              </w:rPr>
              <w:t>项目管线施工长度较短，评价要求施工单位将外挖土方及时回填，施工少量弃土填补至小区其他需补土绿化内，采取处置措施后弃土对环境影响较小。</w:t>
            </w:r>
          </w:p>
          <w:p w14:paraId="3A82D7F0">
            <w:pPr>
              <w:pStyle w:val="22"/>
              <w:bidi w:val="0"/>
              <w:rPr>
                <w:rFonts w:hint="eastAsia"/>
                <w:color w:val="auto"/>
                <w:lang w:eastAsia="zh-CN"/>
              </w:rPr>
            </w:pPr>
            <w:r>
              <w:rPr>
                <w:rFonts w:hint="eastAsia"/>
                <w:color w:val="auto"/>
                <w:lang w:eastAsia="zh-CN"/>
              </w:rPr>
              <w:t>（</w:t>
            </w:r>
            <w:r>
              <w:rPr>
                <w:rFonts w:hint="eastAsia"/>
                <w:color w:val="auto"/>
                <w:lang w:val="en-US" w:eastAsia="zh-CN"/>
              </w:rPr>
              <w:t>3</w:t>
            </w:r>
            <w:r>
              <w:rPr>
                <w:rFonts w:hint="eastAsia"/>
                <w:color w:val="auto"/>
                <w:lang w:eastAsia="zh-CN"/>
              </w:rPr>
              <w:t>）废弃钻井泥浆、岩屑</w:t>
            </w:r>
          </w:p>
          <w:p w14:paraId="1358CB2B">
            <w:pPr>
              <w:pStyle w:val="22"/>
              <w:bidi w:val="0"/>
              <w:rPr>
                <w:rFonts w:hint="eastAsia"/>
                <w:color w:val="auto"/>
                <w:lang w:eastAsia="zh-CN"/>
              </w:rPr>
            </w:pPr>
            <w:r>
              <w:rPr>
                <w:rFonts w:hint="eastAsia"/>
                <w:color w:val="auto"/>
                <w:lang w:eastAsia="zh-CN"/>
              </w:rPr>
              <w:t>为确保钻井泥浆不落地，钻井井场设置防渗泥浆罐，完井后泥浆、岩屑固化处理后优先考虑综合利用，如不能综合利用需送一般工业固体废物填埋场进行填埋处置。泥浆罐容积按规范设计，保证钻井废水及废弃泥浆不产生溢流现象，做到废水不外排。对废弃泥浆采取固化处置措施后，对土壤、地表水和地下水环境的产生影响较小。</w:t>
            </w:r>
          </w:p>
          <w:p w14:paraId="38B40841">
            <w:pPr>
              <w:pStyle w:val="22"/>
              <w:bidi w:val="0"/>
              <w:rPr>
                <w:rFonts w:hint="eastAsia"/>
                <w:color w:val="auto"/>
                <w:lang w:eastAsia="zh-CN"/>
              </w:rPr>
            </w:pPr>
            <w:r>
              <w:rPr>
                <w:rFonts w:hint="eastAsia"/>
                <w:color w:val="auto"/>
                <w:lang w:eastAsia="zh-CN"/>
              </w:rPr>
              <w:t>钻井过程中，部分岩屑样作岩性及含水性分析，由建设单位收存留档，剩余岩屑同钻井泥浆一同处置。岩屑等一般固废在井场暂存时应设置专门区域集中放置，下铺防渗膜，在风干后应及时覆盖或拉运避免造成扬尘污染。</w:t>
            </w:r>
          </w:p>
          <w:p w14:paraId="51EE537B">
            <w:pPr>
              <w:pStyle w:val="22"/>
              <w:bidi w:val="0"/>
              <w:rPr>
                <w:rFonts w:hint="eastAsia"/>
                <w:color w:val="auto"/>
                <w:lang w:eastAsia="zh-CN"/>
              </w:rPr>
            </w:pPr>
            <w:r>
              <w:rPr>
                <w:rFonts w:hint="eastAsia"/>
                <w:color w:val="auto"/>
                <w:lang w:eastAsia="zh-CN"/>
              </w:rPr>
              <w:t>项目施工期间在严格落实各项环保措施后，对周围环境影响可接受。</w:t>
            </w:r>
          </w:p>
          <w:p w14:paraId="65A9E1E7">
            <w:pPr>
              <w:pStyle w:val="22"/>
              <w:bidi w:val="0"/>
              <w:rPr>
                <w:rFonts w:hint="eastAsia"/>
                <w:b/>
                <w:bCs/>
                <w:color w:val="auto"/>
                <w:lang w:eastAsia="zh-CN"/>
              </w:rPr>
            </w:pPr>
            <w:r>
              <w:rPr>
                <w:rFonts w:hint="eastAsia"/>
                <w:b/>
                <w:bCs/>
                <w:color w:val="auto"/>
                <w:lang w:eastAsia="zh-CN"/>
              </w:rPr>
              <w:t>6、生态环境</w:t>
            </w:r>
          </w:p>
          <w:p w14:paraId="219D907F">
            <w:pPr>
              <w:pStyle w:val="22"/>
              <w:bidi w:val="0"/>
              <w:rPr>
                <w:rFonts w:hint="eastAsia"/>
                <w:color w:val="auto"/>
                <w:lang w:eastAsia="zh-CN"/>
              </w:rPr>
            </w:pPr>
            <w:r>
              <w:rPr>
                <w:rFonts w:hint="eastAsia"/>
                <w:color w:val="auto"/>
                <w:lang w:eastAsia="zh-CN"/>
              </w:rPr>
              <w:t>项目配套管</w:t>
            </w:r>
            <w:r>
              <w:rPr>
                <w:rFonts w:hint="eastAsia"/>
                <w:color w:val="auto"/>
                <w:lang w:val="en-US" w:eastAsia="zh-CN"/>
              </w:rPr>
              <w:t>线</w:t>
            </w:r>
            <w:r>
              <w:rPr>
                <w:rFonts w:hint="eastAsia"/>
                <w:color w:val="auto"/>
                <w:lang w:eastAsia="zh-CN"/>
              </w:rPr>
              <w:t>的施工建设可能造成水土流失，主要表现为管沟开挖等引起土地原有地形地貌的改变，项目挖方及石料等均沿管道两侧堆放，为临时占地，遇雨天可能引起水土流失增加。</w:t>
            </w:r>
          </w:p>
          <w:p w14:paraId="573C7209">
            <w:pPr>
              <w:pStyle w:val="22"/>
              <w:bidi w:val="0"/>
              <w:rPr>
                <w:rFonts w:hint="eastAsia"/>
                <w:color w:val="auto"/>
                <w:lang w:eastAsia="zh-CN"/>
              </w:rPr>
            </w:pPr>
            <w:r>
              <w:rPr>
                <w:rFonts w:hint="eastAsia"/>
                <w:color w:val="auto"/>
                <w:lang w:eastAsia="zh-CN"/>
              </w:rPr>
              <w:t>环评要求采取以下水土保持防治措施：</w:t>
            </w:r>
          </w:p>
          <w:p w14:paraId="544132C4">
            <w:pPr>
              <w:pStyle w:val="22"/>
              <w:bidi w:val="0"/>
              <w:rPr>
                <w:rFonts w:hint="eastAsia" w:ascii="宋体" w:hAnsi="宋体" w:eastAsia="宋体" w:cs="宋体"/>
                <w:bCs/>
                <w:color w:val="auto"/>
                <w:spacing w:val="10"/>
                <w:szCs w:val="21"/>
                <w:lang w:eastAsia="zh-CN"/>
              </w:rPr>
            </w:pPr>
            <w:r>
              <w:rPr>
                <w:rFonts w:hint="eastAsia"/>
                <w:color w:val="auto"/>
                <w:lang w:eastAsia="zh-CN"/>
              </w:rPr>
              <w:t>施工过程中产生的建筑垃圾要日产日清，堆放在施工便道的临时土石方，以密目网覆盖，禁止土石外溢至围挡以外或露天存放，避免下雨天气雨水冲刷废渣，对道路交通及居民生活造成影响。</w:t>
            </w:r>
          </w:p>
        </w:tc>
      </w:tr>
      <w:tr w14:paraId="5706CA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753" w:type="dxa"/>
            <w:noWrap w:val="0"/>
            <w:tcMar>
              <w:left w:w="28" w:type="dxa"/>
              <w:right w:w="28" w:type="dxa"/>
            </w:tcMar>
            <w:vAlign w:val="center"/>
          </w:tcPr>
          <w:p w14:paraId="5CCB6238">
            <w:pPr>
              <w:adjustRightInd w:val="0"/>
              <w:snapToGrid w:val="0"/>
              <w:jc w:val="center"/>
              <w:rPr>
                <w:rFonts w:ascii="宋体" w:hAnsi="宋体" w:cs="宋体"/>
                <w:bCs/>
                <w:color w:val="auto"/>
                <w:spacing w:val="10"/>
                <w:sz w:val="24"/>
                <w:szCs w:val="24"/>
              </w:rPr>
            </w:pPr>
            <w:r>
              <w:rPr>
                <w:rFonts w:hint="eastAsia" w:ascii="宋体" w:hAnsi="宋体" w:cs="宋体"/>
                <w:bCs/>
                <w:color w:val="auto"/>
                <w:spacing w:val="10"/>
                <w:sz w:val="24"/>
                <w:szCs w:val="24"/>
              </w:rPr>
              <w:t>运营期生态环境保护措施</w:t>
            </w:r>
          </w:p>
        </w:tc>
        <w:tc>
          <w:tcPr>
            <w:tcW w:w="8457" w:type="dxa"/>
            <w:noWrap w:val="0"/>
            <w:vAlign w:val="top"/>
          </w:tcPr>
          <w:p w14:paraId="4E29A358">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b/>
                <w:bCs/>
                <w:color w:val="auto"/>
              </w:rPr>
            </w:pPr>
            <w:r>
              <w:rPr>
                <w:rFonts w:hint="eastAsia"/>
                <w:b/>
                <w:bCs/>
                <w:color w:val="auto"/>
              </w:rPr>
              <w:t>1、地表水</w:t>
            </w:r>
          </w:p>
          <w:p w14:paraId="3E25620A">
            <w:pPr>
              <w:pStyle w:val="22"/>
              <w:bidi w:val="0"/>
              <w:rPr>
                <w:rFonts w:hint="eastAsia"/>
                <w:color w:val="auto"/>
              </w:rPr>
            </w:pPr>
            <w:r>
              <w:rPr>
                <w:rFonts w:hint="eastAsia"/>
                <w:color w:val="auto"/>
              </w:rPr>
              <w:t>地热尾水：项目运营期可能存在管道破裂造成水资源流失，其中一种可能是由于其他工程开挖或管线基础隐患等造成的，一旦发生此类事</w:t>
            </w:r>
            <w:r>
              <w:rPr>
                <w:rFonts w:hint="eastAsia"/>
                <w:color w:val="auto"/>
                <w:lang w:val="en-US" w:eastAsia="zh-CN"/>
              </w:rPr>
              <w:t>件</w:t>
            </w:r>
            <w:r>
              <w:rPr>
                <w:rFonts w:hint="eastAsia"/>
                <w:color w:val="auto"/>
              </w:rPr>
              <w:t>，要及时组织抢修，尽可能减少漏水时间，避免资源流失；另外管道的破损，会造成热水渗漏到地下，改变土壤结构，破坏植物生长环境。为了避免此类事</w:t>
            </w:r>
            <w:r>
              <w:rPr>
                <w:rFonts w:hint="eastAsia"/>
                <w:color w:val="auto"/>
                <w:lang w:val="en-US" w:eastAsia="zh-CN"/>
              </w:rPr>
              <w:t>件</w:t>
            </w:r>
            <w:r>
              <w:rPr>
                <w:rFonts w:hint="eastAsia"/>
                <w:color w:val="auto"/>
              </w:rPr>
              <w:t>的发生，在建设期就应当把好质量关，严禁使用不合格产品，并在日常定期检查维护，尽可能的将管网破损事</w:t>
            </w:r>
            <w:r>
              <w:rPr>
                <w:rFonts w:hint="eastAsia"/>
                <w:color w:val="auto"/>
                <w:lang w:val="en-US" w:eastAsia="zh-CN"/>
              </w:rPr>
              <w:t>件</w:t>
            </w:r>
            <w:r>
              <w:rPr>
                <w:rFonts w:hint="eastAsia"/>
                <w:color w:val="auto"/>
              </w:rPr>
              <w:t>发生率</w:t>
            </w:r>
            <w:r>
              <w:rPr>
                <w:rFonts w:hint="eastAsia"/>
                <w:color w:val="auto"/>
                <w:lang w:eastAsia="zh-CN"/>
              </w:rPr>
              <w:t>降</w:t>
            </w:r>
            <w:r>
              <w:rPr>
                <w:rFonts w:hint="eastAsia"/>
                <w:color w:val="auto"/>
              </w:rPr>
              <w:t>至最低。</w:t>
            </w:r>
          </w:p>
          <w:p w14:paraId="5A343BC1">
            <w:pPr>
              <w:pStyle w:val="22"/>
              <w:bidi w:val="0"/>
              <w:rPr>
                <w:rFonts w:hint="eastAsia"/>
                <w:color w:val="auto"/>
              </w:rPr>
            </w:pPr>
            <w:r>
              <w:rPr>
                <w:rFonts w:hint="eastAsia"/>
                <w:color w:val="auto"/>
              </w:rPr>
              <w:t>生活污水：生活污水依托</w:t>
            </w:r>
            <w:r>
              <w:rPr>
                <w:rFonts w:hint="eastAsia"/>
                <w:color w:val="auto"/>
                <w:lang w:eastAsia="zh-CN"/>
              </w:rPr>
              <w:t>小区</w:t>
            </w:r>
            <w:r>
              <w:rPr>
                <w:rFonts w:hint="eastAsia"/>
                <w:color w:val="auto"/>
              </w:rPr>
              <w:t>化粪池处理后，经市政污水管网排入</w:t>
            </w:r>
            <w:r>
              <w:rPr>
                <w:rFonts w:hint="eastAsia"/>
                <w:color w:val="auto"/>
                <w:lang w:eastAsia="zh-CN"/>
              </w:rPr>
              <w:t>西安净水处理有限责任公司第六再生水厂</w:t>
            </w:r>
            <w:r>
              <w:rPr>
                <w:rFonts w:hint="eastAsia"/>
                <w:color w:val="auto"/>
              </w:rPr>
              <w:t>进行处理。</w:t>
            </w:r>
          </w:p>
          <w:p w14:paraId="4D6866F8">
            <w:pPr>
              <w:pStyle w:val="22"/>
              <w:bidi w:val="0"/>
              <w:rPr>
                <w:rFonts w:hint="eastAsia"/>
                <w:color w:val="auto"/>
              </w:rPr>
            </w:pPr>
            <w:r>
              <w:rPr>
                <w:rFonts w:hint="eastAsia"/>
                <w:color w:val="auto"/>
                <w:lang w:val="en-US" w:eastAsia="zh-CN"/>
              </w:rPr>
              <w:t>软化浓水和反冲洗废水：其污染物种类较为简单，为清净下水，排入小区污水管网，经市政污水管网排入西安净水处理有限责任公司第六再生水厂处理。</w:t>
            </w:r>
          </w:p>
          <w:p w14:paraId="6A29D16F">
            <w:pPr>
              <w:pStyle w:val="22"/>
              <w:bidi w:val="0"/>
              <w:rPr>
                <w:rFonts w:hint="eastAsia"/>
                <w:b/>
                <w:bCs/>
                <w:color w:val="auto"/>
              </w:rPr>
            </w:pPr>
            <w:r>
              <w:rPr>
                <w:rFonts w:hint="eastAsia"/>
                <w:b/>
                <w:bCs/>
                <w:color w:val="auto"/>
              </w:rPr>
              <w:t>2、地下水</w:t>
            </w:r>
          </w:p>
          <w:p w14:paraId="2BB6E273">
            <w:pPr>
              <w:pStyle w:val="22"/>
              <w:bidi w:val="0"/>
              <w:rPr>
                <w:rFonts w:hint="eastAsia"/>
                <w:color w:val="auto"/>
                <w:lang w:val="en-US" w:eastAsia="zh-CN"/>
              </w:rPr>
            </w:pPr>
            <w:r>
              <w:rPr>
                <w:rFonts w:hint="eastAsia"/>
                <w:color w:val="auto"/>
              </w:rPr>
              <w:t>项目回灌井成井过程中采取井壁防渗防垮塌、水泥固井和止水技术。</w:t>
            </w:r>
            <w:r>
              <w:rPr>
                <w:rFonts w:hint="eastAsia"/>
                <w:color w:val="auto"/>
                <w:lang w:val="en-US" w:eastAsia="zh-CN"/>
              </w:rPr>
              <w:t>项目对泵室段井管外采用G级油井水泥全井段固井，由此可见，第四系地层全有水泥套管的封止，即套管外返水不会进入潜水和承压水含水层。本项目回灌层段为1900-2750m，在回灌段顶部采用伞式橡胶止水器止水、各地层界限，即三门组底部、张家坡组底部采用简易止水器分层止水，止水器采用特殊橡胶材料制成复合型联体伞式止水器达到复合止水的效果。井口设流量计，若出现跑、冒、滴、漏可及时发现，并采取措施及时止漏。</w:t>
            </w:r>
          </w:p>
          <w:p w14:paraId="3E96DCA6">
            <w:pPr>
              <w:pStyle w:val="22"/>
              <w:bidi w:val="0"/>
              <w:rPr>
                <w:rFonts w:hint="eastAsia"/>
                <w:color w:val="auto"/>
              </w:rPr>
            </w:pPr>
            <w:r>
              <w:rPr>
                <w:rFonts w:hint="eastAsia"/>
                <w:color w:val="auto"/>
              </w:rPr>
              <w:t>采取此措施后，正常运行条件下，发生穿透污染的途径被切断，不会造成对地下水的污染影响。</w:t>
            </w:r>
          </w:p>
          <w:p w14:paraId="2FF9F770">
            <w:pPr>
              <w:pStyle w:val="22"/>
              <w:bidi w:val="0"/>
              <w:rPr>
                <w:rFonts w:hint="eastAsia"/>
                <w:b/>
                <w:bCs/>
                <w:color w:val="auto"/>
              </w:rPr>
            </w:pPr>
            <w:r>
              <w:rPr>
                <w:rFonts w:hint="eastAsia"/>
                <w:b/>
                <w:bCs/>
                <w:color w:val="auto"/>
              </w:rPr>
              <w:t>3、声环境</w:t>
            </w:r>
          </w:p>
          <w:p w14:paraId="2BC0DDC8">
            <w:pPr>
              <w:pStyle w:val="22"/>
              <w:bidi w:val="0"/>
              <w:rPr>
                <w:rFonts w:hint="eastAsia"/>
                <w:color w:val="auto"/>
              </w:rPr>
            </w:pPr>
            <w:r>
              <w:rPr>
                <w:rFonts w:hint="eastAsia"/>
                <w:color w:val="auto"/>
              </w:rPr>
              <w:t>项目主要噪声源为</w:t>
            </w:r>
            <w:r>
              <w:rPr>
                <w:rFonts w:hint="eastAsia"/>
                <w:color w:val="auto"/>
                <w:lang w:val="en-US" w:eastAsia="zh-CN"/>
              </w:rPr>
              <w:t>供热机房内</w:t>
            </w:r>
            <w:r>
              <w:rPr>
                <w:rFonts w:hint="eastAsia"/>
                <w:color w:val="auto"/>
              </w:rPr>
              <w:t>各类泵体</w:t>
            </w:r>
            <w:r>
              <w:rPr>
                <w:rFonts w:hint="eastAsia"/>
                <w:color w:val="auto"/>
                <w:lang w:val="en-US" w:eastAsia="zh-CN"/>
              </w:rPr>
              <w:t>产生的噪声</w:t>
            </w:r>
            <w:r>
              <w:rPr>
                <w:rFonts w:hint="eastAsia"/>
                <w:color w:val="auto"/>
              </w:rPr>
              <w:t>，项目从声源控制出发，选用低噪声设备、设备</w:t>
            </w:r>
            <w:r>
              <w:rPr>
                <w:rFonts w:hint="eastAsia"/>
                <w:color w:val="auto"/>
                <w:lang w:val="en-US" w:eastAsia="zh-CN"/>
              </w:rPr>
              <w:t>设置</w:t>
            </w:r>
            <w:r>
              <w:rPr>
                <w:rFonts w:hint="eastAsia"/>
                <w:color w:val="auto"/>
              </w:rPr>
              <w:t>基础减振、泵体软连接、设备</w:t>
            </w:r>
            <w:r>
              <w:rPr>
                <w:rFonts w:hint="eastAsia"/>
                <w:color w:val="auto"/>
                <w:lang w:val="en-US" w:eastAsia="zh-CN"/>
              </w:rPr>
              <w:t>机房内</w:t>
            </w:r>
            <w:r>
              <w:rPr>
                <w:rFonts w:hint="eastAsia"/>
                <w:color w:val="auto"/>
              </w:rPr>
              <w:t>放置</w:t>
            </w:r>
            <w:r>
              <w:rPr>
                <w:rFonts w:hint="eastAsia"/>
                <w:color w:val="auto"/>
                <w:lang w:eastAsia="zh-CN"/>
              </w:rPr>
              <w:t>；</w:t>
            </w:r>
            <w:r>
              <w:rPr>
                <w:rFonts w:hint="eastAsia"/>
                <w:color w:val="auto"/>
                <w:lang w:val="en-US" w:eastAsia="zh-CN"/>
              </w:rPr>
              <w:t>本项目供热机房位于地下，其上方设置有绿化带，可利用植被吸收声波及距离衰减等降低对周围敏感点产生的影响；</w:t>
            </w:r>
            <w:r>
              <w:rPr>
                <w:rFonts w:hint="eastAsia"/>
                <w:color w:val="auto"/>
              </w:rPr>
              <w:t>经预测对周边居民影响</w:t>
            </w:r>
            <w:r>
              <w:rPr>
                <w:rFonts w:hint="eastAsia"/>
                <w:color w:val="auto"/>
                <w:lang w:val="en-US" w:eastAsia="zh-CN"/>
              </w:rPr>
              <w:t>较</w:t>
            </w:r>
            <w:r>
              <w:rPr>
                <w:rFonts w:hint="eastAsia"/>
                <w:color w:val="auto"/>
              </w:rPr>
              <w:t>小，噪声控制措施可行。</w:t>
            </w:r>
          </w:p>
          <w:p w14:paraId="71C6819A">
            <w:pPr>
              <w:pStyle w:val="22"/>
              <w:bidi w:val="0"/>
              <w:rPr>
                <w:rFonts w:hint="eastAsia"/>
                <w:b/>
                <w:bCs/>
                <w:color w:val="auto"/>
              </w:rPr>
            </w:pPr>
            <w:r>
              <w:rPr>
                <w:rFonts w:hint="eastAsia"/>
                <w:b/>
                <w:bCs/>
                <w:color w:val="auto"/>
              </w:rPr>
              <w:t>4、振动减缓措施</w:t>
            </w:r>
          </w:p>
          <w:p w14:paraId="5EF374E8">
            <w:pPr>
              <w:pStyle w:val="22"/>
              <w:bidi w:val="0"/>
              <w:rPr>
                <w:rFonts w:hint="eastAsia" w:eastAsia="宋体"/>
                <w:color w:val="auto"/>
                <w:lang w:eastAsia="zh-CN"/>
              </w:rPr>
            </w:pPr>
            <w:r>
              <w:rPr>
                <w:rFonts w:hint="eastAsia"/>
                <w:color w:val="auto"/>
              </w:rPr>
              <w:t>本项目</w:t>
            </w:r>
            <w:r>
              <w:rPr>
                <w:rFonts w:hint="eastAsia"/>
                <w:color w:val="auto"/>
                <w:lang w:val="en-US" w:eastAsia="zh-CN"/>
              </w:rPr>
              <w:t>尾水循环泵、回灌过滤、排气装置及回灌加压泵等放置于</w:t>
            </w:r>
            <w:r>
              <w:rPr>
                <w:rFonts w:hint="eastAsia"/>
                <w:color w:val="auto"/>
                <w:lang w:eastAsia="zh-CN"/>
              </w:rPr>
              <w:t>供热机房</w:t>
            </w:r>
            <w:r>
              <w:rPr>
                <w:rFonts w:hint="eastAsia"/>
                <w:color w:val="auto"/>
                <w:lang w:val="en-US" w:eastAsia="zh-CN"/>
              </w:rPr>
              <w:t>内</w:t>
            </w:r>
            <w:r>
              <w:rPr>
                <w:rFonts w:hint="eastAsia"/>
                <w:color w:val="auto"/>
              </w:rPr>
              <w:t>（地</w:t>
            </w:r>
            <w:r>
              <w:rPr>
                <w:rFonts w:hint="eastAsia"/>
                <w:color w:val="auto"/>
                <w:lang w:val="en-US" w:eastAsia="zh-CN"/>
              </w:rPr>
              <w:t>下</w:t>
            </w:r>
            <w:r>
              <w:rPr>
                <w:rFonts w:hint="eastAsia"/>
                <w:color w:val="auto"/>
              </w:rPr>
              <w:t>设置），设备在运行时会产生振动。本项目通过以下措施减少振动影响</w:t>
            </w:r>
            <w:r>
              <w:rPr>
                <w:rFonts w:hint="eastAsia"/>
                <w:color w:val="auto"/>
                <w:lang w:eastAsia="zh-CN"/>
              </w:rPr>
              <w:t>：</w:t>
            </w:r>
          </w:p>
          <w:p w14:paraId="65EF5C81">
            <w:pPr>
              <w:pStyle w:val="22"/>
              <w:bidi w:val="0"/>
              <w:rPr>
                <w:rFonts w:hint="eastAsia"/>
                <w:color w:val="auto"/>
              </w:rPr>
            </w:pPr>
            <w:r>
              <w:rPr>
                <w:rFonts w:hint="eastAsia"/>
                <w:color w:val="auto"/>
              </w:rPr>
              <w:t>①选用先进的低噪声低</w:t>
            </w:r>
            <w:r>
              <w:rPr>
                <w:rFonts w:hint="eastAsia"/>
                <w:color w:val="auto"/>
                <w:lang w:val="en-US" w:eastAsia="zh-CN"/>
              </w:rPr>
              <w:t>振</w:t>
            </w:r>
            <w:r>
              <w:rPr>
                <w:rFonts w:hint="eastAsia"/>
                <w:color w:val="auto"/>
              </w:rPr>
              <w:t>动设备；同时设备的机座上安装减振器或</w:t>
            </w:r>
            <w:r>
              <w:rPr>
                <w:rFonts w:hint="eastAsia"/>
                <w:color w:val="auto"/>
                <w:lang w:eastAsia="zh-CN"/>
              </w:rPr>
              <w:t>防振</w:t>
            </w:r>
            <w:r>
              <w:rPr>
                <w:rFonts w:hint="eastAsia"/>
                <w:color w:val="auto"/>
              </w:rPr>
              <w:t>材料；</w:t>
            </w:r>
          </w:p>
          <w:p w14:paraId="13C06820">
            <w:pPr>
              <w:pStyle w:val="22"/>
              <w:bidi w:val="0"/>
              <w:rPr>
                <w:rFonts w:hint="eastAsia"/>
                <w:color w:val="auto"/>
              </w:rPr>
            </w:pPr>
            <w:r>
              <w:rPr>
                <w:rFonts w:hint="eastAsia"/>
                <w:color w:val="auto"/>
              </w:rPr>
              <w:t>②管道出水口增加橡胶软连接，软连</w:t>
            </w:r>
            <w:r>
              <w:rPr>
                <w:rFonts w:hint="eastAsia"/>
                <w:color w:val="auto"/>
                <w:lang w:val="en-US" w:eastAsia="zh-CN"/>
              </w:rPr>
              <w:t>接</w:t>
            </w:r>
            <w:r>
              <w:rPr>
                <w:rFonts w:hint="eastAsia"/>
                <w:color w:val="auto"/>
              </w:rPr>
              <w:t>宜接选用隔振性能较好，长度较长且耐腐蚀的专业隔振产品；</w:t>
            </w:r>
          </w:p>
          <w:p w14:paraId="266D826E">
            <w:pPr>
              <w:pStyle w:val="22"/>
              <w:bidi w:val="0"/>
              <w:rPr>
                <w:rFonts w:hint="eastAsia"/>
                <w:color w:val="auto"/>
              </w:rPr>
            </w:pPr>
            <w:r>
              <w:rPr>
                <w:rFonts w:hint="eastAsia"/>
                <w:color w:val="auto"/>
              </w:rPr>
              <w:t>采取以上措施，不会对其他地上建筑物造成影响。</w:t>
            </w:r>
          </w:p>
          <w:p w14:paraId="31D58ADA">
            <w:pPr>
              <w:pStyle w:val="22"/>
              <w:bidi w:val="0"/>
              <w:rPr>
                <w:rFonts w:hint="eastAsia"/>
                <w:b/>
                <w:bCs/>
                <w:color w:val="auto"/>
              </w:rPr>
            </w:pPr>
            <w:r>
              <w:rPr>
                <w:rFonts w:hint="eastAsia"/>
                <w:b/>
                <w:bCs/>
                <w:color w:val="auto"/>
              </w:rPr>
              <w:t>5、固体废物</w:t>
            </w:r>
          </w:p>
          <w:p w14:paraId="2BF45D69">
            <w:pPr>
              <w:pStyle w:val="22"/>
              <w:bidi w:val="0"/>
              <w:rPr>
                <w:rFonts w:hint="eastAsia"/>
                <w:color w:val="auto"/>
              </w:rPr>
            </w:pPr>
            <w:r>
              <w:rPr>
                <w:rFonts w:hint="eastAsia"/>
                <w:color w:val="auto"/>
              </w:rPr>
              <w:t>项目回灌水处理系统废滤芯交由厂家进行回收处置</w:t>
            </w:r>
            <w:r>
              <w:rPr>
                <w:rFonts w:hint="eastAsia"/>
                <w:color w:val="auto"/>
                <w:lang w:eastAsia="zh-CN"/>
              </w:rPr>
              <w:t>；</w:t>
            </w:r>
            <w:r>
              <w:rPr>
                <w:rFonts w:hint="eastAsia"/>
                <w:color w:val="auto"/>
              </w:rPr>
              <w:t>废砂</w:t>
            </w:r>
            <w:r>
              <w:rPr>
                <w:rFonts w:hint="eastAsia"/>
                <w:color w:val="auto"/>
                <w:lang w:val="en-US" w:eastAsia="zh-CN"/>
              </w:rPr>
              <w:t>综合利用于修路；废离子交换树脂定期更换由厂家回收处理；</w:t>
            </w:r>
            <w:r>
              <w:rPr>
                <w:rFonts w:hint="eastAsia"/>
                <w:color w:val="auto"/>
              </w:rPr>
              <w:t>生活垃圾依托所在小区垃圾收集点收集后，由环卫部门定期清运。项目产生的少量固废得到了合理处置，对环境影响</w:t>
            </w:r>
            <w:r>
              <w:rPr>
                <w:rFonts w:hint="eastAsia"/>
                <w:color w:val="auto"/>
                <w:lang w:val="en-US" w:eastAsia="zh-CN"/>
              </w:rPr>
              <w:t>较小</w:t>
            </w:r>
            <w:r>
              <w:rPr>
                <w:rFonts w:hint="eastAsia"/>
                <w:color w:val="auto"/>
              </w:rPr>
              <w:t>。</w:t>
            </w:r>
          </w:p>
          <w:p w14:paraId="15CC8A5E">
            <w:pPr>
              <w:pStyle w:val="22"/>
              <w:bidi w:val="0"/>
              <w:rPr>
                <w:rFonts w:hint="eastAsia"/>
                <w:b/>
                <w:bCs/>
                <w:color w:val="auto"/>
              </w:rPr>
            </w:pPr>
            <w:r>
              <w:rPr>
                <w:rFonts w:hint="eastAsia"/>
                <w:b/>
                <w:bCs/>
                <w:color w:val="auto"/>
                <w:lang w:val="en-US" w:eastAsia="zh-CN"/>
              </w:rPr>
              <w:t>6</w:t>
            </w:r>
            <w:r>
              <w:rPr>
                <w:rFonts w:hint="eastAsia"/>
                <w:b/>
                <w:bCs/>
                <w:color w:val="auto"/>
              </w:rPr>
              <w:t>、环境监测计划</w:t>
            </w:r>
          </w:p>
          <w:p w14:paraId="31C2C42D">
            <w:pPr>
              <w:pStyle w:val="22"/>
              <w:bidi w:val="0"/>
              <w:rPr>
                <w:rFonts w:hint="eastAsia"/>
                <w:color w:val="auto"/>
              </w:rPr>
            </w:pPr>
            <w:r>
              <w:rPr>
                <w:rFonts w:hint="eastAsia"/>
                <w:color w:val="auto"/>
              </w:rPr>
              <w:t>本项目运营期应对污染源进行定期监测，企业可委托有资质的单位进行环境监测工作。环境监测应采用国家环保规定的标准、监测方法</w:t>
            </w:r>
            <w:r>
              <w:rPr>
                <w:rFonts w:hint="eastAsia"/>
                <w:color w:val="auto"/>
                <w:lang w:eastAsia="zh-CN"/>
              </w:rPr>
              <w:t>。</w:t>
            </w:r>
            <w:r>
              <w:rPr>
                <w:rFonts w:hint="eastAsia"/>
                <w:color w:val="auto"/>
              </w:rPr>
              <w:t>运营期监测计划见表5-1。</w:t>
            </w:r>
          </w:p>
          <w:p w14:paraId="206862C1">
            <w:pPr>
              <w:adjustRightInd w:val="0"/>
              <w:snapToGrid w:val="0"/>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表</w:t>
            </w:r>
            <w:r>
              <w:rPr>
                <w:rFonts w:hint="default" w:ascii="Times New Roman" w:hAnsi="Times New Roman" w:eastAsia="宋体" w:cs="Times New Roman"/>
                <w:b/>
                <w:color w:val="auto"/>
                <w:sz w:val="24"/>
                <w:szCs w:val="24"/>
                <w:lang w:val="en-US" w:eastAsia="zh-CN"/>
              </w:rPr>
              <w:t>5-1</w:t>
            </w:r>
            <w:r>
              <w:rPr>
                <w:rFonts w:hint="default" w:ascii="Times New Roman" w:hAnsi="Times New Roman" w:eastAsia="宋体" w:cs="Times New Roman"/>
                <w:b/>
                <w:color w:val="auto"/>
                <w:sz w:val="24"/>
                <w:szCs w:val="24"/>
              </w:rPr>
              <w:t xml:space="preserve">  运营期环境监测及管理计划一览表</w:t>
            </w:r>
          </w:p>
          <w:tbl>
            <w:tblPr>
              <w:tblStyle w:val="15"/>
              <w:tblW w:w="832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9"/>
              <w:gridCol w:w="1560"/>
              <w:gridCol w:w="4075"/>
              <w:gridCol w:w="1579"/>
            </w:tblGrid>
            <w:tr w14:paraId="5D49D63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9" w:type="dxa"/>
                  <w:tcBorders>
                    <w:tl2br w:val="nil"/>
                    <w:tr2bl w:val="nil"/>
                  </w:tcBorders>
                  <w:noWrap w:val="0"/>
                  <w:vAlign w:val="center"/>
                </w:tcPr>
                <w:p w14:paraId="66D679A2">
                  <w:pPr>
                    <w:jc w:val="center"/>
                    <w:textAlignment w:val="baseline"/>
                    <w:rPr>
                      <w:rFonts w:hint="default" w:ascii="Times New Roman" w:hAnsi="Times New Roman" w:eastAsia="宋体" w:cs="Times New Roman"/>
                      <w:b/>
                      <w:bCs w:val="0"/>
                      <w:color w:val="auto"/>
                      <w:spacing w:val="6"/>
                      <w:szCs w:val="21"/>
                    </w:rPr>
                  </w:pPr>
                  <w:r>
                    <w:rPr>
                      <w:rFonts w:hint="default" w:ascii="Times New Roman" w:hAnsi="Times New Roman" w:eastAsia="宋体" w:cs="Times New Roman"/>
                      <w:b/>
                      <w:bCs w:val="0"/>
                      <w:color w:val="auto"/>
                      <w:spacing w:val="6"/>
                      <w:szCs w:val="21"/>
                    </w:rPr>
                    <w:t>污染源</w:t>
                  </w:r>
                </w:p>
              </w:tc>
              <w:tc>
                <w:tcPr>
                  <w:tcW w:w="1560" w:type="dxa"/>
                  <w:tcBorders>
                    <w:tl2br w:val="nil"/>
                    <w:tr2bl w:val="nil"/>
                  </w:tcBorders>
                  <w:noWrap w:val="0"/>
                  <w:vAlign w:val="center"/>
                </w:tcPr>
                <w:p w14:paraId="425052A5">
                  <w:pPr>
                    <w:jc w:val="center"/>
                    <w:textAlignment w:val="baseline"/>
                    <w:rPr>
                      <w:rFonts w:hint="default" w:ascii="Times New Roman" w:hAnsi="Times New Roman" w:eastAsia="宋体" w:cs="Times New Roman"/>
                      <w:b/>
                      <w:bCs w:val="0"/>
                      <w:color w:val="auto"/>
                      <w:spacing w:val="6"/>
                      <w:szCs w:val="21"/>
                    </w:rPr>
                  </w:pPr>
                  <w:r>
                    <w:rPr>
                      <w:rFonts w:hint="default" w:ascii="Times New Roman" w:hAnsi="Times New Roman" w:eastAsia="宋体" w:cs="Times New Roman"/>
                      <w:b/>
                      <w:bCs w:val="0"/>
                      <w:color w:val="auto"/>
                      <w:spacing w:val="6"/>
                      <w:szCs w:val="21"/>
                    </w:rPr>
                    <w:t>监测点位</w:t>
                  </w:r>
                </w:p>
              </w:tc>
              <w:tc>
                <w:tcPr>
                  <w:tcW w:w="4075" w:type="dxa"/>
                  <w:tcBorders>
                    <w:tl2br w:val="nil"/>
                    <w:tr2bl w:val="nil"/>
                  </w:tcBorders>
                  <w:noWrap w:val="0"/>
                  <w:vAlign w:val="center"/>
                </w:tcPr>
                <w:p w14:paraId="08791063">
                  <w:pPr>
                    <w:jc w:val="center"/>
                    <w:textAlignment w:val="baseline"/>
                    <w:rPr>
                      <w:rFonts w:hint="default" w:ascii="Times New Roman" w:hAnsi="Times New Roman" w:eastAsia="宋体" w:cs="Times New Roman"/>
                      <w:b/>
                      <w:bCs w:val="0"/>
                      <w:color w:val="auto"/>
                      <w:spacing w:val="6"/>
                      <w:szCs w:val="21"/>
                      <w:lang w:eastAsia="zh-CN"/>
                    </w:rPr>
                  </w:pPr>
                  <w:r>
                    <w:rPr>
                      <w:rFonts w:hint="default" w:ascii="Times New Roman" w:hAnsi="Times New Roman" w:eastAsia="宋体" w:cs="Times New Roman"/>
                      <w:b/>
                      <w:bCs w:val="0"/>
                      <w:color w:val="auto"/>
                      <w:spacing w:val="6"/>
                      <w:szCs w:val="21"/>
                    </w:rPr>
                    <w:t>监测</w:t>
                  </w:r>
                  <w:r>
                    <w:rPr>
                      <w:rFonts w:hint="default" w:ascii="Times New Roman" w:hAnsi="Times New Roman" w:eastAsia="宋体" w:cs="Times New Roman"/>
                      <w:b/>
                      <w:bCs w:val="0"/>
                      <w:color w:val="auto"/>
                      <w:spacing w:val="6"/>
                      <w:szCs w:val="21"/>
                      <w:lang w:eastAsia="zh-CN"/>
                    </w:rPr>
                    <w:t>因子</w:t>
                  </w:r>
                </w:p>
              </w:tc>
              <w:tc>
                <w:tcPr>
                  <w:tcW w:w="1579" w:type="dxa"/>
                  <w:tcBorders>
                    <w:tl2br w:val="nil"/>
                    <w:tr2bl w:val="nil"/>
                  </w:tcBorders>
                  <w:noWrap w:val="0"/>
                  <w:vAlign w:val="center"/>
                </w:tcPr>
                <w:p w14:paraId="47B4EB12">
                  <w:pPr>
                    <w:jc w:val="center"/>
                    <w:textAlignment w:val="baseline"/>
                    <w:rPr>
                      <w:rFonts w:hint="default" w:ascii="Times New Roman" w:hAnsi="Times New Roman" w:eastAsia="宋体" w:cs="Times New Roman"/>
                      <w:b/>
                      <w:bCs w:val="0"/>
                      <w:color w:val="auto"/>
                      <w:spacing w:val="6"/>
                      <w:szCs w:val="21"/>
                    </w:rPr>
                  </w:pPr>
                  <w:r>
                    <w:rPr>
                      <w:rFonts w:hint="default" w:ascii="Times New Roman" w:hAnsi="Times New Roman" w:eastAsia="宋体" w:cs="Times New Roman"/>
                      <w:b/>
                      <w:bCs w:val="0"/>
                      <w:color w:val="auto"/>
                      <w:spacing w:val="6"/>
                      <w:szCs w:val="21"/>
                    </w:rPr>
                    <w:t>监测计划</w:t>
                  </w:r>
                </w:p>
              </w:tc>
            </w:tr>
            <w:tr w14:paraId="646FBF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9" w:type="dxa"/>
                  <w:tcBorders>
                    <w:tl2br w:val="nil"/>
                    <w:tr2bl w:val="nil"/>
                  </w:tcBorders>
                  <w:noWrap w:val="0"/>
                  <w:vAlign w:val="center"/>
                </w:tcPr>
                <w:p w14:paraId="034422B1">
                  <w:pPr>
                    <w:jc w:val="center"/>
                    <w:textAlignment w:val="baseline"/>
                    <w:rPr>
                      <w:rFonts w:hint="default" w:ascii="Times New Roman" w:hAnsi="Times New Roman" w:eastAsia="宋体" w:cs="Times New Roman"/>
                      <w:b w:val="0"/>
                      <w:bCs/>
                      <w:color w:val="auto"/>
                      <w:spacing w:val="6"/>
                      <w:szCs w:val="21"/>
                    </w:rPr>
                  </w:pPr>
                  <w:r>
                    <w:rPr>
                      <w:rFonts w:hint="default" w:ascii="Times New Roman" w:hAnsi="Times New Roman" w:eastAsia="宋体" w:cs="Times New Roman"/>
                      <w:b w:val="0"/>
                      <w:bCs/>
                      <w:color w:val="auto"/>
                      <w:spacing w:val="6"/>
                      <w:szCs w:val="21"/>
                    </w:rPr>
                    <w:t>噪声</w:t>
                  </w:r>
                </w:p>
              </w:tc>
              <w:tc>
                <w:tcPr>
                  <w:tcW w:w="1560" w:type="dxa"/>
                  <w:tcBorders>
                    <w:tl2br w:val="nil"/>
                    <w:tr2bl w:val="nil"/>
                  </w:tcBorders>
                  <w:noWrap w:val="0"/>
                  <w:vAlign w:val="center"/>
                </w:tcPr>
                <w:p w14:paraId="0C31D928">
                  <w:pPr>
                    <w:jc w:val="center"/>
                    <w:textAlignment w:val="baseline"/>
                    <w:rPr>
                      <w:rFonts w:hint="default" w:ascii="Times New Roman" w:hAnsi="Times New Roman" w:eastAsia="宋体" w:cs="Times New Roman"/>
                      <w:b w:val="0"/>
                      <w:bCs/>
                      <w:color w:val="auto"/>
                      <w:spacing w:val="6"/>
                      <w:szCs w:val="21"/>
                      <w:lang w:val="en-US" w:eastAsia="zh-CN"/>
                    </w:rPr>
                  </w:pPr>
                  <w:r>
                    <w:rPr>
                      <w:rFonts w:hint="eastAsia" w:ascii="Times New Roman" w:hAnsi="Times New Roman" w:eastAsia="宋体" w:cs="Times New Roman"/>
                      <w:b w:val="0"/>
                      <w:bCs/>
                      <w:color w:val="auto"/>
                      <w:spacing w:val="6"/>
                      <w:szCs w:val="21"/>
                      <w:lang w:val="en-US" w:eastAsia="zh-CN"/>
                    </w:rPr>
                    <w:t>供热机房、回灌井口</w:t>
                  </w:r>
                </w:p>
              </w:tc>
              <w:tc>
                <w:tcPr>
                  <w:tcW w:w="4075" w:type="dxa"/>
                  <w:tcBorders>
                    <w:tl2br w:val="nil"/>
                    <w:tr2bl w:val="nil"/>
                  </w:tcBorders>
                  <w:noWrap w:val="0"/>
                  <w:vAlign w:val="center"/>
                </w:tcPr>
                <w:p w14:paraId="4B6E6CE9">
                  <w:pPr>
                    <w:jc w:val="center"/>
                    <w:textAlignment w:val="baseline"/>
                    <w:rPr>
                      <w:rFonts w:hint="default" w:ascii="Times New Roman" w:hAnsi="Times New Roman" w:eastAsia="宋体" w:cs="Times New Roman"/>
                      <w:b w:val="0"/>
                      <w:bCs/>
                      <w:color w:val="auto"/>
                      <w:spacing w:val="6"/>
                      <w:szCs w:val="21"/>
                    </w:rPr>
                  </w:pPr>
                  <w:r>
                    <w:rPr>
                      <w:rFonts w:hint="default" w:ascii="Times New Roman" w:hAnsi="Times New Roman" w:eastAsia="宋体" w:cs="Times New Roman"/>
                      <w:b w:val="0"/>
                      <w:bCs/>
                      <w:color w:val="auto"/>
                      <w:spacing w:val="6"/>
                      <w:szCs w:val="21"/>
                    </w:rPr>
                    <w:t>昼、夜间等效声级</w:t>
                  </w:r>
                </w:p>
              </w:tc>
              <w:tc>
                <w:tcPr>
                  <w:tcW w:w="1579" w:type="dxa"/>
                  <w:vMerge w:val="restart"/>
                  <w:tcBorders>
                    <w:tl2br w:val="nil"/>
                    <w:tr2bl w:val="nil"/>
                  </w:tcBorders>
                  <w:noWrap w:val="0"/>
                  <w:vAlign w:val="center"/>
                </w:tcPr>
                <w:p w14:paraId="5605A3CF">
                  <w:pPr>
                    <w:jc w:val="center"/>
                    <w:textAlignment w:val="baseline"/>
                    <w:rPr>
                      <w:rFonts w:hint="default" w:ascii="Times New Roman" w:hAnsi="Times New Roman" w:eastAsia="宋体" w:cs="Times New Roman"/>
                      <w:b w:val="0"/>
                      <w:bCs/>
                      <w:color w:val="auto"/>
                      <w:spacing w:val="6"/>
                      <w:szCs w:val="21"/>
                      <w:lang w:val="en-US" w:eastAsia="zh-CN"/>
                    </w:rPr>
                  </w:pPr>
                  <w:r>
                    <w:rPr>
                      <w:rFonts w:hint="default" w:ascii="Times New Roman" w:hAnsi="Times New Roman" w:eastAsia="宋体" w:cs="Times New Roman"/>
                      <w:b w:val="0"/>
                      <w:bCs/>
                      <w:color w:val="auto"/>
                      <w:spacing w:val="6"/>
                      <w:szCs w:val="21"/>
                      <w:lang w:eastAsia="zh-CN"/>
                    </w:rPr>
                    <w:t>每个采暖季</w:t>
                  </w:r>
                  <w:r>
                    <w:rPr>
                      <w:rFonts w:hint="default" w:ascii="Times New Roman" w:hAnsi="Times New Roman" w:eastAsia="宋体" w:cs="Times New Roman"/>
                      <w:b w:val="0"/>
                      <w:bCs/>
                      <w:color w:val="auto"/>
                      <w:spacing w:val="6"/>
                      <w:szCs w:val="21"/>
                      <w:lang w:val="en-US" w:eastAsia="zh-CN"/>
                    </w:rPr>
                    <w:t>1次</w:t>
                  </w:r>
                </w:p>
              </w:tc>
            </w:tr>
            <w:tr w14:paraId="32C8513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09" w:type="dxa"/>
                  <w:tcBorders>
                    <w:tl2br w:val="nil"/>
                    <w:tr2bl w:val="nil"/>
                  </w:tcBorders>
                  <w:noWrap w:val="0"/>
                  <w:vAlign w:val="center"/>
                </w:tcPr>
                <w:p w14:paraId="2E286D6D">
                  <w:pPr>
                    <w:jc w:val="center"/>
                    <w:textAlignment w:val="baseline"/>
                    <w:rPr>
                      <w:rFonts w:hint="default" w:ascii="Times New Roman" w:hAnsi="Times New Roman" w:eastAsia="宋体" w:cs="Times New Roman"/>
                      <w:b w:val="0"/>
                      <w:bCs/>
                      <w:color w:val="auto"/>
                      <w:spacing w:val="6"/>
                      <w:szCs w:val="21"/>
                    </w:rPr>
                  </w:pPr>
                  <w:r>
                    <w:rPr>
                      <w:rFonts w:hint="default" w:ascii="Times New Roman" w:hAnsi="Times New Roman" w:eastAsia="宋体" w:cs="Times New Roman"/>
                      <w:b w:val="0"/>
                      <w:bCs/>
                      <w:color w:val="auto"/>
                      <w:spacing w:val="6"/>
                      <w:szCs w:val="21"/>
                      <w:lang w:eastAsia="zh-CN"/>
                    </w:rPr>
                    <w:t>换热后</w:t>
                  </w:r>
                  <w:r>
                    <w:rPr>
                      <w:rFonts w:hint="default" w:ascii="Times New Roman" w:hAnsi="Times New Roman" w:eastAsia="宋体" w:cs="Times New Roman"/>
                      <w:b w:val="0"/>
                      <w:bCs/>
                      <w:color w:val="auto"/>
                      <w:spacing w:val="6"/>
                      <w:szCs w:val="21"/>
                    </w:rPr>
                    <w:t>地热尾水</w:t>
                  </w:r>
                </w:p>
              </w:tc>
              <w:tc>
                <w:tcPr>
                  <w:tcW w:w="1560" w:type="dxa"/>
                  <w:tcBorders>
                    <w:tl2br w:val="nil"/>
                    <w:tr2bl w:val="nil"/>
                  </w:tcBorders>
                  <w:noWrap w:val="0"/>
                  <w:vAlign w:val="center"/>
                </w:tcPr>
                <w:p w14:paraId="5BD0E164">
                  <w:pPr>
                    <w:jc w:val="center"/>
                    <w:textAlignment w:val="baseline"/>
                    <w:rPr>
                      <w:rFonts w:hint="default" w:ascii="Times New Roman" w:hAnsi="Times New Roman" w:eastAsia="宋体" w:cs="Times New Roman"/>
                      <w:b w:val="0"/>
                      <w:bCs/>
                      <w:color w:val="auto"/>
                      <w:spacing w:val="6"/>
                      <w:szCs w:val="21"/>
                    </w:rPr>
                  </w:pPr>
                  <w:r>
                    <w:rPr>
                      <w:rFonts w:hint="eastAsia" w:ascii="Times New Roman" w:hAnsi="Times New Roman" w:eastAsia="宋体" w:cs="Times New Roman"/>
                      <w:b w:val="0"/>
                      <w:bCs/>
                      <w:color w:val="auto"/>
                      <w:spacing w:val="6"/>
                      <w:szCs w:val="21"/>
                      <w:lang w:val="en-US" w:eastAsia="zh-CN"/>
                    </w:rPr>
                    <w:t>供热机房</w:t>
                  </w:r>
                  <w:r>
                    <w:rPr>
                      <w:rFonts w:hint="default" w:ascii="Times New Roman" w:hAnsi="Times New Roman" w:eastAsia="宋体" w:cs="Times New Roman"/>
                      <w:b w:val="0"/>
                      <w:bCs/>
                      <w:color w:val="auto"/>
                      <w:spacing w:val="6"/>
                      <w:szCs w:val="21"/>
                    </w:rPr>
                    <w:t>地热尾水出口</w:t>
                  </w:r>
                </w:p>
              </w:tc>
              <w:tc>
                <w:tcPr>
                  <w:tcW w:w="4075" w:type="dxa"/>
                  <w:tcBorders>
                    <w:tl2br w:val="nil"/>
                    <w:tr2bl w:val="nil"/>
                  </w:tcBorders>
                  <w:noWrap w:val="0"/>
                  <w:vAlign w:val="center"/>
                </w:tcPr>
                <w:p w14:paraId="2828FEA3">
                  <w:pPr>
                    <w:jc w:val="center"/>
                    <w:textAlignment w:val="baseline"/>
                    <w:rPr>
                      <w:rFonts w:hint="default" w:ascii="Times New Roman" w:hAnsi="Times New Roman" w:eastAsia="宋体" w:cs="Times New Roman"/>
                      <w:b w:val="0"/>
                      <w:bCs/>
                      <w:color w:val="auto"/>
                      <w:spacing w:val="6"/>
                      <w:szCs w:val="21"/>
                      <w:lang w:eastAsia="zh-CN"/>
                    </w:rPr>
                  </w:pPr>
                  <w:r>
                    <w:rPr>
                      <w:rFonts w:hint="default" w:ascii="Times New Roman" w:hAnsi="Times New Roman" w:eastAsia="宋体" w:cs="Times New Roman"/>
                      <w:b w:val="0"/>
                      <w:bCs/>
                      <w:color w:val="auto"/>
                      <w:sz w:val="21"/>
                      <w:szCs w:val="21"/>
                    </w:rPr>
                    <w:t>温度、pH值、COD、硫化物、总砷、</w:t>
                  </w:r>
                  <w:r>
                    <w:rPr>
                      <w:rFonts w:hint="default" w:ascii="Times New Roman" w:hAnsi="Times New Roman" w:eastAsia="宋体" w:cs="Times New Roman"/>
                      <w:b w:val="0"/>
                      <w:bCs/>
                      <w:color w:val="auto"/>
                      <w:sz w:val="21"/>
                      <w:szCs w:val="21"/>
                      <w:lang w:eastAsia="zh-CN"/>
                    </w:rPr>
                    <w:t>总汞、</w:t>
                  </w:r>
                  <w:r>
                    <w:rPr>
                      <w:rFonts w:hint="default" w:ascii="Times New Roman" w:hAnsi="Times New Roman" w:eastAsia="宋体" w:cs="Times New Roman"/>
                      <w:b w:val="0"/>
                      <w:bCs/>
                      <w:color w:val="auto"/>
                      <w:sz w:val="21"/>
                      <w:szCs w:val="21"/>
                    </w:rPr>
                    <w:t>铅、六价铬、挥发酚</w:t>
                  </w:r>
                  <w:r>
                    <w:rPr>
                      <w:rFonts w:hint="default" w:ascii="Times New Roman" w:hAnsi="Times New Roman" w:eastAsia="宋体" w:cs="Times New Roman"/>
                      <w:b w:val="0"/>
                      <w:bCs/>
                      <w:color w:val="auto"/>
                      <w:sz w:val="21"/>
                      <w:szCs w:val="21"/>
                      <w:lang w:eastAsia="zh-CN"/>
                    </w:rPr>
                    <w:t>、悬浮物</w:t>
                  </w:r>
                  <w:r>
                    <w:rPr>
                      <w:rFonts w:hint="default" w:ascii="Times New Roman" w:hAnsi="Times New Roman" w:eastAsia="宋体" w:cs="Times New Roman"/>
                      <w:b w:val="0"/>
                      <w:bCs/>
                      <w:color w:val="auto"/>
                      <w:sz w:val="21"/>
                      <w:szCs w:val="21"/>
                    </w:rPr>
                    <w:t>等</w:t>
                  </w:r>
                </w:p>
              </w:tc>
              <w:tc>
                <w:tcPr>
                  <w:tcW w:w="1579" w:type="dxa"/>
                  <w:vMerge w:val="continue"/>
                  <w:tcBorders>
                    <w:tl2br w:val="nil"/>
                    <w:tr2bl w:val="nil"/>
                  </w:tcBorders>
                  <w:noWrap w:val="0"/>
                  <w:vAlign w:val="center"/>
                </w:tcPr>
                <w:p w14:paraId="62C48F31">
                  <w:pPr>
                    <w:jc w:val="center"/>
                    <w:textAlignment w:val="baseline"/>
                    <w:rPr>
                      <w:rFonts w:hint="default" w:ascii="Times New Roman" w:hAnsi="Times New Roman" w:eastAsia="宋体" w:cs="Times New Roman"/>
                      <w:b w:val="0"/>
                      <w:bCs/>
                      <w:color w:val="auto"/>
                      <w:spacing w:val="6"/>
                      <w:szCs w:val="21"/>
                    </w:rPr>
                  </w:pPr>
                </w:p>
              </w:tc>
            </w:tr>
          </w:tbl>
          <w:p w14:paraId="27E75E2C">
            <w:pPr>
              <w:pStyle w:val="2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color w:val="auto"/>
              </w:rPr>
            </w:pPr>
          </w:p>
          <w:p w14:paraId="31D90A9B">
            <w:pPr>
              <w:adjustRightInd w:val="0"/>
              <w:snapToGrid w:val="0"/>
              <w:rPr>
                <w:rFonts w:hint="eastAsia" w:ascii="宋体" w:hAnsi="宋体" w:eastAsia="宋体" w:cs="宋体"/>
                <w:bCs/>
                <w:color w:val="auto"/>
                <w:spacing w:val="10"/>
                <w:szCs w:val="21"/>
                <w:lang w:val="en-US" w:eastAsia="zh-CN"/>
              </w:rPr>
            </w:pPr>
          </w:p>
        </w:tc>
      </w:tr>
      <w:tr w14:paraId="08368C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02" w:hRule="atLeast"/>
          <w:jc w:val="center"/>
        </w:trPr>
        <w:tc>
          <w:tcPr>
            <w:tcW w:w="753" w:type="dxa"/>
            <w:noWrap w:val="0"/>
            <w:vAlign w:val="center"/>
          </w:tcPr>
          <w:p w14:paraId="390E799E">
            <w:pPr>
              <w:adjustRightInd w:val="0"/>
              <w:snapToGrid w:val="0"/>
              <w:jc w:val="center"/>
              <w:rPr>
                <w:rFonts w:ascii="宋体" w:hAnsi="宋体" w:cs="宋体"/>
                <w:bCs/>
                <w:color w:val="auto"/>
                <w:spacing w:val="10"/>
                <w:sz w:val="24"/>
                <w:szCs w:val="24"/>
              </w:rPr>
            </w:pPr>
            <w:r>
              <w:rPr>
                <w:rFonts w:hint="eastAsia" w:ascii="宋体" w:hAnsi="宋体"/>
                <w:bCs/>
                <w:color w:val="auto"/>
                <w:sz w:val="24"/>
                <w:szCs w:val="24"/>
              </w:rPr>
              <w:t>其他</w:t>
            </w:r>
          </w:p>
        </w:tc>
        <w:tc>
          <w:tcPr>
            <w:tcW w:w="8457" w:type="dxa"/>
            <w:noWrap w:val="0"/>
            <w:vAlign w:val="top"/>
          </w:tcPr>
          <w:p w14:paraId="35D487F3">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b/>
                <w:bCs/>
                <w:color w:val="auto"/>
              </w:rPr>
            </w:pPr>
            <w:r>
              <w:rPr>
                <w:rFonts w:hint="eastAsia"/>
                <w:b/>
                <w:bCs/>
                <w:color w:val="auto"/>
              </w:rPr>
              <w:t>地热尾水的事故性外排</w:t>
            </w:r>
          </w:p>
          <w:p w14:paraId="265B5C62">
            <w:pPr>
              <w:pStyle w:val="22"/>
              <w:bidi w:val="0"/>
              <w:rPr>
                <w:rFonts w:hint="eastAsia"/>
                <w:color w:val="auto"/>
              </w:rPr>
            </w:pPr>
            <w:r>
              <w:rPr>
                <w:rFonts w:hint="eastAsia"/>
                <w:color w:val="auto"/>
              </w:rPr>
              <w:t>地热尾水的事故性外排主要是由管道破裂阻塞或回灌异常造成的，拟采取以下防范措施：</w:t>
            </w:r>
          </w:p>
          <w:p w14:paraId="29717075">
            <w:pPr>
              <w:pStyle w:val="22"/>
              <w:bidi w:val="0"/>
              <w:rPr>
                <w:rFonts w:hint="eastAsia"/>
                <w:color w:val="auto"/>
              </w:rPr>
            </w:pPr>
            <w:r>
              <w:rPr>
                <w:rFonts w:hint="eastAsia"/>
                <w:color w:val="auto"/>
                <w:lang w:val="en-US" w:eastAsia="zh-CN"/>
              </w:rPr>
              <w:t>1、</w:t>
            </w:r>
            <w:r>
              <w:rPr>
                <w:rFonts w:hint="eastAsia"/>
                <w:color w:val="auto"/>
              </w:rPr>
              <w:t>对生产井、回灌井定期检查，杜绝跑冒滴漏的发生。</w:t>
            </w:r>
          </w:p>
          <w:p w14:paraId="34B1BD12">
            <w:pPr>
              <w:pStyle w:val="22"/>
              <w:bidi w:val="0"/>
              <w:rPr>
                <w:rFonts w:hint="eastAsia"/>
                <w:color w:val="auto"/>
              </w:rPr>
            </w:pPr>
            <w:r>
              <w:rPr>
                <w:rFonts w:hint="eastAsia"/>
                <w:color w:val="auto"/>
              </w:rPr>
              <w:t>2</w:t>
            </w:r>
            <w:r>
              <w:rPr>
                <w:rFonts w:hint="eastAsia"/>
                <w:color w:val="auto"/>
                <w:lang w:eastAsia="zh-CN"/>
              </w:rPr>
              <w:t>、</w:t>
            </w:r>
            <w:r>
              <w:rPr>
                <w:rFonts w:hint="eastAsia"/>
                <w:color w:val="auto"/>
              </w:rPr>
              <w:t>回灌井回灌过程中，必须对井口压力进行有效的监督，一旦出现回灌异常，应及时查明原因，采取有效措施，防止发生</w:t>
            </w:r>
            <w:r>
              <w:rPr>
                <w:rFonts w:hint="eastAsia"/>
                <w:color w:val="auto"/>
                <w:lang w:eastAsia="zh-CN"/>
              </w:rPr>
              <w:t>“</w:t>
            </w:r>
            <w:r>
              <w:rPr>
                <w:rFonts w:hint="eastAsia"/>
                <w:color w:val="auto"/>
              </w:rPr>
              <w:t>串层</w:t>
            </w:r>
            <w:r>
              <w:rPr>
                <w:rFonts w:hint="eastAsia"/>
                <w:color w:val="auto"/>
                <w:lang w:eastAsia="zh-CN"/>
              </w:rPr>
              <w:t>“</w:t>
            </w:r>
            <w:r>
              <w:rPr>
                <w:rFonts w:hint="eastAsia"/>
                <w:color w:val="auto"/>
              </w:rPr>
              <w:t>事故。</w:t>
            </w:r>
          </w:p>
          <w:p w14:paraId="5B2F3D52">
            <w:pPr>
              <w:pStyle w:val="22"/>
              <w:bidi w:val="0"/>
              <w:rPr>
                <w:rFonts w:hint="eastAsia"/>
                <w:color w:val="auto"/>
              </w:rPr>
            </w:pPr>
            <w:r>
              <w:rPr>
                <w:rFonts w:hint="eastAsia"/>
                <w:color w:val="auto"/>
              </w:rPr>
              <w:t>3</w:t>
            </w:r>
            <w:r>
              <w:rPr>
                <w:rFonts w:hint="eastAsia"/>
                <w:color w:val="auto"/>
                <w:lang w:eastAsia="zh-CN"/>
              </w:rPr>
              <w:t>、</w:t>
            </w:r>
            <w:r>
              <w:rPr>
                <w:rFonts w:hint="eastAsia"/>
                <w:color w:val="auto"/>
              </w:rPr>
              <w:t>若出现异常应及时关闭，在不具备关闭条件的情况下，水质满足《污水综合排放标准》（GB8978-1996）三级标准及《污水排入城镇下水道水质标准》（GB/T31962-2015）中深度处理的排放标准要求后可排入市政管网，由市政管网引至西安净水处理有限责任公司第六再生水厂；</w:t>
            </w:r>
          </w:p>
          <w:p w14:paraId="7F38BD34">
            <w:pPr>
              <w:pStyle w:val="22"/>
              <w:bidi w:val="0"/>
              <w:rPr>
                <w:rFonts w:hint="eastAsia"/>
                <w:color w:val="auto"/>
              </w:rPr>
            </w:pPr>
            <w:r>
              <w:rPr>
                <w:rFonts w:hint="eastAsia"/>
                <w:color w:val="auto"/>
              </w:rPr>
              <w:t>4</w:t>
            </w:r>
            <w:r>
              <w:rPr>
                <w:rFonts w:hint="eastAsia"/>
                <w:color w:val="auto"/>
                <w:lang w:eastAsia="zh-CN"/>
              </w:rPr>
              <w:t>、</w:t>
            </w:r>
            <w:r>
              <w:rPr>
                <w:rFonts w:hint="eastAsia"/>
                <w:color w:val="auto"/>
              </w:rPr>
              <w:t>对生产井、回灌井接口段设置紧急截断阀，如发生事故，及时关闭截断阀，并通报用户管道需紧急抢险情况。</w:t>
            </w:r>
          </w:p>
          <w:p w14:paraId="08064FF1">
            <w:pPr>
              <w:pStyle w:val="22"/>
              <w:bidi w:val="0"/>
              <w:rPr>
                <w:rFonts w:ascii="宋体" w:hAnsi="宋体" w:cs="宋体"/>
                <w:bCs/>
                <w:color w:val="auto"/>
                <w:spacing w:val="10"/>
                <w:szCs w:val="21"/>
              </w:rPr>
            </w:pPr>
            <w:r>
              <w:rPr>
                <w:rFonts w:hint="eastAsia"/>
                <w:color w:val="auto"/>
              </w:rPr>
              <w:t>企业加强对地热井、管线等的巡检，尽量避免尾水事故性外排。</w:t>
            </w:r>
          </w:p>
        </w:tc>
      </w:tr>
      <w:tr w14:paraId="66C639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1" w:hRule="atLeast"/>
          <w:jc w:val="center"/>
        </w:trPr>
        <w:tc>
          <w:tcPr>
            <w:tcW w:w="753" w:type="dxa"/>
            <w:noWrap w:val="0"/>
            <w:vAlign w:val="center"/>
          </w:tcPr>
          <w:p w14:paraId="68401357">
            <w:pPr>
              <w:adjustRightInd w:val="0"/>
              <w:snapToGrid w:val="0"/>
              <w:jc w:val="center"/>
              <w:rPr>
                <w:rFonts w:ascii="宋体" w:hAnsi="宋体" w:cs="宋体"/>
                <w:bCs/>
                <w:color w:val="auto"/>
                <w:spacing w:val="10"/>
                <w:sz w:val="24"/>
                <w:szCs w:val="24"/>
              </w:rPr>
            </w:pPr>
            <w:r>
              <w:rPr>
                <w:rFonts w:hint="eastAsia" w:ascii="宋体" w:hAnsi="宋体"/>
                <w:bCs/>
                <w:color w:val="auto"/>
                <w:sz w:val="24"/>
                <w:szCs w:val="24"/>
              </w:rPr>
              <w:t>环保投资</w:t>
            </w:r>
          </w:p>
        </w:tc>
        <w:tc>
          <w:tcPr>
            <w:tcW w:w="8457" w:type="dxa"/>
            <w:noWrap w:val="0"/>
            <w:vAlign w:val="top"/>
          </w:tcPr>
          <w:p w14:paraId="206274AC">
            <w:pPr>
              <w:pStyle w:val="22"/>
              <w:keepNext w:val="0"/>
              <w:keepLines w:val="0"/>
              <w:pageBreakBefore w:val="0"/>
              <w:widowControl w:val="0"/>
              <w:kinsoku/>
              <w:wordWrap/>
              <w:overflowPunct/>
              <w:topLinePunct w:val="0"/>
              <w:autoSpaceDE/>
              <w:autoSpaceDN/>
              <w:bidi w:val="0"/>
              <w:adjustRightInd/>
              <w:snapToGrid/>
              <w:spacing w:before="157" w:beforeLines="50"/>
              <w:textAlignment w:val="auto"/>
              <w:rPr>
                <w:rFonts w:hint="default"/>
                <w:color w:val="auto"/>
                <w:lang w:val="zh-CN" w:eastAsia="zh-CN"/>
              </w:rPr>
            </w:pPr>
            <w:r>
              <w:rPr>
                <w:rFonts w:hint="default"/>
                <w:color w:val="auto"/>
                <w:lang w:val="zh-CN" w:eastAsia="zh-CN"/>
              </w:rPr>
              <w:t>项目总投资</w:t>
            </w:r>
            <w:r>
              <w:rPr>
                <w:rFonts w:hint="default"/>
                <w:color w:val="auto"/>
                <w:lang w:val="en-US" w:eastAsia="zh-CN"/>
              </w:rPr>
              <w:t>1</w:t>
            </w:r>
            <w:r>
              <w:rPr>
                <w:rFonts w:hint="eastAsia"/>
                <w:color w:val="auto"/>
                <w:lang w:val="en-US" w:eastAsia="zh-CN"/>
              </w:rPr>
              <w:t>06.4</w:t>
            </w:r>
            <w:r>
              <w:rPr>
                <w:rFonts w:hint="default"/>
                <w:color w:val="auto"/>
                <w:lang w:val="zh-CN" w:eastAsia="zh-CN"/>
              </w:rPr>
              <w:t>万元，其中环保投资</w:t>
            </w:r>
            <w:r>
              <w:rPr>
                <w:rFonts w:hint="eastAsia"/>
                <w:color w:val="auto"/>
                <w:lang w:val="en-US" w:eastAsia="zh-CN"/>
              </w:rPr>
              <w:t>26</w:t>
            </w:r>
            <w:r>
              <w:rPr>
                <w:rFonts w:hint="default"/>
                <w:color w:val="auto"/>
                <w:lang w:val="zh-CN" w:eastAsia="zh-CN"/>
              </w:rPr>
              <w:t>万元，占总投资额的</w:t>
            </w:r>
            <w:r>
              <w:rPr>
                <w:rFonts w:hint="eastAsia"/>
                <w:color w:val="auto"/>
                <w:lang w:val="en-US" w:eastAsia="zh-CN"/>
              </w:rPr>
              <w:t>24.4</w:t>
            </w:r>
            <w:r>
              <w:rPr>
                <w:rFonts w:hint="default"/>
                <w:color w:val="auto"/>
                <w:lang w:val="zh-CN" w:eastAsia="zh-CN"/>
              </w:rPr>
              <w:t>%。</w:t>
            </w:r>
          </w:p>
          <w:p w14:paraId="78BC13D2">
            <w:pPr>
              <w:bidi w:val="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表5-2</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cs="Times New Roman"/>
                <w:b/>
                <w:bCs/>
                <w:color w:val="auto"/>
                <w:sz w:val="24"/>
                <w:szCs w:val="24"/>
              </w:rPr>
              <w:t>本项目环境保护投资估算一览表</w:t>
            </w:r>
          </w:p>
          <w:tbl>
            <w:tblPr>
              <w:tblStyle w:val="16"/>
              <w:tblW w:w="832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0"/>
              <w:gridCol w:w="750"/>
              <w:gridCol w:w="1569"/>
              <w:gridCol w:w="4404"/>
              <w:gridCol w:w="1120"/>
            </w:tblGrid>
            <w:tr w14:paraId="001355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99" w:type="dxa"/>
                  <w:gridSpan w:val="3"/>
                  <w:tcBorders>
                    <w:tl2br w:val="nil"/>
                    <w:tr2bl w:val="nil"/>
                  </w:tcBorders>
                  <w:noWrap w:val="0"/>
                  <w:vAlign w:val="center"/>
                </w:tcPr>
                <w:p w14:paraId="644FE128">
                  <w:pPr>
                    <w:bidi w:val="0"/>
                    <w:jc w:val="center"/>
                    <w:rPr>
                      <w:rFonts w:hint="default" w:ascii="Times New Roman" w:hAnsi="Times New Roman" w:cs="Times New Roman"/>
                      <w:b/>
                      <w:bCs/>
                      <w:color w:val="auto"/>
                      <w:lang w:val="zh-CN" w:eastAsia="zh-CN"/>
                    </w:rPr>
                  </w:pPr>
                  <w:r>
                    <w:rPr>
                      <w:rFonts w:hint="default" w:ascii="Times New Roman" w:hAnsi="Times New Roman" w:cs="Times New Roman"/>
                      <w:b/>
                      <w:bCs/>
                      <w:color w:val="auto"/>
                    </w:rPr>
                    <w:t>治理工程</w:t>
                  </w:r>
                </w:p>
              </w:tc>
              <w:tc>
                <w:tcPr>
                  <w:tcW w:w="4404" w:type="dxa"/>
                  <w:tcBorders>
                    <w:tl2br w:val="nil"/>
                    <w:tr2bl w:val="nil"/>
                  </w:tcBorders>
                  <w:noWrap w:val="0"/>
                  <w:vAlign w:val="center"/>
                </w:tcPr>
                <w:p w14:paraId="1CB9CA62">
                  <w:pPr>
                    <w:bidi w:val="0"/>
                    <w:jc w:val="center"/>
                    <w:rPr>
                      <w:rFonts w:hint="default" w:ascii="Times New Roman" w:hAnsi="Times New Roman" w:cs="Times New Roman"/>
                      <w:b/>
                      <w:bCs/>
                      <w:color w:val="auto"/>
                      <w:lang w:val="zh-CN" w:eastAsia="zh-CN"/>
                    </w:rPr>
                  </w:pPr>
                  <w:r>
                    <w:rPr>
                      <w:rFonts w:hint="default" w:ascii="Times New Roman" w:hAnsi="Times New Roman" w:cs="Times New Roman"/>
                      <w:b/>
                      <w:bCs/>
                      <w:color w:val="auto"/>
                    </w:rPr>
                    <w:t>环保设备</w:t>
                  </w:r>
                </w:p>
              </w:tc>
              <w:tc>
                <w:tcPr>
                  <w:tcW w:w="1120" w:type="dxa"/>
                  <w:tcBorders>
                    <w:tl2br w:val="nil"/>
                    <w:tr2bl w:val="nil"/>
                  </w:tcBorders>
                  <w:noWrap w:val="0"/>
                  <w:vAlign w:val="center"/>
                </w:tcPr>
                <w:p w14:paraId="44606B3F">
                  <w:pPr>
                    <w:bidi w:val="0"/>
                    <w:jc w:val="center"/>
                    <w:rPr>
                      <w:rFonts w:hint="default" w:ascii="Times New Roman" w:hAnsi="Times New Roman" w:cs="Times New Roman"/>
                      <w:b/>
                      <w:bCs/>
                      <w:color w:val="auto"/>
                      <w:lang w:val="zh-CN" w:eastAsia="zh-CN"/>
                    </w:rPr>
                  </w:pPr>
                  <w:r>
                    <w:rPr>
                      <w:rFonts w:hint="default" w:ascii="Times New Roman" w:hAnsi="Times New Roman" w:cs="Times New Roman"/>
                      <w:b/>
                      <w:bCs/>
                      <w:color w:val="auto"/>
                    </w:rPr>
                    <w:t>环保投资</w:t>
                  </w:r>
                </w:p>
              </w:tc>
            </w:tr>
            <w:tr w14:paraId="26C118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80" w:type="dxa"/>
                  <w:vMerge w:val="restart"/>
                  <w:tcBorders>
                    <w:tl2br w:val="nil"/>
                    <w:tr2bl w:val="nil"/>
                  </w:tcBorders>
                  <w:noWrap w:val="0"/>
                  <w:vAlign w:val="center"/>
                </w:tcPr>
                <w:p w14:paraId="5815CAD7">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施工期</w:t>
                  </w:r>
                </w:p>
              </w:tc>
              <w:tc>
                <w:tcPr>
                  <w:tcW w:w="750" w:type="dxa"/>
                  <w:tcBorders>
                    <w:tl2br w:val="nil"/>
                    <w:tr2bl w:val="nil"/>
                  </w:tcBorders>
                  <w:noWrap w:val="0"/>
                  <w:vAlign w:val="center"/>
                </w:tcPr>
                <w:p w14:paraId="00329FEF">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废气</w:t>
                  </w:r>
                </w:p>
              </w:tc>
              <w:tc>
                <w:tcPr>
                  <w:tcW w:w="1569" w:type="dxa"/>
                  <w:tcBorders>
                    <w:tl2br w:val="nil"/>
                    <w:tr2bl w:val="nil"/>
                  </w:tcBorders>
                  <w:noWrap w:val="0"/>
                  <w:vAlign w:val="center"/>
                </w:tcPr>
                <w:p w14:paraId="3E7586F1">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施工扬尘</w:t>
                  </w:r>
                </w:p>
              </w:tc>
              <w:tc>
                <w:tcPr>
                  <w:tcW w:w="4404" w:type="dxa"/>
                  <w:tcBorders>
                    <w:tl2br w:val="nil"/>
                    <w:tr2bl w:val="nil"/>
                  </w:tcBorders>
                  <w:noWrap w:val="0"/>
                  <w:vAlign w:val="center"/>
                </w:tcPr>
                <w:p w14:paraId="1D356F8D">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对四周及主要产生扬尘的区域设置围栏、配置水枪、降尘雾炮等</w:t>
                  </w:r>
                </w:p>
              </w:tc>
              <w:tc>
                <w:tcPr>
                  <w:tcW w:w="1120" w:type="dxa"/>
                  <w:tcBorders>
                    <w:tl2br w:val="nil"/>
                    <w:tr2bl w:val="nil"/>
                  </w:tcBorders>
                  <w:noWrap w:val="0"/>
                  <w:vAlign w:val="center"/>
                </w:tcPr>
                <w:p w14:paraId="21F6B625">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4</w:t>
                  </w:r>
                </w:p>
              </w:tc>
            </w:tr>
            <w:tr w14:paraId="082D76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0" w:type="dxa"/>
                  <w:vMerge w:val="continue"/>
                  <w:tcBorders>
                    <w:tl2br w:val="nil"/>
                    <w:tr2bl w:val="nil"/>
                  </w:tcBorders>
                  <w:noWrap w:val="0"/>
                  <w:vAlign w:val="center"/>
                </w:tcPr>
                <w:p w14:paraId="16261B8B">
                  <w:pPr>
                    <w:bidi w:val="0"/>
                    <w:jc w:val="center"/>
                    <w:rPr>
                      <w:rFonts w:hint="default" w:ascii="Times New Roman" w:hAnsi="Times New Roman" w:cs="Times New Roman"/>
                      <w:color w:val="auto"/>
                      <w:lang w:val="zh-CN" w:eastAsia="zh-CN"/>
                    </w:rPr>
                  </w:pPr>
                </w:p>
              </w:tc>
              <w:tc>
                <w:tcPr>
                  <w:tcW w:w="750" w:type="dxa"/>
                  <w:tcBorders>
                    <w:tl2br w:val="nil"/>
                    <w:tr2bl w:val="nil"/>
                  </w:tcBorders>
                  <w:noWrap w:val="0"/>
                  <w:vAlign w:val="center"/>
                </w:tcPr>
                <w:p w14:paraId="0A2003A1">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废水</w:t>
                  </w:r>
                </w:p>
              </w:tc>
              <w:tc>
                <w:tcPr>
                  <w:tcW w:w="1569" w:type="dxa"/>
                  <w:tcBorders>
                    <w:tl2br w:val="nil"/>
                    <w:tr2bl w:val="nil"/>
                  </w:tcBorders>
                  <w:noWrap w:val="0"/>
                  <w:vAlign w:val="center"/>
                </w:tcPr>
                <w:p w14:paraId="6E24F30C">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施工废水</w:t>
                  </w:r>
                </w:p>
              </w:tc>
              <w:tc>
                <w:tcPr>
                  <w:tcW w:w="4404" w:type="dxa"/>
                  <w:tcBorders>
                    <w:tl2br w:val="nil"/>
                    <w:tr2bl w:val="nil"/>
                  </w:tcBorders>
                  <w:noWrap w:val="0"/>
                  <w:vAlign w:val="center"/>
                </w:tcPr>
                <w:p w14:paraId="3B5E1256">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散热冷却池、</w:t>
                  </w:r>
                  <w:r>
                    <w:rPr>
                      <w:rFonts w:hint="eastAsia" w:ascii="Times New Roman" w:hAnsi="Times New Roman" w:cs="Times New Roman"/>
                      <w:color w:val="auto"/>
                      <w:lang w:eastAsia="zh-CN"/>
                    </w:rPr>
                    <w:t>泥浆罐</w:t>
                  </w:r>
                  <w:r>
                    <w:rPr>
                      <w:rFonts w:hint="default" w:ascii="Times New Roman" w:hAnsi="Times New Roman" w:cs="Times New Roman"/>
                      <w:color w:val="auto"/>
                    </w:rPr>
                    <w:t>、沉淀池</w:t>
                  </w:r>
                </w:p>
              </w:tc>
              <w:tc>
                <w:tcPr>
                  <w:tcW w:w="1120" w:type="dxa"/>
                  <w:tcBorders>
                    <w:tl2br w:val="nil"/>
                    <w:tr2bl w:val="nil"/>
                  </w:tcBorders>
                  <w:noWrap w:val="0"/>
                  <w:vAlign w:val="center"/>
                </w:tcPr>
                <w:p w14:paraId="175A3298">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3</w:t>
                  </w:r>
                </w:p>
              </w:tc>
            </w:tr>
            <w:tr w14:paraId="7F19FB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0" w:type="dxa"/>
                  <w:vMerge w:val="continue"/>
                  <w:tcBorders>
                    <w:tl2br w:val="nil"/>
                    <w:tr2bl w:val="nil"/>
                  </w:tcBorders>
                  <w:noWrap w:val="0"/>
                  <w:vAlign w:val="center"/>
                </w:tcPr>
                <w:p w14:paraId="770DAE5E">
                  <w:pPr>
                    <w:bidi w:val="0"/>
                    <w:jc w:val="center"/>
                    <w:rPr>
                      <w:rFonts w:hint="default" w:ascii="Times New Roman" w:hAnsi="Times New Roman" w:cs="Times New Roman"/>
                      <w:color w:val="auto"/>
                      <w:lang w:val="zh-CN" w:eastAsia="zh-CN"/>
                    </w:rPr>
                  </w:pPr>
                </w:p>
              </w:tc>
              <w:tc>
                <w:tcPr>
                  <w:tcW w:w="750" w:type="dxa"/>
                  <w:tcBorders>
                    <w:tl2br w:val="nil"/>
                    <w:tr2bl w:val="nil"/>
                  </w:tcBorders>
                  <w:noWrap w:val="0"/>
                  <w:vAlign w:val="center"/>
                </w:tcPr>
                <w:p w14:paraId="2C841E4D">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噪声</w:t>
                  </w:r>
                </w:p>
              </w:tc>
              <w:tc>
                <w:tcPr>
                  <w:tcW w:w="1569" w:type="dxa"/>
                  <w:tcBorders>
                    <w:tl2br w:val="nil"/>
                    <w:tr2bl w:val="nil"/>
                  </w:tcBorders>
                  <w:noWrap w:val="0"/>
                  <w:vAlign w:val="center"/>
                </w:tcPr>
                <w:p w14:paraId="5DA7CCC2">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施工噪声</w:t>
                  </w:r>
                </w:p>
              </w:tc>
              <w:tc>
                <w:tcPr>
                  <w:tcW w:w="4404" w:type="dxa"/>
                  <w:tcBorders>
                    <w:tl2br w:val="nil"/>
                    <w:tr2bl w:val="nil"/>
                  </w:tcBorders>
                  <w:noWrap w:val="0"/>
                  <w:vAlign w:val="center"/>
                </w:tcPr>
                <w:p w14:paraId="5EC9B8B4">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设隔声屏障、固定设备基础减振</w:t>
                  </w:r>
                </w:p>
              </w:tc>
              <w:tc>
                <w:tcPr>
                  <w:tcW w:w="1120" w:type="dxa"/>
                  <w:tcBorders>
                    <w:tl2br w:val="nil"/>
                    <w:tr2bl w:val="nil"/>
                  </w:tcBorders>
                  <w:noWrap w:val="0"/>
                  <w:vAlign w:val="center"/>
                </w:tcPr>
                <w:p w14:paraId="740D03FF">
                  <w:pPr>
                    <w:bidi w:val="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w:t>
                  </w:r>
                </w:p>
              </w:tc>
            </w:tr>
            <w:tr w14:paraId="05A31C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0" w:type="dxa"/>
                  <w:vMerge w:val="continue"/>
                  <w:tcBorders>
                    <w:tl2br w:val="nil"/>
                    <w:tr2bl w:val="nil"/>
                  </w:tcBorders>
                  <w:noWrap w:val="0"/>
                  <w:vAlign w:val="center"/>
                </w:tcPr>
                <w:p w14:paraId="46C78ED7">
                  <w:pPr>
                    <w:bidi w:val="0"/>
                    <w:jc w:val="center"/>
                    <w:rPr>
                      <w:rFonts w:hint="default" w:ascii="Times New Roman" w:hAnsi="Times New Roman" w:cs="Times New Roman"/>
                      <w:color w:val="auto"/>
                      <w:lang w:val="zh-CN" w:eastAsia="zh-CN"/>
                    </w:rPr>
                  </w:pPr>
                </w:p>
              </w:tc>
              <w:tc>
                <w:tcPr>
                  <w:tcW w:w="750" w:type="dxa"/>
                  <w:tcBorders>
                    <w:tl2br w:val="nil"/>
                    <w:tr2bl w:val="nil"/>
                  </w:tcBorders>
                  <w:noWrap w:val="0"/>
                  <w:vAlign w:val="center"/>
                </w:tcPr>
                <w:p w14:paraId="77720CA7">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固废</w:t>
                  </w:r>
                </w:p>
              </w:tc>
              <w:tc>
                <w:tcPr>
                  <w:tcW w:w="1569" w:type="dxa"/>
                  <w:tcBorders>
                    <w:tl2br w:val="nil"/>
                    <w:tr2bl w:val="nil"/>
                  </w:tcBorders>
                  <w:noWrap w:val="0"/>
                  <w:vAlign w:val="center"/>
                </w:tcPr>
                <w:p w14:paraId="24089CAE">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施工固废、生活垃圾</w:t>
                  </w:r>
                </w:p>
              </w:tc>
              <w:tc>
                <w:tcPr>
                  <w:tcW w:w="4404" w:type="dxa"/>
                  <w:tcBorders>
                    <w:tl2br w:val="nil"/>
                    <w:tr2bl w:val="nil"/>
                  </w:tcBorders>
                  <w:noWrap w:val="0"/>
                  <w:vAlign w:val="center"/>
                </w:tcPr>
                <w:p w14:paraId="5E1CA92E">
                  <w:pPr>
                    <w:bidi w:val="0"/>
                    <w:jc w:val="center"/>
                    <w:rPr>
                      <w:rFonts w:hint="eastAsia" w:ascii="Times New Roman" w:hAnsi="Times New Roman" w:eastAsia="宋体" w:cs="Times New Roman"/>
                      <w:color w:val="auto"/>
                      <w:lang w:val="zh-CN" w:eastAsia="zh-CN"/>
                    </w:rPr>
                  </w:pPr>
                  <w:r>
                    <w:rPr>
                      <w:rFonts w:hint="eastAsia" w:ascii="Times New Roman" w:hAnsi="Times New Roman" w:cs="Times New Roman"/>
                      <w:color w:val="auto"/>
                      <w:lang w:val="en-US" w:eastAsia="zh-CN"/>
                    </w:rPr>
                    <w:t>钻井泥浆固化后与钻井岩屑考虑综合利用</w:t>
                  </w:r>
                  <w:r>
                    <w:rPr>
                      <w:rFonts w:hint="default" w:ascii="Times New Roman" w:hAnsi="Times New Roman" w:cs="Times New Roman"/>
                      <w:color w:val="auto"/>
                    </w:rPr>
                    <w:t>；生活垃圾定点收集环卫清运</w:t>
                  </w:r>
                </w:p>
              </w:tc>
              <w:tc>
                <w:tcPr>
                  <w:tcW w:w="1120" w:type="dxa"/>
                  <w:tcBorders>
                    <w:tl2br w:val="nil"/>
                    <w:tr2bl w:val="nil"/>
                  </w:tcBorders>
                  <w:noWrap w:val="0"/>
                  <w:vAlign w:val="center"/>
                </w:tcPr>
                <w:p w14:paraId="02370B91">
                  <w:pPr>
                    <w:bidi w:val="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5</w:t>
                  </w:r>
                </w:p>
              </w:tc>
            </w:tr>
            <w:tr w14:paraId="6D72F7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480" w:type="dxa"/>
                  <w:vMerge w:val="restart"/>
                  <w:tcBorders>
                    <w:tl2br w:val="nil"/>
                    <w:tr2bl w:val="nil"/>
                  </w:tcBorders>
                  <w:noWrap w:val="0"/>
                  <w:vAlign w:val="center"/>
                </w:tcPr>
                <w:p w14:paraId="661961DA">
                  <w:pPr>
                    <w:tabs>
                      <w:tab w:val="left" w:leader="middleDot" w:pos="8399"/>
                    </w:tabs>
                    <w:snapToGrid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运营期</w:t>
                  </w:r>
                </w:p>
              </w:tc>
              <w:tc>
                <w:tcPr>
                  <w:tcW w:w="750" w:type="dxa"/>
                  <w:vMerge w:val="restart"/>
                  <w:tcBorders>
                    <w:tl2br w:val="nil"/>
                    <w:tr2bl w:val="nil"/>
                  </w:tcBorders>
                  <w:noWrap w:val="0"/>
                  <w:vAlign w:val="center"/>
                </w:tcPr>
                <w:p w14:paraId="24EACB28">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废水</w:t>
                  </w:r>
                </w:p>
              </w:tc>
              <w:tc>
                <w:tcPr>
                  <w:tcW w:w="1569" w:type="dxa"/>
                  <w:vMerge w:val="restart"/>
                  <w:tcBorders>
                    <w:tl2br w:val="nil"/>
                    <w:tr2bl w:val="nil"/>
                  </w:tcBorders>
                  <w:noWrap w:val="0"/>
                  <w:vAlign w:val="center"/>
                </w:tcPr>
                <w:p w14:paraId="32F2C2B6">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换热尾水</w:t>
                  </w:r>
                </w:p>
              </w:tc>
              <w:tc>
                <w:tcPr>
                  <w:tcW w:w="4404" w:type="dxa"/>
                  <w:tcBorders>
                    <w:tl2br w:val="nil"/>
                    <w:tr2bl w:val="nil"/>
                  </w:tcBorders>
                  <w:noWrap w:val="0"/>
                  <w:vAlign w:val="center"/>
                </w:tcPr>
                <w:p w14:paraId="54C8464F">
                  <w:pPr>
                    <w:bidi w:val="0"/>
                    <w:jc w:val="center"/>
                    <w:rPr>
                      <w:rFonts w:hint="default" w:ascii="Times New Roman" w:hAnsi="Times New Roman" w:cs="Times New Roman"/>
                      <w:color w:val="auto"/>
                      <w:kern w:val="2"/>
                      <w:sz w:val="21"/>
                      <w:szCs w:val="24"/>
                      <w:lang w:val="zh-CN" w:eastAsia="zh-CN" w:bidi="ar-SA"/>
                    </w:rPr>
                  </w:pPr>
                  <w:r>
                    <w:rPr>
                      <w:rFonts w:hint="default" w:ascii="Times New Roman" w:hAnsi="Times New Roman" w:cs="Times New Roman"/>
                      <w:color w:val="auto"/>
                      <w:kern w:val="2"/>
                      <w:sz w:val="21"/>
                      <w:szCs w:val="24"/>
                      <w:lang w:val="zh-CN" w:eastAsia="zh-CN" w:bidi="ar-SA"/>
                    </w:rPr>
                    <w:t>经过滤设备处理后回灌</w:t>
                  </w:r>
                </w:p>
              </w:tc>
              <w:tc>
                <w:tcPr>
                  <w:tcW w:w="1120" w:type="dxa"/>
                  <w:vMerge w:val="restart"/>
                  <w:tcBorders>
                    <w:tl2br w:val="nil"/>
                    <w:tr2bl w:val="nil"/>
                  </w:tcBorders>
                  <w:noWrap w:val="0"/>
                  <w:vAlign w:val="center"/>
                </w:tcPr>
                <w:p w14:paraId="426F82A8">
                  <w:pPr>
                    <w:bidi w:val="0"/>
                    <w:jc w:val="center"/>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rPr>
                    <w:t>计入工程总投资</w:t>
                  </w:r>
                </w:p>
              </w:tc>
            </w:tr>
            <w:tr w14:paraId="15E69A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480" w:type="dxa"/>
                  <w:vMerge w:val="continue"/>
                  <w:tcBorders>
                    <w:tl2br w:val="nil"/>
                    <w:tr2bl w:val="nil"/>
                  </w:tcBorders>
                  <w:noWrap w:val="0"/>
                  <w:vAlign w:val="center"/>
                </w:tcPr>
                <w:p w14:paraId="38C505C0">
                  <w:pPr>
                    <w:tabs>
                      <w:tab w:val="left" w:leader="middleDot" w:pos="8399"/>
                    </w:tabs>
                    <w:snapToGrid w:val="0"/>
                    <w:jc w:val="center"/>
                    <w:rPr>
                      <w:rFonts w:hint="default" w:ascii="Times New Roman" w:hAnsi="Times New Roman" w:cs="Times New Roman"/>
                      <w:color w:val="auto"/>
                    </w:rPr>
                  </w:pPr>
                </w:p>
              </w:tc>
              <w:tc>
                <w:tcPr>
                  <w:tcW w:w="750" w:type="dxa"/>
                  <w:vMerge w:val="continue"/>
                  <w:tcBorders>
                    <w:tl2br w:val="nil"/>
                    <w:tr2bl w:val="nil"/>
                  </w:tcBorders>
                  <w:noWrap w:val="0"/>
                  <w:vAlign w:val="center"/>
                </w:tcPr>
                <w:p w14:paraId="330F4AB8">
                  <w:pPr>
                    <w:bidi w:val="0"/>
                    <w:jc w:val="center"/>
                    <w:rPr>
                      <w:rFonts w:hint="default" w:ascii="Times New Roman" w:hAnsi="Times New Roman" w:cs="Times New Roman"/>
                      <w:color w:val="auto"/>
                    </w:rPr>
                  </w:pPr>
                </w:p>
              </w:tc>
              <w:tc>
                <w:tcPr>
                  <w:tcW w:w="1569" w:type="dxa"/>
                  <w:vMerge w:val="continue"/>
                  <w:tcBorders>
                    <w:tl2br w:val="nil"/>
                    <w:tr2bl w:val="nil"/>
                  </w:tcBorders>
                  <w:noWrap w:val="0"/>
                  <w:vAlign w:val="center"/>
                </w:tcPr>
                <w:p w14:paraId="605F5A22">
                  <w:pPr>
                    <w:bidi w:val="0"/>
                    <w:jc w:val="center"/>
                    <w:rPr>
                      <w:rFonts w:hint="default" w:ascii="Times New Roman" w:hAnsi="Times New Roman" w:cs="Times New Roman"/>
                      <w:color w:val="auto"/>
                    </w:rPr>
                  </w:pPr>
                </w:p>
              </w:tc>
              <w:tc>
                <w:tcPr>
                  <w:tcW w:w="4404" w:type="dxa"/>
                  <w:tcBorders>
                    <w:tl2br w:val="nil"/>
                    <w:tr2bl w:val="nil"/>
                  </w:tcBorders>
                  <w:noWrap w:val="0"/>
                  <w:vAlign w:val="center"/>
                </w:tcPr>
                <w:p w14:paraId="14415CAC">
                  <w:pPr>
                    <w:bidi w:val="0"/>
                    <w:jc w:val="center"/>
                    <w:rPr>
                      <w:rFonts w:hint="default" w:ascii="Times New Roman" w:hAnsi="Times New Roman" w:cs="Times New Roman"/>
                      <w:color w:val="auto"/>
                      <w:kern w:val="2"/>
                      <w:sz w:val="21"/>
                      <w:szCs w:val="24"/>
                      <w:lang w:val="zh-CN" w:eastAsia="zh-CN" w:bidi="ar-SA"/>
                    </w:rPr>
                  </w:pPr>
                  <w:r>
                    <w:rPr>
                      <w:rFonts w:hint="default" w:ascii="Times New Roman" w:hAnsi="Times New Roman" w:cs="Times New Roman"/>
                      <w:color w:val="auto"/>
                    </w:rPr>
                    <w:t>回灌井回灌</w:t>
                  </w:r>
                </w:p>
              </w:tc>
              <w:tc>
                <w:tcPr>
                  <w:tcW w:w="1120" w:type="dxa"/>
                  <w:vMerge w:val="continue"/>
                  <w:tcBorders>
                    <w:tl2br w:val="nil"/>
                    <w:tr2bl w:val="nil"/>
                  </w:tcBorders>
                  <w:noWrap w:val="0"/>
                  <w:vAlign w:val="center"/>
                </w:tcPr>
                <w:p w14:paraId="3194286C">
                  <w:pPr>
                    <w:bidi w:val="0"/>
                    <w:jc w:val="center"/>
                    <w:rPr>
                      <w:rFonts w:hint="default" w:ascii="Times New Roman" w:hAnsi="Times New Roman" w:cs="Times New Roman"/>
                      <w:color w:val="auto"/>
                      <w:kern w:val="2"/>
                      <w:sz w:val="21"/>
                      <w:szCs w:val="24"/>
                      <w:lang w:val="en-US" w:eastAsia="zh-CN" w:bidi="ar-SA"/>
                    </w:rPr>
                  </w:pPr>
                </w:p>
              </w:tc>
            </w:tr>
            <w:tr w14:paraId="565F54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480" w:type="dxa"/>
                  <w:vMerge w:val="continue"/>
                  <w:tcBorders>
                    <w:tl2br w:val="nil"/>
                    <w:tr2bl w:val="nil"/>
                  </w:tcBorders>
                  <w:noWrap w:val="0"/>
                  <w:vAlign w:val="center"/>
                </w:tcPr>
                <w:p w14:paraId="0A232411">
                  <w:pPr>
                    <w:bidi w:val="0"/>
                    <w:jc w:val="center"/>
                    <w:rPr>
                      <w:rFonts w:hint="default" w:ascii="Times New Roman" w:hAnsi="Times New Roman" w:cs="Times New Roman"/>
                      <w:color w:val="auto"/>
                      <w:lang w:val="zh-CN" w:eastAsia="zh-CN"/>
                    </w:rPr>
                  </w:pPr>
                </w:p>
              </w:tc>
              <w:tc>
                <w:tcPr>
                  <w:tcW w:w="750" w:type="dxa"/>
                  <w:vMerge w:val="continue"/>
                  <w:tcBorders>
                    <w:tl2br w:val="nil"/>
                    <w:tr2bl w:val="nil"/>
                  </w:tcBorders>
                  <w:noWrap w:val="0"/>
                  <w:vAlign w:val="center"/>
                </w:tcPr>
                <w:p w14:paraId="0B1532B2">
                  <w:pPr>
                    <w:bidi w:val="0"/>
                    <w:jc w:val="center"/>
                    <w:rPr>
                      <w:rFonts w:hint="default" w:ascii="Times New Roman" w:hAnsi="Times New Roman" w:cs="Times New Roman"/>
                      <w:color w:val="auto"/>
                      <w:lang w:val="zh-CN" w:eastAsia="zh-CN"/>
                    </w:rPr>
                  </w:pPr>
                </w:p>
              </w:tc>
              <w:tc>
                <w:tcPr>
                  <w:tcW w:w="1569" w:type="dxa"/>
                  <w:tcBorders>
                    <w:tl2br w:val="nil"/>
                    <w:tr2bl w:val="nil"/>
                  </w:tcBorders>
                  <w:noWrap w:val="0"/>
                  <w:vAlign w:val="center"/>
                </w:tcPr>
                <w:p w14:paraId="08EECA0F">
                  <w:pPr>
                    <w:bidi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生活污水</w:t>
                  </w:r>
                </w:p>
              </w:tc>
              <w:tc>
                <w:tcPr>
                  <w:tcW w:w="4404" w:type="dxa"/>
                  <w:tcBorders>
                    <w:tl2br w:val="nil"/>
                    <w:tr2bl w:val="nil"/>
                  </w:tcBorders>
                  <w:noWrap w:val="0"/>
                  <w:vAlign w:val="center"/>
                </w:tcPr>
                <w:p w14:paraId="621F7883">
                  <w:pPr>
                    <w:bidi w:val="0"/>
                    <w:jc w:val="center"/>
                    <w:rPr>
                      <w:rFonts w:hint="default" w:ascii="Times New Roman" w:hAnsi="Times New Roman" w:cs="Times New Roman"/>
                      <w:color w:val="auto"/>
                    </w:rPr>
                  </w:pPr>
                  <w:r>
                    <w:rPr>
                      <w:rFonts w:hint="default" w:ascii="Times New Roman" w:hAnsi="Times New Roman" w:cs="Times New Roman"/>
                      <w:color w:val="auto"/>
                    </w:rPr>
                    <w:t>依托</w:t>
                  </w:r>
                  <w:r>
                    <w:rPr>
                      <w:rFonts w:hint="eastAsia" w:ascii="Times New Roman" w:hAnsi="Times New Roman" w:cs="Times New Roman"/>
                      <w:color w:val="auto"/>
                      <w:lang w:val="en-US" w:eastAsia="zh-CN"/>
                    </w:rPr>
                    <w:t>紫境城</w:t>
                  </w:r>
                  <w:r>
                    <w:rPr>
                      <w:rFonts w:hint="default" w:ascii="Times New Roman" w:hAnsi="Times New Roman" w:cs="Times New Roman"/>
                      <w:color w:val="auto"/>
                    </w:rPr>
                    <w:t>小区化粪池</w:t>
                  </w:r>
                </w:p>
              </w:tc>
              <w:tc>
                <w:tcPr>
                  <w:tcW w:w="1120" w:type="dxa"/>
                  <w:tcBorders>
                    <w:tl2br w:val="nil"/>
                    <w:tr2bl w:val="nil"/>
                  </w:tcBorders>
                  <w:noWrap w:val="0"/>
                  <w:vAlign w:val="center"/>
                </w:tcPr>
                <w:p w14:paraId="25D4DDDA">
                  <w:pPr>
                    <w:bidi w:val="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w:t>
                  </w:r>
                </w:p>
              </w:tc>
            </w:tr>
            <w:tr w14:paraId="4AD679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480" w:type="dxa"/>
                  <w:vMerge w:val="continue"/>
                  <w:tcBorders>
                    <w:tl2br w:val="nil"/>
                    <w:tr2bl w:val="nil"/>
                  </w:tcBorders>
                  <w:noWrap w:val="0"/>
                  <w:vAlign w:val="center"/>
                </w:tcPr>
                <w:p w14:paraId="6F69FECD">
                  <w:pPr>
                    <w:bidi w:val="0"/>
                    <w:jc w:val="center"/>
                    <w:rPr>
                      <w:rFonts w:hint="default" w:ascii="Times New Roman" w:hAnsi="Times New Roman" w:cs="Times New Roman"/>
                      <w:color w:val="auto"/>
                      <w:lang w:val="zh-CN" w:eastAsia="zh-CN"/>
                    </w:rPr>
                  </w:pPr>
                </w:p>
              </w:tc>
              <w:tc>
                <w:tcPr>
                  <w:tcW w:w="750" w:type="dxa"/>
                  <w:tcBorders>
                    <w:tl2br w:val="nil"/>
                    <w:tr2bl w:val="nil"/>
                  </w:tcBorders>
                  <w:noWrap w:val="0"/>
                  <w:vAlign w:val="center"/>
                </w:tcPr>
                <w:p w14:paraId="3D651CC3">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噪声</w:t>
                  </w:r>
                </w:p>
              </w:tc>
              <w:tc>
                <w:tcPr>
                  <w:tcW w:w="1569" w:type="dxa"/>
                  <w:tcBorders>
                    <w:tl2br w:val="nil"/>
                    <w:tr2bl w:val="nil"/>
                  </w:tcBorders>
                  <w:noWrap w:val="0"/>
                  <w:vAlign w:val="center"/>
                </w:tcPr>
                <w:p w14:paraId="5D964C33">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设备运行噪声</w:t>
                  </w:r>
                </w:p>
              </w:tc>
              <w:tc>
                <w:tcPr>
                  <w:tcW w:w="4404" w:type="dxa"/>
                  <w:tcBorders>
                    <w:tl2br w:val="nil"/>
                    <w:tr2bl w:val="nil"/>
                  </w:tcBorders>
                  <w:noWrap w:val="0"/>
                  <w:vAlign w:val="center"/>
                </w:tcPr>
                <w:p w14:paraId="20BCAE74">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选用低噪声设备、设备基础减振、泵体软连接</w:t>
                  </w:r>
                </w:p>
              </w:tc>
              <w:tc>
                <w:tcPr>
                  <w:tcW w:w="1120" w:type="dxa"/>
                  <w:tcBorders>
                    <w:tl2br w:val="nil"/>
                    <w:tr2bl w:val="nil"/>
                  </w:tcBorders>
                  <w:noWrap w:val="0"/>
                  <w:vAlign w:val="center"/>
                </w:tcPr>
                <w:p w14:paraId="2B6C998F">
                  <w:pPr>
                    <w:bidi w:val="0"/>
                    <w:jc w:val="center"/>
                    <w:rPr>
                      <w:rFonts w:hint="default" w:ascii="Times New Roman" w:hAnsi="Times New Roman" w:cs="Times New Roman"/>
                      <w:color w:val="auto"/>
                      <w:lang w:val="zh-CN" w:eastAsia="zh-CN"/>
                    </w:rPr>
                  </w:pPr>
                  <w:r>
                    <w:rPr>
                      <w:rFonts w:hint="default" w:ascii="Times New Roman" w:hAnsi="Times New Roman" w:cs="Times New Roman"/>
                      <w:color w:val="auto"/>
                    </w:rPr>
                    <w:t>8</w:t>
                  </w:r>
                </w:p>
              </w:tc>
            </w:tr>
            <w:tr w14:paraId="3CC1A2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480" w:type="dxa"/>
                  <w:vMerge w:val="continue"/>
                  <w:tcBorders>
                    <w:tl2br w:val="nil"/>
                    <w:tr2bl w:val="nil"/>
                  </w:tcBorders>
                  <w:noWrap w:val="0"/>
                  <w:vAlign w:val="center"/>
                </w:tcPr>
                <w:p w14:paraId="5FCD419E">
                  <w:pPr>
                    <w:bidi w:val="0"/>
                    <w:jc w:val="center"/>
                    <w:rPr>
                      <w:rFonts w:hint="default" w:ascii="Times New Roman" w:hAnsi="Times New Roman" w:cs="Times New Roman"/>
                      <w:color w:val="auto"/>
                      <w:lang w:val="zh-CN" w:eastAsia="zh-CN"/>
                    </w:rPr>
                  </w:pPr>
                </w:p>
              </w:tc>
              <w:tc>
                <w:tcPr>
                  <w:tcW w:w="750" w:type="dxa"/>
                  <w:vMerge w:val="restart"/>
                  <w:tcBorders>
                    <w:tl2br w:val="nil"/>
                    <w:tr2bl w:val="nil"/>
                  </w:tcBorders>
                  <w:noWrap w:val="0"/>
                  <w:vAlign w:val="center"/>
                </w:tcPr>
                <w:p w14:paraId="6A4639BC">
                  <w:pPr>
                    <w:tabs>
                      <w:tab w:val="left" w:leader="middleDot" w:pos="8399"/>
                    </w:tabs>
                    <w:snapToGrid w:val="0"/>
                    <w:jc w:val="center"/>
                    <w:rPr>
                      <w:rFonts w:hint="default" w:ascii="Times New Roman" w:hAnsi="Times New Roman" w:cs="Times New Roman"/>
                      <w:color w:val="auto"/>
                    </w:rPr>
                  </w:pPr>
                  <w:r>
                    <w:rPr>
                      <w:rFonts w:hint="default" w:ascii="Times New Roman" w:hAnsi="Times New Roman" w:cs="Times New Roman"/>
                      <w:color w:val="auto"/>
                    </w:rPr>
                    <w:t>固废</w:t>
                  </w:r>
                </w:p>
              </w:tc>
              <w:tc>
                <w:tcPr>
                  <w:tcW w:w="1569" w:type="dxa"/>
                  <w:tcBorders>
                    <w:tl2br w:val="nil"/>
                    <w:tr2bl w:val="nil"/>
                  </w:tcBorders>
                  <w:noWrap w:val="0"/>
                  <w:vAlign w:val="center"/>
                </w:tcPr>
                <w:p w14:paraId="6B59A884">
                  <w:pPr>
                    <w:tabs>
                      <w:tab w:val="left" w:leader="middleDot" w:pos="8399"/>
                    </w:tabs>
                    <w:snapToGrid w:val="0"/>
                    <w:jc w:val="center"/>
                    <w:rPr>
                      <w:rFonts w:hint="default" w:ascii="Times New Roman" w:hAnsi="Times New Roman" w:cs="Times New Roman"/>
                      <w:color w:val="auto"/>
                    </w:rPr>
                  </w:pPr>
                  <w:r>
                    <w:rPr>
                      <w:rFonts w:hint="default" w:ascii="Times New Roman" w:hAnsi="Times New Roman" w:cs="Times New Roman"/>
                      <w:color w:val="auto"/>
                      <w:lang w:eastAsia="zh-CN"/>
                    </w:rPr>
                    <w:t>废滤芯</w:t>
                  </w:r>
                </w:p>
              </w:tc>
              <w:tc>
                <w:tcPr>
                  <w:tcW w:w="4404" w:type="dxa"/>
                  <w:tcBorders>
                    <w:tl2br w:val="nil"/>
                    <w:tr2bl w:val="nil"/>
                  </w:tcBorders>
                  <w:noWrap w:val="0"/>
                  <w:vAlign w:val="center"/>
                </w:tcPr>
                <w:p w14:paraId="161F870F">
                  <w:pPr>
                    <w:tabs>
                      <w:tab w:val="left" w:leader="middleDot" w:pos="8399"/>
                    </w:tabs>
                    <w:snapToGrid w:val="0"/>
                    <w:jc w:val="center"/>
                    <w:rPr>
                      <w:rFonts w:hint="default" w:ascii="Times New Roman" w:hAnsi="Times New Roman" w:cs="Times New Roman"/>
                      <w:color w:val="auto"/>
                    </w:rPr>
                  </w:pPr>
                  <w:r>
                    <w:rPr>
                      <w:rFonts w:hint="eastAsia" w:ascii="Times New Roman" w:hAnsi="Times New Roman" w:cs="Times New Roman"/>
                      <w:color w:val="auto"/>
                      <w:lang w:val="en-US" w:eastAsia="zh-CN"/>
                    </w:rPr>
                    <w:t>集中收集</w:t>
                  </w:r>
                  <w:r>
                    <w:rPr>
                      <w:rFonts w:hint="default" w:ascii="Times New Roman" w:hAnsi="Times New Roman" w:cs="Times New Roman"/>
                      <w:color w:val="auto"/>
                    </w:rPr>
                    <w:t>交由厂家进行回收处置</w:t>
                  </w:r>
                </w:p>
              </w:tc>
              <w:tc>
                <w:tcPr>
                  <w:tcW w:w="1120" w:type="dxa"/>
                  <w:tcBorders>
                    <w:tl2br w:val="nil"/>
                    <w:tr2bl w:val="nil"/>
                  </w:tcBorders>
                  <w:noWrap w:val="0"/>
                  <w:vAlign w:val="center"/>
                </w:tcPr>
                <w:p w14:paraId="2C7D163F">
                  <w:pPr>
                    <w:tabs>
                      <w:tab w:val="left" w:pos="405"/>
                    </w:tabs>
                    <w:snapToGrid w:val="0"/>
                    <w:jc w:val="center"/>
                    <w:rPr>
                      <w:rFonts w:hint="default" w:ascii="Times New Roman" w:hAnsi="Times New Roman" w:cs="Times New Roman"/>
                      <w:color w:val="auto"/>
                    </w:rPr>
                  </w:pPr>
                  <w:r>
                    <w:rPr>
                      <w:rFonts w:hint="eastAsia" w:ascii="Times New Roman" w:hAnsi="Times New Roman" w:cs="Times New Roman"/>
                      <w:color w:val="auto"/>
                      <w:lang w:val="en-US" w:eastAsia="zh-CN"/>
                    </w:rPr>
                    <w:t>--</w:t>
                  </w:r>
                </w:p>
              </w:tc>
            </w:tr>
            <w:tr w14:paraId="2DF83A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80" w:type="dxa"/>
                  <w:vMerge w:val="continue"/>
                  <w:tcBorders>
                    <w:tl2br w:val="nil"/>
                    <w:tr2bl w:val="nil"/>
                  </w:tcBorders>
                  <w:noWrap w:val="0"/>
                  <w:vAlign w:val="center"/>
                </w:tcPr>
                <w:p w14:paraId="10B69B0A">
                  <w:pPr>
                    <w:bidi w:val="0"/>
                    <w:jc w:val="center"/>
                    <w:rPr>
                      <w:rFonts w:hint="default" w:ascii="Times New Roman" w:hAnsi="Times New Roman" w:cs="Times New Roman"/>
                      <w:color w:val="auto"/>
                      <w:lang w:val="zh-CN" w:eastAsia="zh-CN"/>
                    </w:rPr>
                  </w:pPr>
                </w:p>
              </w:tc>
              <w:tc>
                <w:tcPr>
                  <w:tcW w:w="750" w:type="dxa"/>
                  <w:vMerge w:val="continue"/>
                  <w:tcBorders>
                    <w:tl2br w:val="nil"/>
                    <w:tr2bl w:val="nil"/>
                  </w:tcBorders>
                  <w:noWrap w:val="0"/>
                  <w:vAlign w:val="center"/>
                </w:tcPr>
                <w:p w14:paraId="73E44048">
                  <w:pPr>
                    <w:tabs>
                      <w:tab w:val="left" w:leader="middleDot" w:pos="8399"/>
                    </w:tabs>
                    <w:snapToGrid w:val="0"/>
                    <w:jc w:val="center"/>
                    <w:rPr>
                      <w:rFonts w:hint="default" w:ascii="Times New Roman" w:hAnsi="Times New Roman" w:cs="Times New Roman"/>
                      <w:color w:val="auto"/>
                    </w:rPr>
                  </w:pPr>
                </w:p>
              </w:tc>
              <w:tc>
                <w:tcPr>
                  <w:tcW w:w="1569" w:type="dxa"/>
                  <w:tcBorders>
                    <w:tl2br w:val="nil"/>
                    <w:tr2bl w:val="nil"/>
                  </w:tcBorders>
                  <w:noWrap w:val="0"/>
                  <w:vAlign w:val="center"/>
                </w:tcPr>
                <w:p w14:paraId="648AFDE9">
                  <w:pPr>
                    <w:tabs>
                      <w:tab w:val="left" w:leader="middleDot" w:pos="8399"/>
                    </w:tabs>
                    <w:snapToGrid w:val="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t>生活垃圾</w:t>
                  </w:r>
                </w:p>
              </w:tc>
              <w:tc>
                <w:tcPr>
                  <w:tcW w:w="4404" w:type="dxa"/>
                  <w:tcBorders>
                    <w:tl2br w:val="nil"/>
                    <w:tr2bl w:val="nil"/>
                  </w:tcBorders>
                  <w:noWrap w:val="0"/>
                  <w:vAlign w:val="center"/>
                </w:tcPr>
                <w:p w14:paraId="43AC0CA7">
                  <w:pPr>
                    <w:tabs>
                      <w:tab w:val="left" w:leader="middleDot" w:pos="8399"/>
                    </w:tabs>
                    <w:snapToGrid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生活垃圾依托所在小区垃圾收集点收集后，由环卫部门定期清运</w:t>
                  </w:r>
                </w:p>
              </w:tc>
              <w:tc>
                <w:tcPr>
                  <w:tcW w:w="1120" w:type="dxa"/>
                  <w:tcBorders>
                    <w:tl2br w:val="nil"/>
                    <w:tr2bl w:val="nil"/>
                  </w:tcBorders>
                  <w:noWrap w:val="0"/>
                  <w:vAlign w:val="center"/>
                </w:tcPr>
                <w:p w14:paraId="4316494C">
                  <w:pPr>
                    <w:tabs>
                      <w:tab w:val="left" w:pos="405"/>
                    </w:tabs>
                    <w:snapToGrid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w:t>
                  </w:r>
                </w:p>
              </w:tc>
            </w:tr>
            <w:tr w14:paraId="6F4A80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03" w:type="dxa"/>
                  <w:gridSpan w:val="4"/>
                  <w:tcBorders>
                    <w:tl2br w:val="nil"/>
                    <w:tr2bl w:val="nil"/>
                  </w:tcBorders>
                  <w:noWrap w:val="0"/>
                  <w:vAlign w:val="center"/>
                </w:tcPr>
                <w:p w14:paraId="20D3A1F6">
                  <w:pPr>
                    <w:tabs>
                      <w:tab w:val="left" w:leader="middleDot" w:pos="8399"/>
                    </w:tabs>
                    <w:snapToGrid w:val="0"/>
                    <w:jc w:val="center"/>
                    <w:rPr>
                      <w:rFonts w:hint="default" w:ascii="Times New Roman" w:hAnsi="Times New Roman" w:cs="Times New Roman"/>
                      <w:color w:val="auto"/>
                      <w:lang w:eastAsia="zh-CN"/>
                    </w:rPr>
                  </w:pPr>
                  <w:r>
                    <w:rPr>
                      <w:rFonts w:hint="default" w:ascii="Times New Roman" w:hAnsi="Times New Roman" w:cs="Times New Roman"/>
                      <w:color w:val="auto"/>
                    </w:rPr>
                    <w:t>合计</w:t>
                  </w:r>
                </w:p>
              </w:tc>
              <w:tc>
                <w:tcPr>
                  <w:tcW w:w="1120" w:type="dxa"/>
                  <w:tcBorders>
                    <w:tl2br w:val="nil"/>
                    <w:tr2bl w:val="nil"/>
                  </w:tcBorders>
                  <w:noWrap w:val="0"/>
                  <w:vAlign w:val="center"/>
                </w:tcPr>
                <w:p w14:paraId="25BE58B0">
                  <w:pPr>
                    <w:tabs>
                      <w:tab w:val="left" w:leader="middleDot" w:pos="8399"/>
                    </w:tabs>
                    <w:snapToGrid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26</w:t>
                  </w:r>
                </w:p>
              </w:tc>
            </w:tr>
          </w:tbl>
          <w:p w14:paraId="5045165F">
            <w:pPr>
              <w:pStyle w:val="22"/>
              <w:keepNext w:val="0"/>
              <w:keepLines w:val="0"/>
              <w:pageBreakBefore w:val="0"/>
              <w:widowControl w:val="0"/>
              <w:kinsoku/>
              <w:wordWrap/>
              <w:overflowPunct/>
              <w:topLinePunct w:val="0"/>
              <w:autoSpaceDE/>
              <w:autoSpaceDN/>
              <w:bidi w:val="0"/>
              <w:adjustRightInd/>
              <w:snapToGrid/>
              <w:textAlignment w:val="auto"/>
              <w:rPr>
                <w:rFonts w:hint="default"/>
                <w:color w:val="auto"/>
                <w:lang w:val="zh-CN" w:eastAsia="zh-CN"/>
              </w:rPr>
            </w:pPr>
          </w:p>
          <w:p w14:paraId="2420408D">
            <w:pPr>
              <w:pStyle w:val="22"/>
              <w:keepNext w:val="0"/>
              <w:keepLines w:val="0"/>
              <w:pageBreakBefore w:val="0"/>
              <w:widowControl w:val="0"/>
              <w:kinsoku/>
              <w:wordWrap/>
              <w:overflowPunct/>
              <w:topLinePunct w:val="0"/>
              <w:autoSpaceDE/>
              <w:autoSpaceDN/>
              <w:bidi w:val="0"/>
              <w:adjustRightInd/>
              <w:snapToGrid/>
              <w:textAlignment w:val="auto"/>
              <w:rPr>
                <w:rFonts w:hint="default"/>
                <w:color w:val="auto"/>
                <w:lang w:val="zh-CN" w:eastAsia="zh-CN"/>
              </w:rPr>
            </w:pPr>
          </w:p>
          <w:p w14:paraId="0C4598C1">
            <w:pPr>
              <w:pStyle w:val="22"/>
              <w:keepNext w:val="0"/>
              <w:keepLines w:val="0"/>
              <w:pageBreakBefore w:val="0"/>
              <w:widowControl w:val="0"/>
              <w:kinsoku/>
              <w:wordWrap/>
              <w:overflowPunct/>
              <w:topLinePunct w:val="0"/>
              <w:autoSpaceDE/>
              <w:autoSpaceDN/>
              <w:bidi w:val="0"/>
              <w:adjustRightInd/>
              <w:snapToGrid/>
              <w:textAlignment w:val="auto"/>
              <w:rPr>
                <w:rFonts w:hint="default"/>
                <w:color w:val="auto"/>
                <w:lang w:val="zh-CN" w:eastAsia="zh-CN"/>
              </w:rPr>
            </w:pPr>
          </w:p>
          <w:p w14:paraId="5E3A0027">
            <w:pPr>
              <w:pStyle w:val="22"/>
              <w:keepNext w:val="0"/>
              <w:keepLines w:val="0"/>
              <w:pageBreakBefore w:val="0"/>
              <w:widowControl w:val="0"/>
              <w:kinsoku/>
              <w:wordWrap/>
              <w:overflowPunct/>
              <w:topLinePunct w:val="0"/>
              <w:autoSpaceDE/>
              <w:autoSpaceDN/>
              <w:bidi w:val="0"/>
              <w:adjustRightInd/>
              <w:snapToGrid/>
              <w:textAlignment w:val="auto"/>
              <w:rPr>
                <w:rFonts w:hint="default"/>
                <w:color w:val="auto"/>
                <w:lang w:val="zh-CN" w:eastAsia="zh-CN"/>
              </w:rPr>
            </w:pPr>
          </w:p>
          <w:p w14:paraId="4CC28A22">
            <w:pPr>
              <w:pStyle w:val="22"/>
              <w:keepNext w:val="0"/>
              <w:keepLines w:val="0"/>
              <w:pageBreakBefore w:val="0"/>
              <w:widowControl w:val="0"/>
              <w:kinsoku/>
              <w:wordWrap/>
              <w:overflowPunct/>
              <w:topLinePunct w:val="0"/>
              <w:autoSpaceDE/>
              <w:autoSpaceDN/>
              <w:bidi w:val="0"/>
              <w:adjustRightInd/>
              <w:snapToGrid/>
              <w:textAlignment w:val="auto"/>
              <w:rPr>
                <w:rFonts w:hint="default"/>
                <w:color w:val="auto"/>
                <w:lang w:val="zh-CN" w:eastAsia="zh-CN"/>
              </w:rPr>
            </w:pPr>
          </w:p>
          <w:p w14:paraId="29B6A462">
            <w:pPr>
              <w:pStyle w:val="22"/>
              <w:keepNext w:val="0"/>
              <w:keepLines w:val="0"/>
              <w:pageBreakBefore w:val="0"/>
              <w:widowControl w:val="0"/>
              <w:kinsoku/>
              <w:wordWrap/>
              <w:overflowPunct/>
              <w:topLinePunct w:val="0"/>
              <w:autoSpaceDE/>
              <w:autoSpaceDN/>
              <w:bidi w:val="0"/>
              <w:adjustRightInd/>
              <w:snapToGrid/>
              <w:textAlignment w:val="auto"/>
              <w:rPr>
                <w:rFonts w:hint="default"/>
                <w:color w:val="auto"/>
                <w:lang w:val="zh-CN" w:eastAsia="zh-CN"/>
              </w:rPr>
            </w:pPr>
          </w:p>
          <w:p w14:paraId="6F77367E">
            <w:pPr>
              <w:adjustRightInd w:val="0"/>
              <w:snapToGrid w:val="0"/>
              <w:rPr>
                <w:rFonts w:ascii="宋体" w:hAnsi="宋体" w:cs="宋体"/>
                <w:bCs/>
                <w:color w:val="auto"/>
                <w:spacing w:val="10"/>
                <w:szCs w:val="21"/>
              </w:rPr>
            </w:pPr>
          </w:p>
        </w:tc>
      </w:tr>
    </w:tbl>
    <w:p w14:paraId="0F4913EB">
      <w:pPr>
        <w:rPr>
          <w:color w:val="auto"/>
        </w:rPr>
        <w:sectPr>
          <w:pgSz w:w="11907" w:h="16840"/>
          <w:pgMar w:top="1440" w:right="1797" w:bottom="1440" w:left="1797" w:header="851" w:footer="1077" w:gutter="0"/>
          <w:pgBorders>
            <w:top w:val="none" w:sz="0" w:space="0"/>
            <w:left w:val="none" w:sz="0" w:space="0"/>
            <w:bottom w:val="none" w:sz="0" w:space="0"/>
            <w:right w:val="none" w:sz="0" w:space="0"/>
          </w:pgBorders>
          <w:pgNumType w:fmt="decimal"/>
          <w:cols w:space="720" w:num="1"/>
          <w:docGrid w:linePitch="312" w:charSpace="0"/>
        </w:sectPr>
      </w:pPr>
    </w:p>
    <w:p w14:paraId="5B7F5408">
      <w:pPr>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六、生态环境保护措施监督检查清单</w:t>
      </w:r>
    </w:p>
    <w:tbl>
      <w:tblPr>
        <w:tblStyle w:val="15"/>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53"/>
        <w:gridCol w:w="2543"/>
        <w:gridCol w:w="1898"/>
        <w:gridCol w:w="1845"/>
        <w:gridCol w:w="1621"/>
      </w:tblGrid>
      <w:tr w14:paraId="555D48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restart"/>
            <w:tcBorders>
              <w:tl2br w:val="single" w:color="auto" w:sz="4" w:space="0"/>
            </w:tcBorders>
            <w:noWrap w:val="0"/>
            <w:vAlign w:val="top"/>
          </w:tcPr>
          <w:p w14:paraId="64856CFA">
            <w:pPr>
              <w:adjustRightInd w:val="0"/>
              <w:snapToGrid w:val="0"/>
              <w:spacing w:before="72" w:beforeLines="30" w:beforeAutospacing="0" w:after="0" w:afterAutospacing="0"/>
              <w:jc w:val="center"/>
              <w:outlineLvl w:val="0"/>
              <w:rPr>
                <w:rFonts w:hint="default" w:ascii="Times New Roman" w:hAnsi="Times New Roman" w:eastAsia="黑体" w:cs="Times New Roman"/>
                <w:color w:val="auto"/>
                <w:kern w:val="2"/>
                <w:sz w:val="21"/>
                <w:szCs w:val="21"/>
              </w:rPr>
            </w:pPr>
            <w:r>
              <w:rPr>
                <w:rFonts w:hint="default" w:ascii="Times New Roman" w:hAnsi="Times New Roman" w:eastAsia="黑体" w:cs="Times New Roman"/>
                <w:color w:val="auto"/>
                <w:kern w:val="2"/>
                <w:sz w:val="21"/>
                <w:szCs w:val="21"/>
              </w:rPr>
              <w:t>内容</w:t>
            </w:r>
          </w:p>
          <w:p w14:paraId="6D621C97">
            <w:pPr>
              <w:adjustRightInd w:val="0"/>
              <w:snapToGrid w:val="0"/>
              <w:spacing w:before="0" w:beforeAutospacing="0" w:after="0" w:afterAutospacing="0" w:line="14" w:lineRule="auto"/>
              <w:outlineLvl w:val="0"/>
              <w:rPr>
                <w:rFonts w:hint="default" w:ascii="Times New Roman" w:hAnsi="Times New Roman" w:eastAsia="黑体" w:cs="Times New Roman"/>
                <w:color w:val="auto"/>
                <w:kern w:val="2"/>
                <w:sz w:val="135"/>
                <w:szCs w:val="21"/>
                <w:lang w:eastAsia="zh-CN"/>
              </w:rPr>
            </w:pPr>
          </w:p>
          <w:p w14:paraId="1110036B">
            <w:pPr>
              <w:adjustRightInd w:val="0"/>
              <w:snapToGrid w:val="0"/>
              <w:spacing w:before="0" w:beforeAutospacing="0" w:after="0" w:afterAutospacing="0"/>
              <w:outlineLvl w:val="0"/>
              <w:rPr>
                <w:rFonts w:hint="default" w:ascii="Times New Roman" w:hAnsi="Times New Roman" w:eastAsia="黑体" w:cs="Times New Roman"/>
                <w:color w:val="auto"/>
                <w:kern w:val="2"/>
                <w:sz w:val="21"/>
                <w:szCs w:val="21"/>
              </w:rPr>
            </w:pPr>
            <w:r>
              <w:rPr>
                <w:rFonts w:hint="default" w:ascii="Times New Roman" w:hAnsi="Times New Roman" w:eastAsia="黑体" w:cs="Times New Roman"/>
                <w:color w:val="auto"/>
                <w:kern w:val="2"/>
                <w:sz w:val="21"/>
                <w:szCs w:val="21"/>
              </w:rPr>
              <w:t>要素</w:t>
            </w:r>
          </w:p>
        </w:tc>
        <w:tc>
          <w:tcPr>
            <w:tcW w:w="2450" w:type="pct"/>
            <w:gridSpan w:val="2"/>
            <w:noWrap w:val="0"/>
            <w:vAlign w:val="center"/>
          </w:tcPr>
          <w:p w14:paraId="5B9DEADA">
            <w:pPr>
              <w:adjustRightInd w:val="0"/>
              <w:snapToGrid w:val="0"/>
              <w:spacing w:before="0" w:beforeAutospacing="0" w:after="0" w:afterAutospacing="0"/>
              <w:jc w:val="center"/>
              <w:outlineLvl w:val="0"/>
              <w:rPr>
                <w:rFonts w:hint="default" w:ascii="Times New Roman" w:hAnsi="Times New Roman" w:eastAsia="黑体" w:cs="Times New Roman"/>
                <w:color w:val="auto"/>
                <w:kern w:val="2"/>
                <w:sz w:val="21"/>
                <w:szCs w:val="21"/>
              </w:rPr>
            </w:pPr>
            <w:r>
              <w:rPr>
                <w:rFonts w:hint="default" w:ascii="Times New Roman" w:hAnsi="Times New Roman" w:eastAsia="黑体" w:cs="Times New Roman"/>
                <w:color w:val="auto"/>
                <w:kern w:val="2"/>
                <w:sz w:val="21"/>
                <w:szCs w:val="21"/>
              </w:rPr>
              <w:t>施工期</w:t>
            </w:r>
          </w:p>
        </w:tc>
        <w:tc>
          <w:tcPr>
            <w:tcW w:w="1912" w:type="pct"/>
            <w:gridSpan w:val="2"/>
            <w:noWrap w:val="0"/>
            <w:vAlign w:val="center"/>
          </w:tcPr>
          <w:p w14:paraId="2490EDFB">
            <w:pPr>
              <w:adjustRightInd w:val="0"/>
              <w:snapToGrid w:val="0"/>
              <w:spacing w:before="0" w:beforeAutospacing="0" w:after="0" w:afterAutospacing="0"/>
              <w:jc w:val="center"/>
              <w:outlineLvl w:val="0"/>
              <w:rPr>
                <w:rFonts w:hint="default" w:ascii="Times New Roman" w:hAnsi="Times New Roman" w:eastAsia="黑体" w:cs="Times New Roman"/>
                <w:color w:val="auto"/>
                <w:kern w:val="2"/>
                <w:sz w:val="21"/>
                <w:szCs w:val="21"/>
              </w:rPr>
            </w:pPr>
            <w:r>
              <w:rPr>
                <w:rFonts w:hint="default" w:ascii="Times New Roman" w:hAnsi="Times New Roman" w:eastAsia="黑体" w:cs="Times New Roman"/>
                <w:color w:val="auto"/>
                <w:kern w:val="2"/>
                <w:sz w:val="21"/>
                <w:szCs w:val="21"/>
              </w:rPr>
              <w:t>运营期</w:t>
            </w:r>
          </w:p>
        </w:tc>
      </w:tr>
      <w:tr w14:paraId="680F6C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continue"/>
            <w:noWrap w:val="0"/>
            <w:vAlign w:val="top"/>
          </w:tcPr>
          <w:p w14:paraId="76EA3F21">
            <w:pPr>
              <w:adjustRightInd w:val="0"/>
              <w:snapToGrid w:val="0"/>
              <w:spacing w:before="0" w:beforeAutospacing="0" w:after="0" w:afterAutospacing="0"/>
              <w:ind w:firstLine="840"/>
              <w:jc w:val="center"/>
              <w:outlineLvl w:val="0"/>
              <w:rPr>
                <w:rFonts w:hint="default" w:ascii="Times New Roman" w:hAnsi="Times New Roman" w:eastAsia="黑体" w:cs="Times New Roman"/>
                <w:color w:val="auto"/>
                <w:kern w:val="2"/>
                <w:sz w:val="21"/>
                <w:szCs w:val="21"/>
              </w:rPr>
            </w:pPr>
          </w:p>
        </w:tc>
        <w:tc>
          <w:tcPr>
            <w:tcW w:w="1403" w:type="pct"/>
            <w:noWrap w:val="0"/>
            <w:vAlign w:val="center"/>
          </w:tcPr>
          <w:p w14:paraId="3570C1DD">
            <w:pPr>
              <w:adjustRightInd w:val="0"/>
              <w:snapToGrid w:val="0"/>
              <w:spacing w:before="0" w:beforeAutospacing="0" w:after="0" w:afterAutospacing="0"/>
              <w:jc w:val="center"/>
              <w:outlineLvl w:val="0"/>
              <w:rPr>
                <w:rFonts w:hint="default" w:ascii="Times New Roman" w:hAnsi="Times New Roman" w:eastAsia="黑体" w:cs="Times New Roman"/>
                <w:color w:val="auto"/>
                <w:kern w:val="2"/>
                <w:sz w:val="21"/>
                <w:szCs w:val="21"/>
              </w:rPr>
            </w:pPr>
            <w:r>
              <w:rPr>
                <w:rFonts w:hint="default" w:ascii="Times New Roman" w:hAnsi="Times New Roman" w:eastAsia="黑体" w:cs="Times New Roman"/>
                <w:color w:val="auto"/>
                <w:kern w:val="2"/>
                <w:sz w:val="21"/>
                <w:szCs w:val="21"/>
              </w:rPr>
              <w:t>环境保护措施</w:t>
            </w:r>
          </w:p>
        </w:tc>
        <w:tc>
          <w:tcPr>
            <w:tcW w:w="1047" w:type="pct"/>
            <w:noWrap w:val="0"/>
            <w:vAlign w:val="center"/>
          </w:tcPr>
          <w:p w14:paraId="002470FB">
            <w:pPr>
              <w:adjustRightInd w:val="0"/>
              <w:snapToGrid w:val="0"/>
              <w:spacing w:before="0" w:beforeAutospacing="0" w:after="0" w:afterAutospacing="0"/>
              <w:jc w:val="center"/>
              <w:outlineLvl w:val="0"/>
              <w:rPr>
                <w:rFonts w:hint="default" w:ascii="Times New Roman" w:hAnsi="Times New Roman" w:eastAsia="黑体" w:cs="Times New Roman"/>
                <w:color w:val="auto"/>
                <w:kern w:val="2"/>
                <w:sz w:val="21"/>
                <w:szCs w:val="21"/>
              </w:rPr>
            </w:pPr>
            <w:r>
              <w:rPr>
                <w:rFonts w:hint="default" w:ascii="Times New Roman" w:hAnsi="Times New Roman" w:eastAsia="黑体" w:cs="Times New Roman"/>
                <w:color w:val="auto"/>
                <w:kern w:val="2"/>
                <w:sz w:val="21"/>
                <w:szCs w:val="21"/>
              </w:rPr>
              <w:t>验收要求</w:t>
            </w:r>
          </w:p>
        </w:tc>
        <w:tc>
          <w:tcPr>
            <w:tcW w:w="1018" w:type="pct"/>
            <w:noWrap w:val="0"/>
            <w:vAlign w:val="center"/>
          </w:tcPr>
          <w:p w14:paraId="5D85D164">
            <w:pPr>
              <w:adjustRightInd w:val="0"/>
              <w:snapToGrid w:val="0"/>
              <w:spacing w:before="0" w:beforeAutospacing="0" w:after="0" w:afterAutospacing="0"/>
              <w:jc w:val="center"/>
              <w:outlineLvl w:val="0"/>
              <w:rPr>
                <w:rFonts w:hint="default" w:ascii="Times New Roman" w:hAnsi="Times New Roman" w:eastAsia="黑体" w:cs="Times New Roman"/>
                <w:color w:val="auto"/>
                <w:kern w:val="2"/>
                <w:sz w:val="21"/>
                <w:szCs w:val="21"/>
              </w:rPr>
            </w:pPr>
            <w:r>
              <w:rPr>
                <w:rFonts w:hint="default" w:ascii="Times New Roman" w:hAnsi="Times New Roman" w:eastAsia="黑体" w:cs="Times New Roman"/>
                <w:color w:val="auto"/>
                <w:kern w:val="2"/>
                <w:sz w:val="21"/>
                <w:szCs w:val="21"/>
              </w:rPr>
              <w:t>环境保护措施</w:t>
            </w:r>
          </w:p>
        </w:tc>
        <w:tc>
          <w:tcPr>
            <w:tcW w:w="894" w:type="pct"/>
            <w:noWrap w:val="0"/>
            <w:vAlign w:val="center"/>
          </w:tcPr>
          <w:p w14:paraId="0CAA3309">
            <w:pPr>
              <w:adjustRightInd w:val="0"/>
              <w:snapToGrid w:val="0"/>
              <w:spacing w:before="0" w:beforeAutospacing="0" w:after="0" w:afterAutospacing="0"/>
              <w:jc w:val="center"/>
              <w:outlineLvl w:val="0"/>
              <w:rPr>
                <w:rFonts w:hint="default" w:ascii="Times New Roman" w:hAnsi="Times New Roman" w:eastAsia="黑体" w:cs="Times New Roman"/>
                <w:color w:val="auto"/>
                <w:kern w:val="2"/>
                <w:sz w:val="21"/>
                <w:szCs w:val="21"/>
              </w:rPr>
            </w:pPr>
            <w:r>
              <w:rPr>
                <w:rFonts w:hint="default" w:ascii="Times New Roman" w:hAnsi="Times New Roman" w:eastAsia="黑体" w:cs="Times New Roman"/>
                <w:color w:val="auto"/>
                <w:kern w:val="2"/>
                <w:sz w:val="21"/>
                <w:szCs w:val="21"/>
              </w:rPr>
              <w:t>验收要求</w:t>
            </w:r>
          </w:p>
        </w:tc>
      </w:tr>
      <w:tr w14:paraId="447921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noWrap w:val="0"/>
            <w:vAlign w:val="center"/>
          </w:tcPr>
          <w:p w14:paraId="4D064F75">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陆生生态</w:t>
            </w:r>
          </w:p>
        </w:tc>
        <w:tc>
          <w:tcPr>
            <w:tcW w:w="1403" w:type="pct"/>
            <w:noWrap w:val="0"/>
            <w:vAlign w:val="center"/>
          </w:tcPr>
          <w:p w14:paraId="41328C79">
            <w:pPr>
              <w:adjustRightInd w:val="0"/>
              <w:snapToGrid w:val="0"/>
              <w:jc w:val="both"/>
              <w:rPr>
                <w:rFonts w:hint="default" w:ascii="Times New Roman" w:hAnsi="Times New Roman" w:cs="Times New Roman"/>
                <w:color w:val="auto"/>
                <w:szCs w:val="21"/>
              </w:rPr>
            </w:pPr>
            <w:r>
              <w:rPr>
                <w:rFonts w:hint="default" w:ascii="Times New Roman" w:hAnsi="Times New Roman" w:cs="Times New Roman"/>
                <w:color w:val="auto"/>
                <w:szCs w:val="21"/>
              </w:rPr>
              <w:t>控制施工带宽度，减少对施工</w:t>
            </w:r>
            <w:r>
              <w:rPr>
                <w:rFonts w:hint="eastAsia" w:cs="Times New Roman"/>
                <w:color w:val="auto"/>
                <w:szCs w:val="21"/>
                <w:lang w:eastAsia="zh-CN"/>
              </w:rPr>
              <w:t>作业</w:t>
            </w:r>
            <w:r>
              <w:rPr>
                <w:rFonts w:hint="default" w:ascii="Times New Roman" w:hAnsi="Times New Roman" w:cs="Times New Roman"/>
                <w:color w:val="auto"/>
                <w:szCs w:val="21"/>
              </w:rPr>
              <w:t>带范围内植被的破坏；选择合理的运输路线合理安排施工进度，要尽量避开雨季施工；提高工程施工效率，缩短施工时间，同时采取边铺设管道边分层覆土的措施，减少裸地的暴露时间；分段作业，分层开挖、分层回填；施工结束后，凡受到施工车辆、机械破坏的地方都要及时修整，恢复原貌</w:t>
            </w:r>
          </w:p>
        </w:tc>
        <w:tc>
          <w:tcPr>
            <w:tcW w:w="1047" w:type="pct"/>
            <w:noWrap w:val="0"/>
            <w:vAlign w:val="center"/>
          </w:tcPr>
          <w:p w14:paraId="7B4639C5">
            <w:pPr>
              <w:adjustRightInd w:val="0"/>
              <w:snapToGrid w:val="0"/>
              <w:jc w:val="both"/>
              <w:rPr>
                <w:rFonts w:hint="default" w:ascii="Times New Roman" w:hAnsi="Times New Roman" w:cs="Times New Roman"/>
                <w:color w:val="auto"/>
                <w:szCs w:val="21"/>
              </w:rPr>
            </w:pPr>
            <w:r>
              <w:rPr>
                <w:rFonts w:hint="default" w:ascii="Times New Roman" w:hAnsi="Times New Roman" w:cs="Times New Roman"/>
                <w:color w:val="auto"/>
                <w:szCs w:val="21"/>
              </w:rPr>
              <w:t>施工结束后，井场恢复为绿地，管道沿线进行地面硬化，恢复原貌</w:t>
            </w:r>
          </w:p>
        </w:tc>
        <w:tc>
          <w:tcPr>
            <w:tcW w:w="1018" w:type="pct"/>
            <w:noWrap w:val="0"/>
            <w:vAlign w:val="center"/>
          </w:tcPr>
          <w:p w14:paraId="78C9C555">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894" w:type="pct"/>
            <w:noWrap w:val="0"/>
            <w:vAlign w:val="center"/>
          </w:tcPr>
          <w:p w14:paraId="29D281D1">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r>
      <w:tr w14:paraId="1A255F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noWrap w:val="0"/>
            <w:vAlign w:val="center"/>
          </w:tcPr>
          <w:p w14:paraId="4A747D21">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水生生态</w:t>
            </w:r>
          </w:p>
        </w:tc>
        <w:tc>
          <w:tcPr>
            <w:tcW w:w="1403" w:type="pct"/>
            <w:noWrap w:val="0"/>
            <w:vAlign w:val="center"/>
          </w:tcPr>
          <w:p w14:paraId="453F67D1">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1047" w:type="pct"/>
            <w:noWrap w:val="0"/>
            <w:vAlign w:val="center"/>
          </w:tcPr>
          <w:p w14:paraId="733B8567">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1018" w:type="pct"/>
            <w:noWrap w:val="0"/>
            <w:vAlign w:val="center"/>
          </w:tcPr>
          <w:p w14:paraId="6AD73371">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894" w:type="pct"/>
            <w:noWrap w:val="0"/>
            <w:vAlign w:val="center"/>
          </w:tcPr>
          <w:p w14:paraId="4EE48F2E">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r>
      <w:tr w14:paraId="344993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44" w:hRule="atLeast"/>
          <w:jc w:val="center"/>
        </w:trPr>
        <w:tc>
          <w:tcPr>
            <w:tcW w:w="636" w:type="pct"/>
            <w:vMerge w:val="restart"/>
            <w:noWrap w:val="0"/>
            <w:vAlign w:val="center"/>
          </w:tcPr>
          <w:p w14:paraId="45A0189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地表水环境</w:t>
            </w:r>
          </w:p>
        </w:tc>
        <w:tc>
          <w:tcPr>
            <w:tcW w:w="1403" w:type="pct"/>
            <w:noWrap w:val="0"/>
            <w:vAlign w:val="center"/>
          </w:tcPr>
          <w:p w14:paraId="33ED6F9A">
            <w:pPr>
              <w:adjustRightInd w:val="0"/>
              <w:snapToGrid w:val="0"/>
              <w:jc w:val="both"/>
              <w:rPr>
                <w:rFonts w:hint="default" w:ascii="Times New Roman" w:hAnsi="Times New Roman" w:eastAsia="宋体" w:cs="Times New Roman"/>
                <w:color w:val="auto"/>
                <w:szCs w:val="21"/>
                <w:lang w:val="en-US" w:eastAsia="en-US"/>
              </w:rPr>
            </w:pPr>
            <w:r>
              <w:rPr>
                <w:rFonts w:hint="default" w:ascii="Times New Roman" w:hAnsi="Times New Roman" w:eastAsia="宋体" w:cs="Times New Roman"/>
                <w:color w:val="auto"/>
                <w:szCs w:val="21"/>
              </w:rPr>
              <w:t>钻井废水：排入井场防渗泥浆罐用于配制泥浆，循环使用，钻井结束后与废弃泥浆一起固化处置，综合利用</w:t>
            </w:r>
          </w:p>
        </w:tc>
        <w:tc>
          <w:tcPr>
            <w:tcW w:w="1047" w:type="pct"/>
            <w:vMerge w:val="restart"/>
            <w:noWrap w:val="0"/>
            <w:vAlign w:val="center"/>
          </w:tcPr>
          <w:p w14:paraId="6BDF2257">
            <w:pPr>
              <w:adjustRightInd w:val="0"/>
              <w:snapToGrid w:val="0"/>
              <w:jc w:val="both"/>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合理处置，对地表水环境产生影响较小</w:t>
            </w:r>
          </w:p>
        </w:tc>
        <w:tc>
          <w:tcPr>
            <w:tcW w:w="1018" w:type="pct"/>
            <w:vMerge w:val="restart"/>
            <w:noWrap w:val="0"/>
            <w:vAlign w:val="center"/>
          </w:tcPr>
          <w:p w14:paraId="212FA5D0">
            <w:pPr>
              <w:adjustRightInd w:val="0"/>
              <w:snapToGrid w:val="0"/>
              <w:jc w:val="both"/>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rPr>
              <w:t>换热尾水：经回灌设备处理后全部回灌</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生活污水依托小区化粪池处理后，经市政污水管网排入西安净水处理有限责任公司第六再生水厂</w:t>
            </w:r>
            <w:r>
              <w:rPr>
                <w:rFonts w:hint="default" w:ascii="Times New Roman" w:hAnsi="Times New Roman" w:cs="Times New Roman"/>
                <w:color w:val="auto"/>
                <w:szCs w:val="21"/>
                <w:lang w:eastAsia="zh-CN"/>
              </w:rPr>
              <w:t>；软化浓水和反冲洗废水排入小区污水管网，经市政污水管网排入西安净水处理有限责任公司第六再生水厂</w:t>
            </w:r>
          </w:p>
        </w:tc>
        <w:tc>
          <w:tcPr>
            <w:tcW w:w="894" w:type="pct"/>
            <w:vMerge w:val="restart"/>
            <w:noWrap w:val="0"/>
            <w:vAlign w:val="center"/>
          </w:tcPr>
          <w:p w14:paraId="73C5B27A">
            <w:pPr>
              <w:adjustRightInd w:val="0"/>
              <w:snapToGrid w:val="0"/>
              <w:jc w:val="both"/>
              <w:rPr>
                <w:rFonts w:hint="default" w:ascii="Times New Roman" w:hAnsi="Times New Roman" w:cs="Times New Roman"/>
                <w:color w:val="auto"/>
                <w:szCs w:val="21"/>
              </w:rPr>
            </w:pPr>
            <w:r>
              <w:rPr>
                <w:rFonts w:hint="default" w:ascii="Times New Roman" w:hAnsi="Times New Roman" w:cs="Times New Roman"/>
                <w:color w:val="auto"/>
                <w:szCs w:val="21"/>
              </w:rPr>
              <w:t>合理处置，对地表水环境产生影响较小</w:t>
            </w:r>
          </w:p>
        </w:tc>
      </w:tr>
      <w:tr w14:paraId="0259BC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636" w:type="pct"/>
            <w:vMerge w:val="continue"/>
            <w:noWrap w:val="0"/>
            <w:vAlign w:val="center"/>
          </w:tcPr>
          <w:p w14:paraId="12CAEDFA">
            <w:pPr>
              <w:adjustRightInd w:val="0"/>
              <w:snapToGrid w:val="0"/>
              <w:jc w:val="center"/>
              <w:rPr>
                <w:rFonts w:hint="default" w:ascii="Times New Roman" w:hAnsi="Times New Roman" w:cs="Times New Roman"/>
                <w:color w:val="auto"/>
                <w:szCs w:val="21"/>
              </w:rPr>
            </w:pPr>
          </w:p>
        </w:tc>
        <w:tc>
          <w:tcPr>
            <w:tcW w:w="1403" w:type="pct"/>
            <w:noWrap w:val="0"/>
            <w:vAlign w:val="center"/>
          </w:tcPr>
          <w:p w14:paraId="6B7BE63E">
            <w:pPr>
              <w:adjustRightInd w:val="0"/>
              <w:snapToGrid w:val="0"/>
              <w:jc w:val="both"/>
              <w:rPr>
                <w:rFonts w:hint="default" w:ascii="Times New Roman" w:hAnsi="Times New Roman" w:eastAsia="宋体" w:cs="Times New Roman"/>
                <w:color w:val="auto"/>
                <w:szCs w:val="21"/>
                <w:lang w:val="en-US" w:eastAsia="en-US"/>
              </w:rPr>
            </w:pPr>
            <w:r>
              <w:rPr>
                <w:rFonts w:hint="default" w:ascii="Times New Roman" w:hAnsi="Times New Roman" w:eastAsia="宋体" w:cs="Times New Roman"/>
                <w:color w:val="auto"/>
                <w:szCs w:val="21"/>
              </w:rPr>
              <w:t>抽水试验废水：</w:t>
            </w:r>
            <w:r>
              <w:rPr>
                <w:rFonts w:hint="eastAsia"/>
                <w:color w:val="auto"/>
                <w:lang w:val="en-US" w:eastAsia="zh-CN"/>
              </w:rPr>
              <w:t>在罐池中储存，</w:t>
            </w:r>
            <w:r>
              <w:rPr>
                <w:rFonts w:hint="eastAsia"/>
                <w:color w:val="auto"/>
              </w:rPr>
              <w:t>温</w:t>
            </w:r>
            <w:r>
              <w:rPr>
                <w:rFonts w:hint="eastAsia"/>
                <w:color w:val="auto"/>
                <w:lang w:eastAsia="zh-CN"/>
              </w:rPr>
              <w:t>降</w:t>
            </w:r>
            <w:r>
              <w:rPr>
                <w:rFonts w:hint="eastAsia"/>
                <w:color w:val="auto"/>
                <w:lang w:val="en-US" w:eastAsia="zh-CN"/>
              </w:rPr>
              <w:t>后专业公司转运处置</w:t>
            </w:r>
          </w:p>
        </w:tc>
        <w:tc>
          <w:tcPr>
            <w:tcW w:w="1047" w:type="pct"/>
            <w:vMerge w:val="continue"/>
            <w:noWrap w:val="0"/>
            <w:vAlign w:val="center"/>
          </w:tcPr>
          <w:p w14:paraId="40A7D214">
            <w:pPr>
              <w:adjustRightInd w:val="0"/>
              <w:snapToGrid w:val="0"/>
              <w:jc w:val="both"/>
              <w:rPr>
                <w:rFonts w:hint="default" w:ascii="Times New Roman" w:hAnsi="Times New Roman" w:eastAsia="宋体" w:cs="Times New Roman"/>
                <w:color w:val="auto"/>
                <w:szCs w:val="21"/>
              </w:rPr>
            </w:pPr>
          </w:p>
        </w:tc>
        <w:tc>
          <w:tcPr>
            <w:tcW w:w="1018" w:type="pct"/>
            <w:vMerge w:val="continue"/>
            <w:noWrap w:val="0"/>
            <w:vAlign w:val="center"/>
          </w:tcPr>
          <w:p w14:paraId="27B6E110">
            <w:pPr>
              <w:adjustRightInd w:val="0"/>
              <w:snapToGrid w:val="0"/>
              <w:jc w:val="both"/>
              <w:rPr>
                <w:rFonts w:hint="default" w:ascii="Times New Roman" w:hAnsi="Times New Roman" w:cs="Times New Roman"/>
                <w:color w:val="auto"/>
                <w:szCs w:val="21"/>
              </w:rPr>
            </w:pPr>
          </w:p>
        </w:tc>
        <w:tc>
          <w:tcPr>
            <w:tcW w:w="894" w:type="pct"/>
            <w:vMerge w:val="continue"/>
            <w:noWrap w:val="0"/>
            <w:vAlign w:val="center"/>
          </w:tcPr>
          <w:p w14:paraId="0714DE9A">
            <w:pPr>
              <w:adjustRightInd w:val="0"/>
              <w:snapToGrid w:val="0"/>
              <w:jc w:val="both"/>
              <w:rPr>
                <w:rFonts w:hint="default" w:ascii="Times New Roman" w:hAnsi="Times New Roman" w:cs="Times New Roman"/>
                <w:color w:val="auto"/>
                <w:szCs w:val="21"/>
              </w:rPr>
            </w:pPr>
          </w:p>
        </w:tc>
      </w:tr>
      <w:tr w14:paraId="27E85B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continue"/>
            <w:noWrap w:val="0"/>
            <w:vAlign w:val="center"/>
          </w:tcPr>
          <w:p w14:paraId="1322D1FA">
            <w:pPr>
              <w:adjustRightInd w:val="0"/>
              <w:snapToGrid w:val="0"/>
              <w:jc w:val="center"/>
              <w:rPr>
                <w:rFonts w:hint="default" w:ascii="Times New Roman" w:hAnsi="Times New Roman" w:cs="Times New Roman"/>
                <w:color w:val="auto"/>
                <w:szCs w:val="21"/>
              </w:rPr>
            </w:pPr>
          </w:p>
        </w:tc>
        <w:tc>
          <w:tcPr>
            <w:tcW w:w="1403" w:type="pct"/>
            <w:noWrap w:val="0"/>
            <w:vAlign w:val="center"/>
          </w:tcPr>
          <w:p w14:paraId="0270047C">
            <w:pPr>
              <w:adjustRightInd w:val="0"/>
              <w:snapToGrid w:val="0"/>
              <w:jc w:val="both"/>
              <w:rPr>
                <w:rFonts w:hint="default" w:ascii="Times New Roman" w:hAnsi="Times New Roman" w:eastAsia="宋体" w:cs="Times New Roman"/>
                <w:color w:val="auto"/>
                <w:szCs w:val="21"/>
                <w:lang w:val="en-US" w:eastAsia="en-US"/>
              </w:rPr>
            </w:pPr>
            <w:r>
              <w:rPr>
                <w:rFonts w:hint="default" w:ascii="Times New Roman" w:hAnsi="Times New Roman" w:eastAsia="宋体" w:cs="Times New Roman"/>
                <w:color w:val="auto"/>
                <w:szCs w:val="21"/>
              </w:rPr>
              <w:t>管道试压水：</w:t>
            </w:r>
            <w:r>
              <w:rPr>
                <w:rFonts w:hint="eastAsia"/>
                <w:color w:val="auto"/>
                <w:lang w:val="en-US" w:eastAsia="zh-CN"/>
              </w:rPr>
              <w:t>试压后回灌至回灌井</w:t>
            </w:r>
          </w:p>
        </w:tc>
        <w:tc>
          <w:tcPr>
            <w:tcW w:w="1047" w:type="pct"/>
            <w:vMerge w:val="continue"/>
            <w:noWrap w:val="0"/>
            <w:vAlign w:val="center"/>
          </w:tcPr>
          <w:p w14:paraId="3F4CDDD8">
            <w:pPr>
              <w:adjustRightInd w:val="0"/>
              <w:snapToGrid w:val="0"/>
              <w:jc w:val="both"/>
              <w:rPr>
                <w:rFonts w:hint="default" w:ascii="Times New Roman" w:hAnsi="Times New Roman" w:eastAsia="宋体" w:cs="Times New Roman"/>
                <w:color w:val="auto"/>
                <w:szCs w:val="21"/>
              </w:rPr>
            </w:pPr>
          </w:p>
        </w:tc>
        <w:tc>
          <w:tcPr>
            <w:tcW w:w="1018" w:type="pct"/>
            <w:vMerge w:val="continue"/>
            <w:noWrap w:val="0"/>
            <w:vAlign w:val="center"/>
          </w:tcPr>
          <w:p w14:paraId="66CA287D">
            <w:pPr>
              <w:adjustRightInd w:val="0"/>
              <w:snapToGrid w:val="0"/>
              <w:jc w:val="both"/>
              <w:rPr>
                <w:rFonts w:hint="default" w:ascii="Times New Roman" w:hAnsi="Times New Roman" w:cs="Times New Roman"/>
                <w:color w:val="auto"/>
                <w:szCs w:val="21"/>
              </w:rPr>
            </w:pPr>
          </w:p>
        </w:tc>
        <w:tc>
          <w:tcPr>
            <w:tcW w:w="894" w:type="pct"/>
            <w:vMerge w:val="continue"/>
            <w:noWrap w:val="0"/>
            <w:vAlign w:val="center"/>
          </w:tcPr>
          <w:p w14:paraId="30306C58">
            <w:pPr>
              <w:adjustRightInd w:val="0"/>
              <w:snapToGrid w:val="0"/>
              <w:jc w:val="both"/>
              <w:rPr>
                <w:rFonts w:hint="default" w:ascii="Times New Roman" w:hAnsi="Times New Roman" w:cs="Times New Roman"/>
                <w:color w:val="auto"/>
                <w:szCs w:val="21"/>
              </w:rPr>
            </w:pPr>
          </w:p>
        </w:tc>
      </w:tr>
      <w:tr w14:paraId="72CA54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continue"/>
            <w:noWrap w:val="0"/>
            <w:vAlign w:val="center"/>
          </w:tcPr>
          <w:p w14:paraId="0E72C1EC">
            <w:pPr>
              <w:adjustRightInd w:val="0"/>
              <w:snapToGrid w:val="0"/>
              <w:jc w:val="center"/>
              <w:rPr>
                <w:rFonts w:hint="default" w:ascii="Times New Roman" w:hAnsi="Times New Roman" w:cs="Times New Roman"/>
                <w:color w:val="auto"/>
                <w:szCs w:val="21"/>
              </w:rPr>
            </w:pPr>
          </w:p>
        </w:tc>
        <w:tc>
          <w:tcPr>
            <w:tcW w:w="1403" w:type="pct"/>
            <w:noWrap w:val="0"/>
            <w:vAlign w:val="center"/>
          </w:tcPr>
          <w:p w14:paraId="2FFD6AED">
            <w:pPr>
              <w:adjustRightInd w:val="0"/>
              <w:snapToGrid w:val="0"/>
              <w:jc w:val="both"/>
              <w:rPr>
                <w:rFonts w:hint="default" w:ascii="Times New Roman" w:hAnsi="Times New Roman" w:eastAsia="宋体" w:cs="Times New Roman"/>
                <w:color w:val="auto"/>
                <w:szCs w:val="21"/>
                <w:lang w:val="en-US" w:eastAsia="en-US"/>
              </w:rPr>
            </w:pPr>
            <w:r>
              <w:rPr>
                <w:rFonts w:hint="default" w:ascii="Times New Roman" w:hAnsi="Times New Roman" w:eastAsia="宋体" w:cs="Times New Roman"/>
                <w:color w:val="auto"/>
                <w:szCs w:val="21"/>
              </w:rPr>
              <w:t>施工人员生活污水：依托小区化粪池处理后进入西安净水处理有限责任公司第六再生水厂</w:t>
            </w:r>
          </w:p>
        </w:tc>
        <w:tc>
          <w:tcPr>
            <w:tcW w:w="1047" w:type="pct"/>
            <w:vMerge w:val="continue"/>
            <w:noWrap w:val="0"/>
            <w:vAlign w:val="center"/>
          </w:tcPr>
          <w:p w14:paraId="663B2403">
            <w:pPr>
              <w:adjustRightInd w:val="0"/>
              <w:snapToGrid w:val="0"/>
              <w:jc w:val="both"/>
              <w:rPr>
                <w:rFonts w:hint="default" w:ascii="Times New Roman" w:hAnsi="Times New Roman" w:eastAsia="宋体" w:cs="Times New Roman"/>
                <w:color w:val="auto"/>
                <w:szCs w:val="21"/>
              </w:rPr>
            </w:pPr>
          </w:p>
        </w:tc>
        <w:tc>
          <w:tcPr>
            <w:tcW w:w="1018" w:type="pct"/>
            <w:vMerge w:val="continue"/>
            <w:noWrap w:val="0"/>
            <w:vAlign w:val="center"/>
          </w:tcPr>
          <w:p w14:paraId="3A2DF7E5">
            <w:pPr>
              <w:adjustRightInd w:val="0"/>
              <w:snapToGrid w:val="0"/>
              <w:jc w:val="both"/>
              <w:rPr>
                <w:rFonts w:hint="default" w:ascii="Times New Roman" w:hAnsi="Times New Roman" w:cs="Times New Roman"/>
                <w:color w:val="auto"/>
                <w:szCs w:val="21"/>
              </w:rPr>
            </w:pPr>
          </w:p>
        </w:tc>
        <w:tc>
          <w:tcPr>
            <w:tcW w:w="894" w:type="pct"/>
            <w:vMerge w:val="continue"/>
            <w:noWrap w:val="0"/>
            <w:vAlign w:val="center"/>
          </w:tcPr>
          <w:p w14:paraId="63DE4B37">
            <w:pPr>
              <w:adjustRightInd w:val="0"/>
              <w:snapToGrid w:val="0"/>
              <w:jc w:val="both"/>
              <w:rPr>
                <w:rFonts w:hint="default" w:ascii="Times New Roman" w:hAnsi="Times New Roman" w:cs="Times New Roman"/>
                <w:color w:val="auto"/>
                <w:szCs w:val="21"/>
              </w:rPr>
            </w:pPr>
          </w:p>
        </w:tc>
      </w:tr>
      <w:tr w14:paraId="71ADB3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noWrap w:val="0"/>
            <w:vAlign w:val="center"/>
          </w:tcPr>
          <w:p w14:paraId="1B8B04D6">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地下水及土壤环境</w:t>
            </w:r>
          </w:p>
        </w:tc>
        <w:tc>
          <w:tcPr>
            <w:tcW w:w="1403" w:type="pct"/>
            <w:noWrap w:val="0"/>
            <w:vAlign w:val="center"/>
          </w:tcPr>
          <w:p w14:paraId="374860A2">
            <w:pPr>
              <w:adjustRightInd w:val="0"/>
              <w:snapToGrid w:val="0"/>
              <w:jc w:val="both"/>
              <w:rPr>
                <w:rFonts w:hint="default" w:ascii="Times New Roman" w:hAnsi="Times New Roman" w:cs="Times New Roman"/>
                <w:color w:val="auto"/>
                <w:szCs w:val="21"/>
              </w:rPr>
            </w:pPr>
            <w:r>
              <w:rPr>
                <w:rFonts w:hint="default" w:ascii="Times New Roman" w:hAnsi="Times New Roman" w:cs="Times New Roman"/>
                <w:color w:val="auto"/>
                <w:szCs w:val="21"/>
              </w:rPr>
              <w:t>对回灌层段、泵室管与技术管间进行有效的止水，同时在新近系与第四系地层间进行止水，以防止管外上下地层连通而造成地下水污染</w:t>
            </w:r>
          </w:p>
        </w:tc>
        <w:tc>
          <w:tcPr>
            <w:tcW w:w="1047" w:type="pct"/>
            <w:noWrap w:val="0"/>
            <w:vAlign w:val="center"/>
          </w:tcPr>
          <w:p w14:paraId="0EE226B1">
            <w:pPr>
              <w:adjustRightInd w:val="0"/>
              <w:snapToGrid w:val="0"/>
              <w:jc w:val="both"/>
              <w:rPr>
                <w:rFonts w:hint="default" w:ascii="Times New Roman" w:hAnsi="Times New Roman" w:cs="Times New Roman"/>
                <w:color w:val="auto"/>
                <w:szCs w:val="21"/>
              </w:rPr>
            </w:pPr>
            <w:r>
              <w:rPr>
                <w:rFonts w:hint="default" w:ascii="Times New Roman" w:hAnsi="Times New Roman" w:cs="Times New Roman"/>
                <w:color w:val="auto"/>
                <w:szCs w:val="21"/>
              </w:rPr>
              <w:t>合理处置，对地下水及土壤环境产生影响较小</w:t>
            </w:r>
          </w:p>
        </w:tc>
        <w:tc>
          <w:tcPr>
            <w:tcW w:w="1018" w:type="pct"/>
            <w:noWrap w:val="0"/>
            <w:vAlign w:val="center"/>
          </w:tcPr>
          <w:p w14:paraId="7572DC65">
            <w:pPr>
              <w:adjustRightInd w:val="0"/>
              <w:snapToGrid w:val="0"/>
              <w:jc w:val="both"/>
              <w:rPr>
                <w:rFonts w:hint="default" w:ascii="Times New Roman" w:hAnsi="Times New Roman" w:cs="Times New Roman"/>
                <w:color w:val="auto"/>
                <w:szCs w:val="21"/>
              </w:rPr>
            </w:pPr>
            <w:r>
              <w:rPr>
                <w:rFonts w:hint="default" w:ascii="Times New Roman" w:hAnsi="Times New Roman" w:cs="Times New Roman"/>
                <w:color w:val="auto"/>
                <w:szCs w:val="21"/>
              </w:rPr>
              <w:t>成井过程中将采取井壁防渗防垮塌、水泥固井和止水技术。井口设流量计，若出现跑、冒、滴、漏可及时发现，并采取措施及时止漏</w:t>
            </w:r>
          </w:p>
        </w:tc>
        <w:tc>
          <w:tcPr>
            <w:tcW w:w="894" w:type="pct"/>
            <w:noWrap w:val="0"/>
            <w:vAlign w:val="center"/>
          </w:tcPr>
          <w:p w14:paraId="0902C67E">
            <w:pPr>
              <w:adjustRightInd w:val="0"/>
              <w:snapToGrid w:val="0"/>
              <w:jc w:val="both"/>
              <w:rPr>
                <w:rFonts w:hint="default" w:ascii="Times New Roman" w:hAnsi="Times New Roman" w:cs="Times New Roman"/>
                <w:color w:val="auto"/>
                <w:szCs w:val="21"/>
              </w:rPr>
            </w:pPr>
            <w:r>
              <w:rPr>
                <w:rFonts w:hint="default" w:ascii="Times New Roman" w:hAnsi="Times New Roman" w:cs="Times New Roman"/>
                <w:color w:val="auto"/>
                <w:szCs w:val="21"/>
              </w:rPr>
              <w:t>合理处置，对地下水及土壤环境产生影响较小</w:t>
            </w:r>
          </w:p>
        </w:tc>
      </w:tr>
      <w:tr w14:paraId="082D83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noWrap w:val="0"/>
            <w:vAlign w:val="center"/>
          </w:tcPr>
          <w:p w14:paraId="27D7EEEE">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声环境</w:t>
            </w:r>
          </w:p>
        </w:tc>
        <w:tc>
          <w:tcPr>
            <w:tcW w:w="1403" w:type="pct"/>
            <w:noWrap w:val="0"/>
            <w:vAlign w:val="center"/>
          </w:tcPr>
          <w:p w14:paraId="314623D0">
            <w:pPr>
              <w:adjustRightInd w:val="0"/>
              <w:snapToGrid w:val="0"/>
              <w:jc w:val="both"/>
              <w:rPr>
                <w:rFonts w:hint="default" w:ascii="Times New Roman" w:hAnsi="Times New Roman" w:cs="Times New Roman"/>
                <w:color w:val="auto"/>
                <w:szCs w:val="21"/>
              </w:rPr>
            </w:pPr>
            <w:r>
              <w:rPr>
                <w:rFonts w:hint="default" w:ascii="Times New Roman" w:hAnsi="Times New Roman" w:cs="Times New Roman"/>
                <w:color w:val="auto"/>
                <w:szCs w:val="21"/>
              </w:rPr>
              <w:t>合理布局、尽量远离居民区；选用低噪声设备，加强设备维护保养；井场施工设围挡、隔声屏。夜间施工需取得相关手续</w:t>
            </w:r>
          </w:p>
        </w:tc>
        <w:tc>
          <w:tcPr>
            <w:tcW w:w="1047" w:type="pct"/>
            <w:noWrap w:val="0"/>
            <w:vAlign w:val="center"/>
          </w:tcPr>
          <w:p w14:paraId="02952B9A">
            <w:pPr>
              <w:adjustRightInd w:val="0"/>
              <w:snapToGrid w:val="0"/>
              <w:jc w:val="both"/>
              <w:rPr>
                <w:rFonts w:hint="default" w:ascii="Times New Roman" w:hAnsi="Times New Roman" w:cs="Times New Roman"/>
                <w:color w:val="auto"/>
                <w:szCs w:val="21"/>
              </w:rPr>
            </w:pPr>
            <w:r>
              <w:rPr>
                <w:rFonts w:hint="default" w:ascii="Times New Roman" w:hAnsi="Times New Roman" w:cs="Times New Roman"/>
                <w:color w:val="auto"/>
                <w:szCs w:val="21"/>
              </w:rPr>
              <w:t>《建筑施工场界环境噪声排放标准》（GB12523-2011）</w:t>
            </w:r>
          </w:p>
        </w:tc>
        <w:tc>
          <w:tcPr>
            <w:tcW w:w="1018" w:type="pct"/>
            <w:noWrap w:val="0"/>
            <w:vAlign w:val="center"/>
          </w:tcPr>
          <w:p w14:paraId="6606B0EF">
            <w:pPr>
              <w:adjustRightInd w:val="0"/>
              <w:snapToGrid w:val="0"/>
              <w:jc w:val="both"/>
              <w:rPr>
                <w:rFonts w:hint="default" w:ascii="Times New Roman" w:hAnsi="Times New Roman" w:cs="Times New Roman"/>
                <w:color w:val="auto"/>
                <w:szCs w:val="21"/>
              </w:rPr>
            </w:pPr>
            <w:r>
              <w:rPr>
                <w:rFonts w:hint="default" w:ascii="Times New Roman" w:hAnsi="Times New Roman" w:cs="Times New Roman"/>
                <w:color w:val="auto"/>
                <w:szCs w:val="21"/>
              </w:rPr>
              <w:t>泵体噪声：选用低噪声设备，泵体软连接，站内放置</w:t>
            </w:r>
          </w:p>
        </w:tc>
        <w:tc>
          <w:tcPr>
            <w:tcW w:w="894" w:type="pct"/>
            <w:noWrap w:val="0"/>
            <w:vAlign w:val="center"/>
          </w:tcPr>
          <w:p w14:paraId="5B6AAD7F">
            <w:pPr>
              <w:adjustRightInd w:val="0"/>
              <w:snapToGrid w:val="0"/>
              <w:jc w:val="both"/>
              <w:rPr>
                <w:rFonts w:hint="default" w:ascii="Times New Roman" w:hAnsi="Times New Roman" w:cs="Times New Roman"/>
                <w:color w:val="auto"/>
                <w:szCs w:val="21"/>
              </w:rPr>
            </w:pPr>
            <w:r>
              <w:rPr>
                <w:rFonts w:hint="default" w:ascii="Times New Roman" w:hAnsi="Times New Roman" w:cs="Times New Roman"/>
                <w:color w:val="auto"/>
                <w:szCs w:val="21"/>
              </w:rPr>
              <w:t>《工业企业厂界环境噪声排放标准》（GB12348-2008）2类、4类标准，环境敏感点噪声达到《声环境质量标准GB3096-2008中2类标准》</w:t>
            </w:r>
          </w:p>
        </w:tc>
      </w:tr>
      <w:tr w14:paraId="4B4920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noWrap w:val="0"/>
            <w:vAlign w:val="center"/>
          </w:tcPr>
          <w:p w14:paraId="749535E3">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振动</w:t>
            </w:r>
          </w:p>
        </w:tc>
        <w:tc>
          <w:tcPr>
            <w:tcW w:w="1403" w:type="pct"/>
            <w:noWrap w:val="0"/>
            <w:vAlign w:val="center"/>
          </w:tcPr>
          <w:p w14:paraId="5D13484B">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1047" w:type="pct"/>
            <w:noWrap w:val="0"/>
            <w:vAlign w:val="center"/>
          </w:tcPr>
          <w:p w14:paraId="7CB5FEDD">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1018" w:type="pct"/>
            <w:noWrap w:val="0"/>
            <w:vAlign w:val="center"/>
          </w:tcPr>
          <w:p w14:paraId="6307F66F">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设备噪声：选用低振动设备，基础减振，</w:t>
            </w:r>
            <w:r>
              <w:rPr>
                <w:rFonts w:hint="default" w:ascii="Times New Roman" w:hAnsi="Times New Roman" w:eastAsia="宋体" w:cs="Times New Roman"/>
                <w:color w:val="auto"/>
                <w:szCs w:val="21"/>
                <w:lang w:val="en-US" w:eastAsia="zh-CN"/>
              </w:rPr>
              <w:t>软连接</w:t>
            </w:r>
          </w:p>
        </w:tc>
        <w:tc>
          <w:tcPr>
            <w:tcW w:w="894" w:type="pct"/>
            <w:noWrap w:val="0"/>
            <w:vAlign w:val="center"/>
          </w:tcPr>
          <w:p w14:paraId="6C4B1F46">
            <w:pPr>
              <w:adjustRightInd w:val="0"/>
              <w:snapToGrid w:val="0"/>
              <w:jc w:val="both"/>
              <w:rPr>
                <w:rFonts w:hint="default" w:ascii="Times New Roman" w:hAnsi="Times New Roman" w:eastAsia="宋体" w:cs="Times New Roman"/>
                <w:color w:val="auto"/>
                <w:szCs w:val="21"/>
                <w:lang w:val="en-US" w:eastAsia="en-US"/>
              </w:rPr>
            </w:pPr>
            <w:r>
              <w:rPr>
                <w:rFonts w:hint="default" w:ascii="Times New Roman" w:hAnsi="Times New Roman" w:eastAsia="宋体" w:cs="Times New Roman"/>
                <w:color w:val="auto"/>
                <w:szCs w:val="21"/>
              </w:rPr>
              <w:t>《城市区域环境振动标准》</w:t>
            </w:r>
            <w:r>
              <w:rPr>
                <w:rFonts w:hint="default"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rPr>
              <w:t>GB10070-88</w:t>
            </w:r>
            <w:r>
              <w:rPr>
                <w:rFonts w:hint="eastAsia" w:cs="Times New Roman"/>
                <w:color w:val="auto"/>
                <w:szCs w:val="21"/>
                <w:lang w:eastAsia="zh-CN"/>
              </w:rPr>
              <w:t>）</w:t>
            </w:r>
            <w:r>
              <w:rPr>
                <w:rFonts w:hint="default" w:ascii="Times New Roman" w:hAnsi="Times New Roman" w:eastAsia="宋体" w:cs="Times New Roman"/>
                <w:color w:val="auto"/>
                <w:szCs w:val="21"/>
              </w:rPr>
              <w:t>居民、文教区标准。</w:t>
            </w:r>
          </w:p>
        </w:tc>
      </w:tr>
      <w:tr w14:paraId="5BE760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restart"/>
            <w:noWrap w:val="0"/>
            <w:vAlign w:val="center"/>
          </w:tcPr>
          <w:p w14:paraId="7401C5CC">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大气环境</w:t>
            </w:r>
          </w:p>
        </w:tc>
        <w:tc>
          <w:tcPr>
            <w:tcW w:w="1403" w:type="pct"/>
            <w:noWrap w:val="0"/>
            <w:vAlign w:val="center"/>
          </w:tcPr>
          <w:p w14:paraId="2CDA11D4">
            <w:pPr>
              <w:adjustRightInd w:val="0"/>
              <w:snapToGrid w:val="0"/>
              <w:jc w:val="both"/>
              <w:rPr>
                <w:rFonts w:hint="default" w:ascii="Times New Roman" w:hAnsi="Times New Roman" w:eastAsia="宋体" w:cs="Times New Roman"/>
                <w:color w:val="auto"/>
                <w:szCs w:val="21"/>
                <w:lang w:val="en-US" w:eastAsia="en-US"/>
              </w:rPr>
            </w:pPr>
            <w:r>
              <w:rPr>
                <w:rFonts w:hint="default" w:ascii="Times New Roman" w:hAnsi="Times New Roman" w:eastAsia="宋体" w:cs="Times New Roman"/>
                <w:color w:val="auto"/>
                <w:szCs w:val="21"/>
              </w:rPr>
              <w:t>扬尘：制定专项方案，设施工工地标志牌，设围挡，临时土方覆盖并及时清理，大风天气停止作业</w:t>
            </w:r>
          </w:p>
        </w:tc>
        <w:tc>
          <w:tcPr>
            <w:tcW w:w="1047" w:type="pct"/>
            <w:noWrap w:val="0"/>
            <w:vAlign w:val="center"/>
          </w:tcPr>
          <w:p w14:paraId="709C5377">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《施工场界扬尘排放限值》</w:t>
            </w:r>
            <w:r>
              <w:rPr>
                <w:rFonts w:hint="default"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rPr>
              <w:t>DB61/1078-2017</w:t>
            </w:r>
            <w:r>
              <w:rPr>
                <w:rFonts w:hint="default" w:ascii="Times New Roman" w:hAnsi="Times New Roman" w:eastAsia="宋体" w:cs="Times New Roman"/>
                <w:color w:val="auto"/>
                <w:szCs w:val="21"/>
                <w:lang w:val="en-US" w:eastAsia="zh-CN"/>
              </w:rPr>
              <w:t>)</w:t>
            </w:r>
          </w:p>
        </w:tc>
        <w:tc>
          <w:tcPr>
            <w:tcW w:w="1018" w:type="pct"/>
            <w:noWrap w:val="0"/>
            <w:vAlign w:val="center"/>
          </w:tcPr>
          <w:p w14:paraId="2A3E30F2">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894" w:type="pct"/>
            <w:noWrap w:val="0"/>
            <w:vAlign w:val="center"/>
          </w:tcPr>
          <w:p w14:paraId="73321751">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r>
      <w:tr w14:paraId="416196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continue"/>
            <w:noWrap w:val="0"/>
            <w:vAlign w:val="center"/>
          </w:tcPr>
          <w:p w14:paraId="5B34804D">
            <w:pPr>
              <w:adjustRightInd w:val="0"/>
              <w:snapToGrid w:val="0"/>
              <w:jc w:val="center"/>
              <w:rPr>
                <w:rFonts w:hint="default" w:ascii="Times New Roman" w:hAnsi="Times New Roman" w:cs="Times New Roman"/>
                <w:color w:val="auto"/>
                <w:szCs w:val="21"/>
              </w:rPr>
            </w:pPr>
          </w:p>
        </w:tc>
        <w:tc>
          <w:tcPr>
            <w:tcW w:w="1403" w:type="pct"/>
            <w:noWrap w:val="0"/>
            <w:vAlign w:val="center"/>
          </w:tcPr>
          <w:p w14:paraId="22391718">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机械、车辆废气：加强设备维修保养</w:t>
            </w:r>
            <w:r>
              <w:rPr>
                <w:rFonts w:hint="default" w:ascii="Times New Roman" w:hAnsi="Times New Roman" w:eastAsia="宋体" w:cs="Times New Roman"/>
                <w:color w:val="auto"/>
                <w:szCs w:val="21"/>
                <w:lang w:val="en-US" w:eastAsia="zh-CN"/>
              </w:rPr>
              <w:t>等</w:t>
            </w:r>
          </w:p>
        </w:tc>
        <w:tc>
          <w:tcPr>
            <w:tcW w:w="1047" w:type="pct"/>
            <w:noWrap w:val="0"/>
            <w:vAlign w:val="center"/>
          </w:tcPr>
          <w:p w14:paraId="09E0E986">
            <w:pPr>
              <w:adjustRightInd w:val="0"/>
              <w:snapToGrid w:val="0"/>
              <w:jc w:val="both"/>
              <w:rPr>
                <w:rFonts w:hint="default" w:ascii="Times New Roman" w:hAnsi="Times New Roman" w:eastAsia="宋体" w:cs="Times New Roman"/>
                <w:color w:val="auto"/>
                <w:szCs w:val="21"/>
                <w:lang w:val="en-US" w:eastAsia="en-US"/>
              </w:rPr>
            </w:pPr>
            <w:r>
              <w:rPr>
                <w:rFonts w:hint="default" w:ascii="Times New Roman" w:hAnsi="Times New Roman" w:eastAsia="宋体" w:cs="Times New Roman"/>
                <w:color w:val="auto"/>
                <w:szCs w:val="21"/>
              </w:rPr>
              <w:t>合理处置，对大气环境产生影响较小</w:t>
            </w:r>
          </w:p>
        </w:tc>
        <w:tc>
          <w:tcPr>
            <w:tcW w:w="1018" w:type="pct"/>
            <w:noWrap w:val="0"/>
            <w:vAlign w:val="center"/>
          </w:tcPr>
          <w:p w14:paraId="037D8E33">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894" w:type="pct"/>
            <w:noWrap w:val="0"/>
            <w:vAlign w:val="center"/>
          </w:tcPr>
          <w:p w14:paraId="7A7E74AF">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r>
      <w:tr w14:paraId="390E8B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restart"/>
            <w:noWrap w:val="0"/>
            <w:vAlign w:val="center"/>
          </w:tcPr>
          <w:p w14:paraId="415E7929">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固体废物</w:t>
            </w:r>
          </w:p>
        </w:tc>
        <w:tc>
          <w:tcPr>
            <w:tcW w:w="1403" w:type="pct"/>
            <w:noWrap w:val="0"/>
            <w:vAlign w:val="center"/>
          </w:tcPr>
          <w:p w14:paraId="02B5967B">
            <w:pPr>
              <w:adjustRightInd w:val="0"/>
              <w:snapToGrid w:val="0"/>
              <w:jc w:val="both"/>
              <w:rPr>
                <w:rFonts w:hint="default" w:ascii="Times New Roman" w:hAnsi="Times New Roman" w:eastAsia="宋体" w:cs="Times New Roman"/>
                <w:color w:val="auto"/>
                <w:szCs w:val="21"/>
                <w:lang w:val="en-US" w:eastAsia="en-US"/>
              </w:rPr>
            </w:pPr>
            <w:r>
              <w:rPr>
                <w:rFonts w:hint="default" w:ascii="Times New Roman" w:hAnsi="Times New Roman" w:eastAsia="宋体" w:cs="Times New Roman"/>
                <w:color w:val="auto"/>
                <w:szCs w:val="21"/>
              </w:rPr>
              <w:t>挖方：及时回填，少量弃土压成泥饼后由施工单位统一联系清运</w:t>
            </w:r>
            <w:r>
              <w:rPr>
                <w:rFonts w:hint="eastAsia" w:cs="Times New Roman"/>
                <w:color w:val="auto"/>
                <w:szCs w:val="21"/>
                <w:lang w:eastAsia="zh-CN"/>
              </w:rPr>
              <w:t>，</w:t>
            </w:r>
            <w:r>
              <w:rPr>
                <w:rFonts w:hint="default" w:ascii="Times New Roman" w:hAnsi="Times New Roman" w:eastAsia="宋体" w:cs="Times New Roman"/>
                <w:color w:val="auto"/>
                <w:szCs w:val="21"/>
              </w:rPr>
              <w:t>无弃土</w:t>
            </w:r>
          </w:p>
        </w:tc>
        <w:tc>
          <w:tcPr>
            <w:tcW w:w="1047" w:type="pct"/>
            <w:vMerge w:val="restart"/>
            <w:noWrap w:val="0"/>
            <w:vAlign w:val="center"/>
          </w:tcPr>
          <w:p w14:paraId="16E5DB76">
            <w:pPr>
              <w:adjustRightInd w:val="0"/>
              <w:snapToGrid w:val="0"/>
              <w:jc w:val="both"/>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合理处置，对环境产生影响较小</w:t>
            </w:r>
          </w:p>
        </w:tc>
        <w:tc>
          <w:tcPr>
            <w:tcW w:w="1018" w:type="pct"/>
            <w:vMerge w:val="restart"/>
            <w:noWrap w:val="0"/>
            <w:vAlign w:val="center"/>
          </w:tcPr>
          <w:p w14:paraId="22DAFD87">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废砂：综合利用于修路</w:t>
            </w:r>
            <w:r>
              <w:rPr>
                <w:rFonts w:hint="default" w:ascii="Times New Roman" w:hAnsi="Times New Roman" w:eastAsia="宋体" w:cs="Times New Roman"/>
                <w:color w:val="auto"/>
                <w:szCs w:val="21"/>
                <w:lang w:eastAsia="zh-CN"/>
              </w:rPr>
              <w:t>；</w:t>
            </w:r>
          </w:p>
          <w:p w14:paraId="1A5B3966">
            <w:pPr>
              <w:adjustRightInd w:val="0"/>
              <w:snapToGrid w:val="0"/>
              <w:jc w:val="both"/>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废滤芯</w:t>
            </w:r>
            <w:r>
              <w:rPr>
                <w:rFonts w:hint="default" w:ascii="Times New Roman" w:hAnsi="Times New Roman" w:eastAsia="宋体" w:cs="Times New Roman"/>
                <w:color w:val="auto"/>
                <w:szCs w:val="21"/>
                <w:lang w:val="en-US" w:eastAsia="zh-CN"/>
              </w:rPr>
              <w:t>和</w:t>
            </w:r>
            <w:r>
              <w:rPr>
                <w:rFonts w:hint="default" w:ascii="Times New Roman" w:hAnsi="Times New Roman" w:eastAsia="宋体" w:cs="Times New Roman"/>
                <w:color w:val="auto"/>
                <w:szCs w:val="21"/>
              </w:rPr>
              <w:t>废离子交换树脂：由</w:t>
            </w:r>
            <w:r>
              <w:rPr>
                <w:rFonts w:hint="default" w:ascii="Times New Roman" w:hAnsi="Times New Roman" w:eastAsia="宋体" w:cs="Times New Roman"/>
                <w:color w:val="auto"/>
                <w:szCs w:val="21"/>
                <w:lang w:val="en-US" w:eastAsia="zh-CN"/>
              </w:rPr>
              <w:t>厂家回收</w:t>
            </w:r>
            <w:r>
              <w:rPr>
                <w:rFonts w:hint="default" w:ascii="Times New Roman" w:hAnsi="Times New Roman" w:eastAsia="宋体" w:cs="Times New Roman"/>
                <w:color w:val="auto"/>
                <w:szCs w:val="21"/>
              </w:rPr>
              <w:t>处置</w:t>
            </w:r>
            <w:r>
              <w:rPr>
                <w:rFonts w:hint="default" w:ascii="Times New Roman" w:hAnsi="Times New Roman" w:eastAsia="宋体" w:cs="Times New Roman"/>
                <w:color w:val="auto"/>
                <w:szCs w:val="21"/>
                <w:lang w:eastAsia="zh-CN"/>
              </w:rPr>
              <w:t>；</w:t>
            </w:r>
          </w:p>
          <w:p w14:paraId="6F0A0821">
            <w:pPr>
              <w:adjustRightInd w:val="0"/>
              <w:snapToGrid w:val="0"/>
              <w:jc w:val="both"/>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生活垃圾：</w:t>
            </w:r>
            <w:r>
              <w:rPr>
                <w:rFonts w:hint="default" w:ascii="Times New Roman" w:hAnsi="Times New Roman" w:eastAsia="宋体" w:cs="Times New Roman"/>
                <w:color w:val="auto"/>
                <w:szCs w:val="21"/>
              </w:rPr>
              <w:t>由</w:t>
            </w:r>
            <w:r>
              <w:rPr>
                <w:rFonts w:hint="default" w:ascii="Times New Roman" w:hAnsi="Times New Roman" w:eastAsia="宋体" w:cs="Times New Roman"/>
                <w:color w:val="auto"/>
                <w:szCs w:val="21"/>
                <w:lang w:val="en-US" w:eastAsia="zh-CN"/>
              </w:rPr>
              <w:t>环卫部门统一清运</w:t>
            </w:r>
          </w:p>
        </w:tc>
        <w:tc>
          <w:tcPr>
            <w:tcW w:w="894" w:type="pct"/>
            <w:vMerge w:val="restart"/>
            <w:noWrap w:val="0"/>
            <w:vAlign w:val="center"/>
          </w:tcPr>
          <w:p w14:paraId="3CDC18E9">
            <w:pPr>
              <w:adjustRightInd w:val="0"/>
              <w:snapToGrid w:val="0"/>
              <w:jc w:val="both"/>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合理处置，对环境产生影响较小</w:t>
            </w:r>
          </w:p>
        </w:tc>
      </w:tr>
      <w:tr w14:paraId="46E66B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continue"/>
            <w:noWrap w:val="0"/>
            <w:vAlign w:val="center"/>
          </w:tcPr>
          <w:p w14:paraId="096EA694">
            <w:pPr>
              <w:adjustRightInd w:val="0"/>
              <w:snapToGrid w:val="0"/>
              <w:jc w:val="center"/>
              <w:rPr>
                <w:rFonts w:hint="default" w:ascii="Times New Roman" w:hAnsi="Times New Roman" w:cs="Times New Roman"/>
                <w:color w:val="auto"/>
                <w:szCs w:val="21"/>
              </w:rPr>
            </w:pPr>
          </w:p>
        </w:tc>
        <w:tc>
          <w:tcPr>
            <w:tcW w:w="1403" w:type="pct"/>
            <w:noWrap w:val="0"/>
            <w:vAlign w:val="center"/>
          </w:tcPr>
          <w:p w14:paraId="3E297EC3">
            <w:pPr>
              <w:adjustRightInd w:val="0"/>
              <w:snapToGrid w:val="0"/>
              <w:jc w:val="both"/>
              <w:rPr>
                <w:rFonts w:hint="default" w:ascii="Times New Roman" w:hAnsi="Times New Roman" w:eastAsia="宋体" w:cs="Times New Roman"/>
                <w:color w:val="auto"/>
                <w:szCs w:val="21"/>
                <w:lang w:val="en-US" w:eastAsia="en-US"/>
              </w:rPr>
            </w:pPr>
            <w:r>
              <w:rPr>
                <w:rFonts w:hint="default" w:ascii="Times New Roman" w:hAnsi="Times New Roman" w:eastAsia="宋体" w:cs="Times New Roman"/>
                <w:color w:val="auto"/>
                <w:szCs w:val="21"/>
              </w:rPr>
              <w:t>钻井泥浆：进入防渗泥浆罐，固化处理后综合利用，</w:t>
            </w:r>
            <w:r>
              <w:rPr>
                <w:rFonts w:hint="default" w:ascii="Times New Roman" w:hAnsi="Times New Roman" w:cs="Times New Roman"/>
                <w:color w:val="auto"/>
              </w:rPr>
              <w:t>最终用于修路利用</w:t>
            </w:r>
            <w:r>
              <w:rPr>
                <w:rFonts w:hint="default" w:ascii="Times New Roman" w:hAnsi="Times New Roman" w:cs="Times New Roman"/>
                <w:color w:val="auto"/>
                <w:lang w:eastAsia="zh-CN"/>
              </w:rPr>
              <w:t>，</w:t>
            </w:r>
            <w:r>
              <w:rPr>
                <w:rFonts w:hint="default" w:ascii="Times New Roman" w:hAnsi="Times New Roman" w:eastAsia="宋体" w:cs="Times New Roman"/>
                <w:color w:val="auto"/>
                <w:szCs w:val="21"/>
              </w:rPr>
              <w:t>确保泥浆不落地</w:t>
            </w:r>
          </w:p>
        </w:tc>
        <w:tc>
          <w:tcPr>
            <w:tcW w:w="1047" w:type="pct"/>
            <w:vMerge w:val="continue"/>
            <w:noWrap w:val="0"/>
            <w:vAlign w:val="center"/>
          </w:tcPr>
          <w:p w14:paraId="2BD5371B">
            <w:pPr>
              <w:adjustRightInd w:val="0"/>
              <w:snapToGrid w:val="0"/>
              <w:jc w:val="both"/>
              <w:rPr>
                <w:rFonts w:hint="default" w:ascii="Times New Roman" w:hAnsi="Times New Roman" w:eastAsia="宋体" w:cs="Times New Roman"/>
                <w:color w:val="auto"/>
                <w:szCs w:val="21"/>
              </w:rPr>
            </w:pPr>
          </w:p>
        </w:tc>
        <w:tc>
          <w:tcPr>
            <w:tcW w:w="1018" w:type="pct"/>
            <w:vMerge w:val="continue"/>
            <w:noWrap w:val="0"/>
            <w:vAlign w:val="center"/>
          </w:tcPr>
          <w:p w14:paraId="7DBAA93C">
            <w:pPr>
              <w:adjustRightInd w:val="0"/>
              <w:snapToGrid w:val="0"/>
              <w:jc w:val="both"/>
              <w:rPr>
                <w:rFonts w:hint="default" w:ascii="Times New Roman" w:hAnsi="Times New Roman" w:eastAsia="宋体" w:cs="Times New Roman"/>
                <w:color w:val="auto"/>
                <w:szCs w:val="21"/>
              </w:rPr>
            </w:pPr>
          </w:p>
        </w:tc>
        <w:tc>
          <w:tcPr>
            <w:tcW w:w="894" w:type="pct"/>
            <w:vMerge w:val="continue"/>
            <w:noWrap w:val="0"/>
            <w:vAlign w:val="center"/>
          </w:tcPr>
          <w:p w14:paraId="2D2D387B">
            <w:pPr>
              <w:adjustRightInd w:val="0"/>
              <w:snapToGrid w:val="0"/>
              <w:jc w:val="both"/>
              <w:rPr>
                <w:rFonts w:hint="default" w:ascii="Times New Roman" w:hAnsi="Times New Roman" w:eastAsia="宋体" w:cs="Times New Roman"/>
                <w:color w:val="auto"/>
                <w:szCs w:val="21"/>
              </w:rPr>
            </w:pPr>
          </w:p>
        </w:tc>
      </w:tr>
      <w:tr w14:paraId="716251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continue"/>
            <w:noWrap w:val="0"/>
            <w:vAlign w:val="center"/>
          </w:tcPr>
          <w:p w14:paraId="239607D5">
            <w:pPr>
              <w:adjustRightInd w:val="0"/>
              <w:snapToGrid w:val="0"/>
              <w:jc w:val="center"/>
              <w:rPr>
                <w:rFonts w:hint="default" w:ascii="Times New Roman" w:hAnsi="Times New Roman" w:cs="Times New Roman"/>
                <w:color w:val="auto"/>
                <w:szCs w:val="21"/>
              </w:rPr>
            </w:pPr>
          </w:p>
        </w:tc>
        <w:tc>
          <w:tcPr>
            <w:tcW w:w="1403" w:type="pct"/>
            <w:noWrap w:val="0"/>
            <w:vAlign w:val="center"/>
          </w:tcPr>
          <w:p w14:paraId="142EAE72">
            <w:pPr>
              <w:adjustRightInd w:val="0"/>
              <w:snapToGrid w:val="0"/>
              <w:jc w:val="both"/>
              <w:rPr>
                <w:rFonts w:hint="default" w:ascii="Times New Roman" w:hAnsi="Times New Roman" w:eastAsia="宋体" w:cs="Times New Roman"/>
                <w:color w:val="auto"/>
                <w:szCs w:val="21"/>
                <w:lang w:val="en-US" w:eastAsia="en-US"/>
              </w:rPr>
            </w:pPr>
            <w:r>
              <w:rPr>
                <w:rFonts w:hint="default" w:ascii="Times New Roman" w:hAnsi="Times New Roman" w:eastAsia="宋体" w:cs="Times New Roman"/>
                <w:color w:val="auto"/>
                <w:szCs w:val="21"/>
              </w:rPr>
              <w:t>钻井岩屑：同钻井泥浆一同处置</w:t>
            </w:r>
          </w:p>
        </w:tc>
        <w:tc>
          <w:tcPr>
            <w:tcW w:w="1047" w:type="pct"/>
            <w:vMerge w:val="continue"/>
            <w:noWrap w:val="0"/>
            <w:vAlign w:val="center"/>
          </w:tcPr>
          <w:p w14:paraId="1E73C7B8">
            <w:pPr>
              <w:adjustRightInd w:val="0"/>
              <w:snapToGrid w:val="0"/>
              <w:jc w:val="both"/>
              <w:rPr>
                <w:rFonts w:hint="default" w:ascii="Times New Roman" w:hAnsi="Times New Roman" w:eastAsia="宋体" w:cs="Times New Roman"/>
                <w:color w:val="auto"/>
                <w:szCs w:val="21"/>
              </w:rPr>
            </w:pPr>
          </w:p>
        </w:tc>
        <w:tc>
          <w:tcPr>
            <w:tcW w:w="1018" w:type="pct"/>
            <w:vMerge w:val="continue"/>
            <w:noWrap w:val="0"/>
            <w:vAlign w:val="center"/>
          </w:tcPr>
          <w:p w14:paraId="018B3C80">
            <w:pPr>
              <w:adjustRightInd w:val="0"/>
              <w:snapToGrid w:val="0"/>
              <w:jc w:val="both"/>
              <w:rPr>
                <w:rFonts w:hint="default" w:ascii="Times New Roman" w:hAnsi="Times New Roman" w:eastAsia="宋体" w:cs="Times New Roman"/>
                <w:color w:val="auto"/>
                <w:szCs w:val="21"/>
              </w:rPr>
            </w:pPr>
          </w:p>
        </w:tc>
        <w:tc>
          <w:tcPr>
            <w:tcW w:w="894" w:type="pct"/>
            <w:vMerge w:val="continue"/>
            <w:noWrap w:val="0"/>
            <w:vAlign w:val="center"/>
          </w:tcPr>
          <w:p w14:paraId="473D5731">
            <w:pPr>
              <w:adjustRightInd w:val="0"/>
              <w:snapToGrid w:val="0"/>
              <w:jc w:val="both"/>
              <w:rPr>
                <w:rFonts w:hint="default" w:ascii="Times New Roman" w:hAnsi="Times New Roman" w:eastAsia="宋体" w:cs="Times New Roman"/>
                <w:color w:val="auto"/>
                <w:szCs w:val="21"/>
              </w:rPr>
            </w:pPr>
          </w:p>
        </w:tc>
      </w:tr>
      <w:tr w14:paraId="3D2BCD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continue"/>
            <w:noWrap w:val="0"/>
            <w:vAlign w:val="center"/>
          </w:tcPr>
          <w:p w14:paraId="19F575ED">
            <w:pPr>
              <w:adjustRightInd w:val="0"/>
              <w:snapToGrid w:val="0"/>
              <w:jc w:val="center"/>
              <w:rPr>
                <w:rFonts w:hint="default" w:ascii="Times New Roman" w:hAnsi="Times New Roman" w:cs="Times New Roman"/>
                <w:color w:val="auto"/>
                <w:szCs w:val="21"/>
              </w:rPr>
            </w:pPr>
          </w:p>
        </w:tc>
        <w:tc>
          <w:tcPr>
            <w:tcW w:w="1403" w:type="pct"/>
            <w:noWrap w:val="0"/>
            <w:vAlign w:val="center"/>
          </w:tcPr>
          <w:p w14:paraId="62B1D4B4">
            <w:pPr>
              <w:adjustRightInd w:val="0"/>
              <w:snapToGrid w:val="0"/>
              <w:jc w:val="both"/>
              <w:rPr>
                <w:rFonts w:hint="default" w:ascii="Times New Roman" w:hAnsi="Times New Roman" w:eastAsia="宋体" w:cs="Times New Roman"/>
                <w:color w:val="auto"/>
                <w:szCs w:val="21"/>
                <w:lang w:val="en-US" w:eastAsia="en-US"/>
              </w:rPr>
            </w:pPr>
            <w:r>
              <w:rPr>
                <w:rFonts w:hint="default" w:ascii="Times New Roman" w:hAnsi="Times New Roman" w:eastAsia="宋体" w:cs="Times New Roman"/>
                <w:color w:val="auto"/>
                <w:szCs w:val="21"/>
              </w:rPr>
              <w:t>生活垃圾：依托所在小区垃圾收集点收集后，由环卫部门定期清运</w:t>
            </w:r>
          </w:p>
        </w:tc>
        <w:tc>
          <w:tcPr>
            <w:tcW w:w="1047" w:type="pct"/>
            <w:vMerge w:val="continue"/>
            <w:noWrap w:val="0"/>
            <w:vAlign w:val="center"/>
          </w:tcPr>
          <w:p w14:paraId="455D91BC">
            <w:pPr>
              <w:adjustRightInd w:val="0"/>
              <w:snapToGrid w:val="0"/>
              <w:jc w:val="both"/>
              <w:rPr>
                <w:rFonts w:hint="default" w:ascii="Times New Roman" w:hAnsi="Times New Roman" w:eastAsia="宋体" w:cs="Times New Roman"/>
                <w:color w:val="auto"/>
                <w:szCs w:val="21"/>
              </w:rPr>
            </w:pPr>
          </w:p>
        </w:tc>
        <w:tc>
          <w:tcPr>
            <w:tcW w:w="1018" w:type="pct"/>
            <w:vMerge w:val="continue"/>
            <w:noWrap w:val="0"/>
            <w:vAlign w:val="center"/>
          </w:tcPr>
          <w:p w14:paraId="63190F5B">
            <w:pPr>
              <w:adjustRightInd w:val="0"/>
              <w:snapToGrid w:val="0"/>
              <w:jc w:val="both"/>
              <w:rPr>
                <w:rFonts w:hint="default" w:ascii="Times New Roman" w:hAnsi="Times New Roman" w:eastAsia="宋体" w:cs="Times New Roman"/>
                <w:color w:val="auto"/>
                <w:szCs w:val="21"/>
              </w:rPr>
            </w:pPr>
          </w:p>
        </w:tc>
        <w:tc>
          <w:tcPr>
            <w:tcW w:w="894" w:type="pct"/>
            <w:vMerge w:val="continue"/>
            <w:noWrap w:val="0"/>
            <w:vAlign w:val="center"/>
          </w:tcPr>
          <w:p w14:paraId="21C378B9">
            <w:pPr>
              <w:adjustRightInd w:val="0"/>
              <w:snapToGrid w:val="0"/>
              <w:jc w:val="both"/>
              <w:rPr>
                <w:rFonts w:hint="default" w:ascii="Times New Roman" w:hAnsi="Times New Roman" w:eastAsia="宋体" w:cs="Times New Roman"/>
                <w:color w:val="auto"/>
                <w:szCs w:val="21"/>
              </w:rPr>
            </w:pPr>
          </w:p>
        </w:tc>
      </w:tr>
      <w:tr w14:paraId="5465A6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noWrap w:val="0"/>
            <w:vAlign w:val="center"/>
          </w:tcPr>
          <w:p w14:paraId="12827EB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电磁环境</w:t>
            </w:r>
          </w:p>
        </w:tc>
        <w:tc>
          <w:tcPr>
            <w:tcW w:w="1403" w:type="pct"/>
            <w:noWrap w:val="0"/>
            <w:vAlign w:val="center"/>
          </w:tcPr>
          <w:p w14:paraId="027A6582">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1047" w:type="pct"/>
            <w:noWrap w:val="0"/>
            <w:vAlign w:val="center"/>
          </w:tcPr>
          <w:p w14:paraId="713D8307">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1018" w:type="pct"/>
            <w:noWrap w:val="0"/>
            <w:vAlign w:val="center"/>
          </w:tcPr>
          <w:p w14:paraId="33C3B551">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894" w:type="pct"/>
            <w:noWrap w:val="0"/>
            <w:vAlign w:val="center"/>
          </w:tcPr>
          <w:p w14:paraId="258E415A">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r>
      <w:tr w14:paraId="30D81E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noWrap w:val="0"/>
            <w:vAlign w:val="center"/>
          </w:tcPr>
          <w:p w14:paraId="05AC5B94">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环境风险</w:t>
            </w:r>
          </w:p>
        </w:tc>
        <w:tc>
          <w:tcPr>
            <w:tcW w:w="1403" w:type="pct"/>
            <w:noWrap w:val="0"/>
            <w:vAlign w:val="center"/>
          </w:tcPr>
          <w:p w14:paraId="7B912A09">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1047" w:type="pct"/>
            <w:noWrap w:val="0"/>
            <w:vAlign w:val="center"/>
          </w:tcPr>
          <w:p w14:paraId="390E58B8">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1018" w:type="pct"/>
            <w:noWrap w:val="0"/>
            <w:vAlign w:val="center"/>
          </w:tcPr>
          <w:p w14:paraId="1C60182A">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894" w:type="pct"/>
            <w:noWrap w:val="0"/>
            <w:vAlign w:val="center"/>
          </w:tcPr>
          <w:p w14:paraId="7902C8EC">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r>
      <w:tr w14:paraId="78DB09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restart"/>
            <w:noWrap w:val="0"/>
            <w:vAlign w:val="center"/>
          </w:tcPr>
          <w:p w14:paraId="7385395A">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环境监测</w:t>
            </w:r>
          </w:p>
        </w:tc>
        <w:tc>
          <w:tcPr>
            <w:tcW w:w="1403" w:type="pct"/>
            <w:noWrap w:val="0"/>
            <w:vAlign w:val="center"/>
          </w:tcPr>
          <w:p w14:paraId="6DC57789">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1047" w:type="pct"/>
            <w:noWrap w:val="0"/>
            <w:vAlign w:val="center"/>
          </w:tcPr>
          <w:p w14:paraId="72F5B4B6">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1018" w:type="pct"/>
            <w:noWrap w:val="0"/>
            <w:vAlign w:val="center"/>
          </w:tcPr>
          <w:p w14:paraId="6E57628A">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噪声：</w:t>
            </w:r>
            <w:r>
              <w:rPr>
                <w:rFonts w:hint="default" w:ascii="Times New Roman" w:hAnsi="Times New Roman" w:eastAsia="宋体" w:cs="Times New Roman"/>
                <w:color w:val="auto"/>
                <w:szCs w:val="21"/>
                <w:lang w:val="en-US" w:eastAsia="zh-CN"/>
              </w:rPr>
              <w:t>供热机房、回灌井口</w:t>
            </w:r>
          </w:p>
        </w:tc>
        <w:tc>
          <w:tcPr>
            <w:tcW w:w="894" w:type="pct"/>
            <w:noWrap w:val="0"/>
            <w:vAlign w:val="center"/>
          </w:tcPr>
          <w:p w14:paraId="756A4E7E">
            <w:pPr>
              <w:adjustRightInd w:val="0"/>
              <w:snapToGrid w:val="0"/>
              <w:jc w:val="both"/>
              <w:rPr>
                <w:rFonts w:hint="default" w:ascii="Times New Roman" w:hAnsi="Times New Roman" w:eastAsia="宋体" w:cs="Times New Roman"/>
                <w:color w:val="auto"/>
                <w:szCs w:val="21"/>
                <w:lang w:val="en-US" w:eastAsia="en-US"/>
              </w:rPr>
            </w:pPr>
            <w:r>
              <w:rPr>
                <w:rFonts w:hint="default" w:ascii="Times New Roman" w:hAnsi="Times New Roman" w:eastAsia="宋体" w:cs="Times New Roman"/>
                <w:color w:val="auto"/>
                <w:szCs w:val="21"/>
              </w:rPr>
              <w:t>厂界达标</w:t>
            </w:r>
          </w:p>
        </w:tc>
      </w:tr>
      <w:tr w14:paraId="61F8CB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vMerge w:val="continue"/>
            <w:noWrap w:val="0"/>
            <w:vAlign w:val="center"/>
          </w:tcPr>
          <w:p w14:paraId="50A6E965">
            <w:pPr>
              <w:adjustRightInd w:val="0"/>
              <w:snapToGrid w:val="0"/>
              <w:jc w:val="center"/>
              <w:rPr>
                <w:rFonts w:hint="default" w:ascii="Times New Roman" w:hAnsi="Times New Roman" w:cs="Times New Roman"/>
                <w:color w:val="auto"/>
                <w:szCs w:val="21"/>
              </w:rPr>
            </w:pPr>
          </w:p>
        </w:tc>
        <w:tc>
          <w:tcPr>
            <w:tcW w:w="1403" w:type="pct"/>
            <w:noWrap w:val="0"/>
            <w:vAlign w:val="center"/>
          </w:tcPr>
          <w:p w14:paraId="7D8B80D0">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1047" w:type="pct"/>
            <w:noWrap w:val="0"/>
            <w:vAlign w:val="center"/>
          </w:tcPr>
          <w:p w14:paraId="2A919ADB">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1018" w:type="pct"/>
            <w:noWrap w:val="0"/>
            <w:vAlign w:val="center"/>
          </w:tcPr>
          <w:p w14:paraId="022FAFD6">
            <w:pPr>
              <w:adjustRightInd w:val="0"/>
              <w:snapToGrid w:val="0"/>
              <w:jc w:val="both"/>
              <w:rPr>
                <w:rFonts w:hint="default" w:ascii="Times New Roman" w:hAnsi="Times New Roman" w:eastAsia="宋体" w:cs="Times New Roman"/>
                <w:color w:val="auto"/>
                <w:szCs w:val="21"/>
                <w:lang w:val="en-US" w:eastAsia="en-US"/>
              </w:rPr>
            </w:pPr>
            <w:r>
              <w:rPr>
                <w:rFonts w:hint="default" w:ascii="Times New Roman" w:hAnsi="Times New Roman" w:eastAsia="宋体" w:cs="Times New Roman"/>
                <w:color w:val="auto"/>
                <w:szCs w:val="21"/>
              </w:rPr>
              <w:t>换热尾水：</w:t>
            </w:r>
            <w:r>
              <w:rPr>
                <w:rFonts w:hint="default" w:ascii="Times New Roman" w:hAnsi="Times New Roman" w:eastAsia="宋体" w:cs="Times New Roman"/>
                <w:color w:val="auto"/>
                <w:szCs w:val="21"/>
                <w:lang w:val="en-US" w:eastAsia="zh-CN"/>
              </w:rPr>
              <w:t>供热机房</w:t>
            </w:r>
            <w:r>
              <w:rPr>
                <w:rFonts w:hint="default" w:ascii="Times New Roman" w:hAnsi="Times New Roman" w:eastAsia="宋体" w:cs="Times New Roman"/>
                <w:color w:val="auto"/>
                <w:szCs w:val="21"/>
              </w:rPr>
              <w:t>地热尾水出口</w:t>
            </w:r>
          </w:p>
        </w:tc>
        <w:tc>
          <w:tcPr>
            <w:tcW w:w="894" w:type="pct"/>
            <w:noWrap w:val="0"/>
            <w:vAlign w:val="center"/>
          </w:tcPr>
          <w:p w14:paraId="750F51B8">
            <w:pPr>
              <w:adjustRightInd w:val="0"/>
              <w:snapToGrid w:val="0"/>
              <w:jc w:val="both"/>
              <w:rPr>
                <w:rFonts w:hint="default" w:ascii="Times New Roman" w:hAnsi="Times New Roman" w:eastAsia="宋体" w:cs="Times New Roman"/>
                <w:color w:val="auto"/>
                <w:szCs w:val="21"/>
                <w:lang w:val="en-US" w:eastAsia="en-US"/>
              </w:rPr>
            </w:pPr>
            <w:r>
              <w:rPr>
                <w:rFonts w:hint="default" w:ascii="Times New Roman" w:hAnsi="Times New Roman" w:eastAsia="宋体" w:cs="Times New Roman"/>
                <w:color w:val="auto"/>
                <w:szCs w:val="21"/>
              </w:rPr>
              <w:t>了解地热尾水水质情况</w:t>
            </w:r>
          </w:p>
        </w:tc>
      </w:tr>
      <w:tr w14:paraId="4469D6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36" w:type="pct"/>
            <w:noWrap w:val="0"/>
            <w:vAlign w:val="center"/>
          </w:tcPr>
          <w:p w14:paraId="59539303">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其他</w:t>
            </w:r>
          </w:p>
        </w:tc>
        <w:tc>
          <w:tcPr>
            <w:tcW w:w="1403" w:type="pct"/>
            <w:noWrap w:val="0"/>
            <w:vAlign w:val="center"/>
          </w:tcPr>
          <w:p w14:paraId="2A273DEC">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1047" w:type="pct"/>
            <w:noWrap w:val="0"/>
            <w:vAlign w:val="center"/>
          </w:tcPr>
          <w:p w14:paraId="013F57E6">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1018" w:type="pct"/>
            <w:noWrap w:val="0"/>
            <w:vAlign w:val="center"/>
          </w:tcPr>
          <w:p w14:paraId="71D5B2CB">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894" w:type="pct"/>
            <w:noWrap w:val="0"/>
            <w:vAlign w:val="center"/>
          </w:tcPr>
          <w:p w14:paraId="35DA2459">
            <w:pPr>
              <w:adjustRightInd w:val="0"/>
              <w:snapToGrid w:val="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r>
    </w:tbl>
    <w:p w14:paraId="2D51E53B">
      <w:pPr>
        <w:adjustRightInd w:val="0"/>
        <w:snapToGrid w:val="0"/>
        <w:jc w:val="center"/>
        <w:rPr>
          <w:rFonts w:hint="eastAsia" w:ascii="黑体" w:hAnsi="黑体" w:eastAsia="黑体"/>
          <w:snapToGrid w:val="0"/>
          <w:color w:val="auto"/>
          <w:sz w:val="8"/>
          <w:szCs w:val="8"/>
        </w:rPr>
      </w:pPr>
      <w:r>
        <w:rPr>
          <w:rFonts w:ascii="黑体" w:hAnsi="黑体" w:eastAsia="黑体"/>
          <w:snapToGrid w:val="0"/>
          <w:color w:val="auto"/>
          <w:sz w:val="30"/>
          <w:szCs w:val="30"/>
        </w:rPr>
        <w:br w:type="page"/>
      </w:r>
    </w:p>
    <w:p w14:paraId="53F994DB">
      <w:pPr>
        <w:spacing w:before="192" w:beforeLines="80" w:beforeAutospacing="0"/>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七、结论</w:t>
      </w:r>
    </w:p>
    <w:tbl>
      <w:tblPr>
        <w:tblStyle w:val="15"/>
        <w:tblW w:w="928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289"/>
      </w:tblGrid>
      <w:tr w14:paraId="4FAA0C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858" w:hRule="atLeast"/>
          <w:jc w:val="center"/>
        </w:trPr>
        <w:tc>
          <w:tcPr>
            <w:tcW w:w="9289" w:type="dxa"/>
            <w:noWrap w:val="0"/>
            <w:vAlign w:val="center"/>
          </w:tcPr>
          <w:p w14:paraId="6C453F31">
            <w:pPr>
              <w:pStyle w:val="22"/>
              <w:bidi w:val="0"/>
              <w:rPr>
                <w:rFonts w:ascii="宋体" w:hAnsi="宋体" w:cs="宋体"/>
                <w:color w:val="auto"/>
                <w:szCs w:val="21"/>
              </w:rPr>
            </w:pPr>
            <w:r>
              <w:rPr>
                <w:rFonts w:hint="eastAsia"/>
                <w:color w:val="auto"/>
              </w:rPr>
              <w:t>从环境保护角度，本建设项目的环境影响是可行的。</w:t>
            </w:r>
          </w:p>
        </w:tc>
      </w:tr>
    </w:tbl>
    <w:p w14:paraId="45F0B1F2">
      <w:pPr>
        <w:spacing w:before="192" w:beforeLines="80" w:beforeAutospacing="0"/>
        <w:jc w:val="left"/>
        <w:outlineLvl w:val="0"/>
        <w:rPr>
          <w:rFonts w:hint="default" w:ascii="黑体" w:hAnsi="黑体" w:eastAsia="黑体" w:cs="Times New Roman"/>
          <w:snapToGrid w:val="0"/>
          <w:color w:val="auto"/>
          <w:sz w:val="30"/>
          <w:szCs w:val="30"/>
          <w:lang w:val="en-US" w:eastAsia="zh-CN"/>
        </w:rPr>
      </w:pPr>
    </w:p>
    <w:sectPr>
      <w:footerReference r:id="rId5" w:type="default"/>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宋体">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Gloucester MT Extra Condensed">
    <w:panose1 w:val="02030808020601010101"/>
    <w:charset w:val="00"/>
    <w:family w:val="roman"/>
    <w:pitch w:val="default"/>
    <w:sig w:usb0="00000003" w:usb1="00000000" w:usb2="00000000" w:usb3="00000000" w:csb0="20000001"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auto"/>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C136B0">
    <w:pPr>
      <w:tabs>
        <w:tab w:val="center" w:pos="4153"/>
        <w:tab w:val="right" w:pos="8306"/>
      </w:tabs>
      <w:ind w:right="360"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0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4ED848C">
                          <w:pPr>
                            <w:tabs>
                              <w:tab w:val="center" w:pos="4153"/>
                              <w:tab w:val="right" w:pos="8306"/>
                            </w:tabs>
                            <w:rPr>
                              <w:rFonts w:ascii="宋体" w:hAnsi="宋体"/>
                              <w:sz w:val="28"/>
                              <w:szCs w:val="28"/>
                            </w:rPr>
                          </w:pPr>
                          <w:r>
                            <w:rPr>
                              <w:rFonts w:hint="eastAsia" w:ascii="宋体" w:hAnsi="宋体"/>
                              <w:sz w:val="28"/>
                              <w:szCs w:val="28"/>
                            </w:rPr>
                            <w:t>—</w:t>
                          </w:r>
                          <w:r>
                            <w:rPr>
                              <w:rFonts w:ascii="宋体" w:hAnsi="宋体"/>
                              <w:sz w:val="26"/>
                              <w:szCs w:val="26"/>
                            </w:rPr>
                            <w:fldChar w:fldCharType="begin"/>
                          </w:r>
                          <w:r>
                            <w:rPr>
                              <w:rFonts w:ascii="宋体" w:hAnsi="宋体"/>
                              <w:sz w:val="26"/>
                              <w:szCs w:val="26"/>
                            </w:rPr>
                            <w:instrText xml:space="preserve">PAGE  </w:instrText>
                          </w:r>
                          <w:r>
                            <w:rPr>
                              <w:rFonts w:ascii="宋体" w:hAnsi="宋体"/>
                              <w:sz w:val="26"/>
                              <w:szCs w:val="26"/>
                            </w:rPr>
                            <w:fldChar w:fldCharType="separate"/>
                          </w:r>
                          <w:r>
                            <w:rPr>
                              <w:rFonts w:ascii="宋体" w:hAnsi="宋体"/>
                              <w:sz w:val="26"/>
                              <w:szCs w:val="26"/>
                            </w:rPr>
                            <w:t>22</w:t>
                          </w:r>
                          <w:r>
                            <w:rPr>
                              <w:rFonts w:ascii="宋体" w:hAnsi="宋体"/>
                              <w:sz w:val="26"/>
                              <w:szCs w:val="26"/>
                            </w:rPr>
                            <w:fldChar w:fldCharType="end"/>
                          </w:r>
                          <w:r>
                            <w:rPr>
                              <w:rFonts w:hint="eastAsia" w:ascii="宋体" w:hAnsi="宋体"/>
                              <w:sz w:val="28"/>
                              <w:szCs w:val="28"/>
                            </w:rPr>
                            <w:t>—</w:t>
                          </w:r>
                        </w:p>
                      </w:txbxContent>
                    </wps:txbx>
                    <wps:bodyPr vert="horz" wrap="none" lIns="0" tIns="0" rIns="0" bIns="0" anchor="t" anchorCtr="0" upright="0">
                      <a:spAutoFit/>
                    </wps:bodyPr>
                  </wps:wsp>
                </a:graphicData>
              </a:graphic>
            </wp:anchor>
          </w:drawing>
        </mc:Choice>
        <mc:Fallback>
          <w:pict>
            <v:shape id="文本框 2049"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P/xPAbgAQAAwQMAAA4AAAAA&#10;AAAAAQAgAAAAHgEAAGRycy9lMm9Eb2MueG1sUEsFBgAAAAAGAAYAWQEAAHAFAAAAAA==&#10;">
              <v:fill on="f" focussize="0,0"/>
              <v:stroke on="f"/>
              <v:imagedata o:title=""/>
              <o:lock v:ext="edit" aspectratio="f"/>
              <v:textbox inset="0mm,0mm,0mm,0mm" style="mso-fit-shape-to-text:t;">
                <w:txbxContent>
                  <w:p w14:paraId="74ED848C">
                    <w:pPr>
                      <w:tabs>
                        <w:tab w:val="center" w:pos="4153"/>
                        <w:tab w:val="right" w:pos="8306"/>
                      </w:tabs>
                      <w:rPr>
                        <w:rFonts w:ascii="宋体" w:hAnsi="宋体"/>
                        <w:sz w:val="28"/>
                        <w:szCs w:val="28"/>
                      </w:rPr>
                    </w:pPr>
                    <w:r>
                      <w:rPr>
                        <w:rFonts w:hint="eastAsia" w:ascii="宋体" w:hAnsi="宋体"/>
                        <w:sz w:val="28"/>
                        <w:szCs w:val="28"/>
                      </w:rPr>
                      <w:t>—</w:t>
                    </w:r>
                    <w:r>
                      <w:rPr>
                        <w:rFonts w:ascii="宋体" w:hAnsi="宋体"/>
                        <w:sz w:val="26"/>
                        <w:szCs w:val="26"/>
                      </w:rPr>
                      <w:fldChar w:fldCharType="begin"/>
                    </w:r>
                    <w:r>
                      <w:rPr>
                        <w:rFonts w:ascii="宋体" w:hAnsi="宋体"/>
                        <w:sz w:val="26"/>
                        <w:szCs w:val="26"/>
                      </w:rPr>
                      <w:instrText xml:space="preserve">PAGE  </w:instrText>
                    </w:r>
                    <w:r>
                      <w:rPr>
                        <w:rFonts w:ascii="宋体" w:hAnsi="宋体"/>
                        <w:sz w:val="26"/>
                        <w:szCs w:val="26"/>
                      </w:rPr>
                      <w:fldChar w:fldCharType="separate"/>
                    </w:r>
                    <w:r>
                      <w:rPr>
                        <w:rFonts w:ascii="宋体" w:hAnsi="宋体"/>
                        <w:sz w:val="26"/>
                        <w:szCs w:val="26"/>
                      </w:rPr>
                      <w:t>22</w:t>
                    </w:r>
                    <w:r>
                      <w:rPr>
                        <w:rFonts w:ascii="宋体" w:hAnsi="宋体"/>
                        <w:sz w:val="26"/>
                        <w:szCs w:val="26"/>
                      </w:rPr>
                      <w:fldChar w:fldCharType="end"/>
                    </w:r>
                    <w:r>
                      <w:rPr>
                        <w:rFonts w:hint="eastAsia" w:ascii="宋体" w:hAnsi="宋体"/>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C06A4F">
    <w:pPr>
      <w:framePr w:wrap="around" w:vAnchor="text" w:hAnchor="margin" w:xAlign="outside" w:y="1"/>
      <w:tabs>
        <w:tab w:val="center" w:pos="4153"/>
        <w:tab w:val="right" w:pos="8306"/>
      </w:tabs>
    </w:pPr>
    <w:r>
      <w:fldChar w:fldCharType="begin"/>
    </w:r>
    <w:r>
      <w:instrText xml:space="preserve">PAGE  </w:instrText>
    </w:r>
    <w:r>
      <w:fldChar w:fldCharType="end"/>
    </w:r>
  </w:p>
  <w:p w14:paraId="2486556D">
    <w:pPr>
      <w:tabs>
        <w:tab w:val="center" w:pos="4153"/>
        <w:tab w:val="right" w:pos="8306"/>
      </w:tabs>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BE651">
    <w:pPr>
      <w:tabs>
        <w:tab w:val="center" w:pos="4153"/>
        <w:tab w:val="right" w:pos="8306"/>
      </w:tabs>
      <w:ind w:right="360"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0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AFE5E5B">
                          <w:pPr>
                            <w:tabs>
                              <w:tab w:val="center" w:pos="4153"/>
                              <w:tab w:val="right" w:pos="8306"/>
                            </w:tabs>
                            <w:rPr>
                              <w:rFonts w:ascii="宋体" w:hAnsi="宋体"/>
                              <w:sz w:val="28"/>
                              <w:szCs w:val="28"/>
                            </w:rPr>
                          </w:pPr>
                          <w:r>
                            <w:rPr>
                              <w:rFonts w:hint="eastAsia" w:ascii="宋体" w:hAnsi="宋体"/>
                              <w:sz w:val="28"/>
                              <w:szCs w:val="28"/>
                            </w:rPr>
                            <w:t>—</w:t>
                          </w:r>
                          <w:r>
                            <w:rPr>
                              <w:rFonts w:ascii="宋体" w:hAnsi="宋体"/>
                              <w:sz w:val="26"/>
                              <w:szCs w:val="26"/>
                            </w:rPr>
                            <w:fldChar w:fldCharType="begin"/>
                          </w:r>
                          <w:r>
                            <w:rPr>
                              <w:rFonts w:ascii="宋体" w:hAnsi="宋体"/>
                              <w:sz w:val="26"/>
                              <w:szCs w:val="26"/>
                            </w:rPr>
                            <w:instrText xml:space="preserve">PAGE  </w:instrText>
                          </w:r>
                          <w:r>
                            <w:rPr>
                              <w:rFonts w:ascii="宋体" w:hAnsi="宋体"/>
                              <w:sz w:val="26"/>
                              <w:szCs w:val="26"/>
                            </w:rPr>
                            <w:fldChar w:fldCharType="separate"/>
                          </w:r>
                          <w:r>
                            <w:rPr>
                              <w:rFonts w:ascii="宋体" w:hAnsi="宋体"/>
                              <w:sz w:val="26"/>
                              <w:szCs w:val="26"/>
                            </w:rPr>
                            <w:t>11</w:t>
                          </w:r>
                          <w:r>
                            <w:rPr>
                              <w:rFonts w:ascii="宋体" w:hAnsi="宋体"/>
                              <w:sz w:val="26"/>
                              <w:szCs w:val="26"/>
                            </w:rPr>
                            <w:fldChar w:fldCharType="end"/>
                          </w:r>
                          <w:r>
                            <w:rPr>
                              <w:rFonts w:hint="eastAsia" w:ascii="宋体" w:hAnsi="宋体"/>
                              <w:sz w:val="28"/>
                              <w:szCs w:val="28"/>
                            </w:rPr>
                            <w:t>—</w:t>
                          </w:r>
                        </w:p>
                      </w:txbxContent>
                    </wps:txbx>
                    <wps:bodyPr vert="horz" wrap="none" lIns="0" tIns="0" rIns="0" bIns="0" anchor="t" anchorCtr="0" upright="0">
                      <a:spAutoFit/>
                    </wps:bodyPr>
                  </wps:wsp>
                </a:graphicData>
              </a:graphic>
            </wp:anchor>
          </w:drawing>
        </mc:Choice>
        <mc:Fallback>
          <w:pict>
            <v:shape id="文本框 2050"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NiWeBLgAQAAwQMAAA4AAAAA&#10;AAAAAQAgAAAAHgEAAGRycy9lMm9Eb2MueG1sUEsFBgAAAAAGAAYAWQEAAHAFAAAAAA==&#10;">
              <v:fill on="f" focussize="0,0"/>
              <v:stroke on="f"/>
              <v:imagedata o:title=""/>
              <o:lock v:ext="edit" aspectratio="f"/>
              <v:textbox inset="0mm,0mm,0mm,0mm" style="mso-fit-shape-to-text:t;">
                <w:txbxContent>
                  <w:p w14:paraId="4AFE5E5B">
                    <w:pPr>
                      <w:tabs>
                        <w:tab w:val="center" w:pos="4153"/>
                        <w:tab w:val="right" w:pos="8306"/>
                      </w:tabs>
                      <w:rPr>
                        <w:rFonts w:ascii="宋体" w:hAnsi="宋体"/>
                        <w:sz w:val="28"/>
                        <w:szCs w:val="28"/>
                      </w:rPr>
                    </w:pPr>
                    <w:r>
                      <w:rPr>
                        <w:rFonts w:hint="eastAsia" w:ascii="宋体" w:hAnsi="宋体"/>
                        <w:sz w:val="28"/>
                        <w:szCs w:val="28"/>
                      </w:rPr>
                      <w:t>—</w:t>
                    </w:r>
                    <w:r>
                      <w:rPr>
                        <w:rFonts w:ascii="宋体" w:hAnsi="宋体"/>
                        <w:sz w:val="26"/>
                        <w:szCs w:val="26"/>
                      </w:rPr>
                      <w:fldChar w:fldCharType="begin"/>
                    </w:r>
                    <w:r>
                      <w:rPr>
                        <w:rFonts w:ascii="宋体" w:hAnsi="宋体"/>
                        <w:sz w:val="26"/>
                        <w:szCs w:val="26"/>
                      </w:rPr>
                      <w:instrText xml:space="preserve">PAGE  </w:instrText>
                    </w:r>
                    <w:r>
                      <w:rPr>
                        <w:rFonts w:ascii="宋体" w:hAnsi="宋体"/>
                        <w:sz w:val="26"/>
                        <w:szCs w:val="26"/>
                      </w:rPr>
                      <w:fldChar w:fldCharType="separate"/>
                    </w:r>
                    <w:r>
                      <w:rPr>
                        <w:rFonts w:ascii="宋体" w:hAnsi="宋体"/>
                        <w:sz w:val="26"/>
                        <w:szCs w:val="26"/>
                      </w:rPr>
                      <w:t>11</w:t>
                    </w:r>
                    <w:r>
                      <w:rPr>
                        <w:rFonts w:ascii="宋体" w:hAnsi="宋体"/>
                        <w:sz w:val="26"/>
                        <w:szCs w:val="26"/>
                      </w:rPr>
                      <w:fldChar w:fldCharType="end"/>
                    </w:r>
                    <w:r>
                      <w:rPr>
                        <w:rFonts w:hint="eastAsia" w:ascii="宋体" w:hAnsi="宋体"/>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5YmZlOTk4NGVjNDM3MDZlMmM5MmY3YTY1NzI1NWYifQ=="/>
  </w:docVars>
  <w:rsids>
    <w:rsidRoot w:val="00172A27"/>
    <w:rsid w:val="000060B3"/>
    <w:rsid w:val="0004364B"/>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1760F"/>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65E2"/>
    <w:rsid w:val="002278EC"/>
    <w:rsid w:val="0023280E"/>
    <w:rsid w:val="002377D1"/>
    <w:rsid w:val="002506BC"/>
    <w:rsid w:val="00254345"/>
    <w:rsid w:val="00264557"/>
    <w:rsid w:val="002805AB"/>
    <w:rsid w:val="00284204"/>
    <w:rsid w:val="00291773"/>
    <w:rsid w:val="002933B0"/>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3C6D"/>
    <w:rsid w:val="00425A9E"/>
    <w:rsid w:val="00426D6B"/>
    <w:rsid w:val="00431E6C"/>
    <w:rsid w:val="00433CE7"/>
    <w:rsid w:val="00452738"/>
    <w:rsid w:val="00456091"/>
    <w:rsid w:val="0046550B"/>
    <w:rsid w:val="00466321"/>
    <w:rsid w:val="00484B9B"/>
    <w:rsid w:val="004855F6"/>
    <w:rsid w:val="0048661E"/>
    <w:rsid w:val="00494670"/>
    <w:rsid w:val="004A3823"/>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D36AB"/>
    <w:rsid w:val="00617CC3"/>
    <w:rsid w:val="006377A6"/>
    <w:rsid w:val="00637A3D"/>
    <w:rsid w:val="006411EF"/>
    <w:rsid w:val="006623EC"/>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A04F1B"/>
    <w:rsid w:val="00A0501B"/>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94A7C"/>
    <w:rsid w:val="00D95896"/>
    <w:rsid w:val="00DB2983"/>
    <w:rsid w:val="00DC1257"/>
    <w:rsid w:val="00DC3DC0"/>
    <w:rsid w:val="00DC5B2B"/>
    <w:rsid w:val="00DC6C2D"/>
    <w:rsid w:val="00DD318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9242D"/>
    <w:rsid w:val="00EB5255"/>
    <w:rsid w:val="00EB5C47"/>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00A3"/>
    <w:rsid w:val="00FA406A"/>
    <w:rsid w:val="00FB503A"/>
    <w:rsid w:val="00FB516C"/>
    <w:rsid w:val="00FD0236"/>
    <w:rsid w:val="00FD18F4"/>
    <w:rsid w:val="00FD54DB"/>
    <w:rsid w:val="00FD619F"/>
    <w:rsid w:val="01290F7E"/>
    <w:rsid w:val="015D1E09"/>
    <w:rsid w:val="01685241"/>
    <w:rsid w:val="01692313"/>
    <w:rsid w:val="0175086A"/>
    <w:rsid w:val="01E44FDB"/>
    <w:rsid w:val="021A09FD"/>
    <w:rsid w:val="02697903"/>
    <w:rsid w:val="02B01361"/>
    <w:rsid w:val="02DF39F5"/>
    <w:rsid w:val="02F96569"/>
    <w:rsid w:val="031169F8"/>
    <w:rsid w:val="033968FB"/>
    <w:rsid w:val="033C6492"/>
    <w:rsid w:val="03EA7B21"/>
    <w:rsid w:val="03F105EC"/>
    <w:rsid w:val="04073A28"/>
    <w:rsid w:val="041B6CAE"/>
    <w:rsid w:val="043563DD"/>
    <w:rsid w:val="043B6A0E"/>
    <w:rsid w:val="0441640F"/>
    <w:rsid w:val="045D1075"/>
    <w:rsid w:val="04787C5D"/>
    <w:rsid w:val="04CE1F73"/>
    <w:rsid w:val="04DE1995"/>
    <w:rsid w:val="05773890"/>
    <w:rsid w:val="05AA2098"/>
    <w:rsid w:val="05B64EE1"/>
    <w:rsid w:val="05C777C8"/>
    <w:rsid w:val="05E01F5E"/>
    <w:rsid w:val="05EC0902"/>
    <w:rsid w:val="05F83EAE"/>
    <w:rsid w:val="063E7D85"/>
    <w:rsid w:val="06755A67"/>
    <w:rsid w:val="07293586"/>
    <w:rsid w:val="07295285"/>
    <w:rsid w:val="07636392"/>
    <w:rsid w:val="07770C56"/>
    <w:rsid w:val="078068E3"/>
    <w:rsid w:val="07BA109C"/>
    <w:rsid w:val="07C538A6"/>
    <w:rsid w:val="07E64DCA"/>
    <w:rsid w:val="082D51A8"/>
    <w:rsid w:val="08484B15"/>
    <w:rsid w:val="084A6E40"/>
    <w:rsid w:val="08564759"/>
    <w:rsid w:val="087430F8"/>
    <w:rsid w:val="08BE5A9C"/>
    <w:rsid w:val="092217DD"/>
    <w:rsid w:val="09320D22"/>
    <w:rsid w:val="093A7294"/>
    <w:rsid w:val="095133F3"/>
    <w:rsid w:val="09554A11"/>
    <w:rsid w:val="09731B28"/>
    <w:rsid w:val="09A82D92"/>
    <w:rsid w:val="09C01962"/>
    <w:rsid w:val="0A232419"/>
    <w:rsid w:val="0A263993"/>
    <w:rsid w:val="0A27015B"/>
    <w:rsid w:val="0A2D3AC2"/>
    <w:rsid w:val="0A3321AA"/>
    <w:rsid w:val="0A495FFF"/>
    <w:rsid w:val="0A754E10"/>
    <w:rsid w:val="0AA23453"/>
    <w:rsid w:val="0AA755DF"/>
    <w:rsid w:val="0B120D44"/>
    <w:rsid w:val="0B126374"/>
    <w:rsid w:val="0B3D750A"/>
    <w:rsid w:val="0B5661AC"/>
    <w:rsid w:val="0B6151C6"/>
    <w:rsid w:val="0B80725D"/>
    <w:rsid w:val="0BAD28E2"/>
    <w:rsid w:val="0BD27BF6"/>
    <w:rsid w:val="0BEE64F0"/>
    <w:rsid w:val="0C126BE9"/>
    <w:rsid w:val="0C1666D9"/>
    <w:rsid w:val="0C3B3C7D"/>
    <w:rsid w:val="0CAB2EAE"/>
    <w:rsid w:val="0CC779D3"/>
    <w:rsid w:val="0CDB43F0"/>
    <w:rsid w:val="0D621C7D"/>
    <w:rsid w:val="0D8243E4"/>
    <w:rsid w:val="0DE47003"/>
    <w:rsid w:val="0E5F5170"/>
    <w:rsid w:val="0E67321C"/>
    <w:rsid w:val="0E73034D"/>
    <w:rsid w:val="0E947D89"/>
    <w:rsid w:val="0E9728F7"/>
    <w:rsid w:val="0EBB5316"/>
    <w:rsid w:val="0EC71F0D"/>
    <w:rsid w:val="0F13775A"/>
    <w:rsid w:val="0F5F45FE"/>
    <w:rsid w:val="0F9A112B"/>
    <w:rsid w:val="0F9F0794"/>
    <w:rsid w:val="0FB777E4"/>
    <w:rsid w:val="0FBD6E6C"/>
    <w:rsid w:val="0FD27731"/>
    <w:rsid w:val="104135F9"/>
    <w:rsid w:val="106D2F64"/>
    <w:rsid w:val="109C532D"/>
    <w:rsid w:val="10B63710"/>
    <w:rsid w:val="10F10820"/>
    <w:rsid w:val="10F44A15"/>
    <w:rsid w:val="110E3E23"/>
    <w:rsid w:val="111C2F7A"/>
    <w:rsid w:val="11347E9A"/>
    <w:rsid w:val="11585E80"/>
    <w:rsid w:val="11665CA1"/>
    <w:rsid w:val="11E06E41"/>
    <w:rsid w:val="12631F4C"/>
    <w:rsid w:val="12684C83"/>
    <w:rsid w:val="128C7CEE"/>
    <w:rsid w:val="12D746E8"/>
    <w:rsid w:val="12E0359D"/>
    <w:rsid w:val="13306E47"/>
    <w:rsid w:val="135713E5"/>
    <w:rsid w:val="13606F15"/>
    <w:rsid w:val="13763F01"/>
    <w:rsid w:val="13951726"/>
    <w:rsid w:val="13DF3855"/>
    <w:rsid w:val="13EC7D20"/>
    <w:rsid w:val="14103A0E"/>
    <w:rsid w:val="14396509"/>
    <w:rsid w:val="14500489"/>
    <w:rsid w:val="146E734A"/>
    <w:rsid w:val="149D101A"/>
    <w:rsid w:val="14C12F5A"/>
    <w:rsid w:val="14DD2C3C"/>
    <w:rsid w:val="14EA2A03"/>
    <w:rsid w:val="14F11A91"/>
    <w:rsid w:val="15233C15"/>
    <w:rsid w:val="15661C59"/>
    <w:rsid w:val="156A2042"/>
    <w:rsid w:val="158A5A42"/>
    <w:rsid w:val="15916DD0"/>
    <w:rsid w:val="15F64E85"/>
    <w:rsid w:val="16087E1D"/>
    <w:rsid w:val="16170860"/>
    <w:rsid w:val="162B0FD3"/>
    <w:rsid w:val="163D2AB4"/>
    <w:rsid w:val="16DA6555"/>
    <w:rsid w:val="16DE1BA1"/>
    <w:rsid w:val="17092996"/>
    <w:rsid w:val="175510DB"/>
    <w:rsid w:val="17701D14"/>
    <w:rsid w:val="17735226"/>
    <w:rsid w:val="17901E12"/>
    <w:rsid w:val="180970F2"/>
    <w:rsid w:val="181D3326"/>
    <w:rsid w:val="18635AD1"/>
    <w:rsid w:val="18865160"/>
    <w:rsid w:val="189F624C"/>
    <w:rsid w:val="18A1389D"/>
    <w:rsid w:val="18C86FAE"/>
    <w:rsid w:val="190026B0"/>
    <w:rsid w:val="191F2796"/>
    <w:rsid w:val="19453F5E"/>
    <w:rsid w:val="194A79C2"/>
    <w:rsid w:val="19874ACB"/>
    <w:rsid w:val="1997169C"/>
    <w:rsid w:val="199A77F3"/>
    <w:rsid w:val="19B5242D"/>
    <w:rsid w:val="1A0F416A"/>
    <w:rsid w:val="1A1C66C0"/>
    <w:rsid w:val="1A20687B"/>
    <w:rsid w:val="1A42393B"/>
    <w:rsid w:val="1A555ADC"/>
    <w:rsid w:val="1A676352"/>
    <w:rsid w:val="1AAD45DE"/>
    <w:rsid w:val="1B046F80"/>
    <w:rsid w:val="1B184D74"/>
    <w:rsid w:val="1B2B6036"/>
    <w:rsid w:val="1B3267B5"/>
    <w:rsid w:val="1B40161D"/>
    <w:rsid w:val="1B441859"/>
    <w:rsid w:val="1B5370F7"/>
    <w:rsid w:val="1B5E1503"/>
    <w:rsid w:val="1B6606B1"/>
    <w:rsid w:val="1B7D0416"/>
    <w:rsid w:val="1BD9502D"/>
    <w:rsid w:val="1BF8183A"/>
    <w:rsid w:val="1C00041E"/>
    <w:rsid w:val="1C00080C"/>
    <w:rsid w:val="1C1147C7"/>
    <w:rsid w:val="1C2E35CB"/>
    <w:rsid w:val="1C5E7925"/>
    <w:rsid w:val="1C992BD2"/>
    <w:rsid w:val="1CB37E58"/>
    <w:rsid w:val="1CFD070F"/>
    <w:rsid w:val="1D10301A"/>
    <w:rsid w:val="1D1D0F4A"/>
    <w:rsid w:val="1D1E568E"/>
    <w:rsid w:val="1D3A1AFC"/>
    <w:rsid w:val="1D3D6871"/>
    <w:rsid w:val="1D5F6196"/>
    <w:rsid w:val="1D6132A5"/>
    <w:rsid w:val="1D8E56D5"/>
    <w:rsid w:val="1DAA7571"/>
    <w:rsid w:val="1DAB47A7"/>
    <w:rsid w:val="1DD121FC"/>
    <w:rsid w:val="1DD71A40"/>
    <w:rsid w:val="1DDC5142"/>
    <w:rsid w:val="1E162569"/>
    <w:rsid w:val="1E317D6F"/>
    <w:rsid w:val="1E7A43DA"/>
    <w:rsid w:val="1EBF6831"/>
    <w:rsid w:val="1EDA3596"/>
    <w:rsid w:val="1F05628A"/>
    <w:rsid w:val="1F374545"/>
    <w:rsid w:val="1FDB5818"/>
    <w:rsid w:val="1FE65F6B"/>
    <w:rsid w:val="1FE7539E"/>
    <w:rsid w:val="20671BE0"/>
    <w:rsid w:val="20963CB8"/>
    <w:rsid w:val="20A81A1B"/>
    <w:rsid w:val="20B07FB6"/>
    <w:rsid w:val="20B646FB"/>
    <w:rsid w:val="20CC33B3"/>
    <w:rsid w:val="20EC4B2F"/>
    <w:rsid w:val="20FA1CCE"/>
    <w:rsid w:val="212439C3"/>
    <w:rsid w:val="213B74B1"/>
    <w:rsid w:val="215A2310"/>
    <w:rsid w:val="21D17834"/>
    <w:rsid w:val="21DE318A"/>
    <w:rsid w:val="21EF5B80"/>
    <w:rsid w:val="21FA5CFD"/>
    <w:rsid w:val="221729A3"/>
    <w:rsid w:val="223E5359"/>
    <w:rsid w:val="22576990"/>
    <w:rsid w:val="227C1554"/>
    <w:rsid w:val="22F47480"/>
    <w:rsid w:val="23D76C3C"/>
    <w:rsid w:val="23DE1C48"/>
    <w:rsid w:val="23E10F23"/>
    <w:rsid w:val="23E60676"/>
    <w:rsid w:val="23EC20D3"/>
    <w:rsid w:val="240210CD"/>
    <w:rsid w:val="2426307B"/>
    <w:rsid w:val="24BF09F7"/>
    <w:rsid w:val="24CA19B7"/>
    <w:rsid w:val="24F37160"/>
    <w:rsid w:val="250E5D48"/>
    <w:rsid w:val="2527505B"/>
    <w:rsid w:val="252D53FE"/>
    <w:rsid w:val="25626093"/>
    <w:rsid w:val="25634B84"/>
    <w:rsid w:val="256F255E"/>
    <w:rsid w:val="25EC2D81"/>
    <w:rsid w:val="25F82554"/>
    <w:rsid w:val="26543C2E"/>
    <w:rsid w:val="268D7140"/>
    <w:rsid w:val="26D17093"/>
    <w:rsid w:val="271635D9"/>
    <w:rsid w:val="273953E1"/>
    <w:rsid w:val="277057A2"/>
    <w:rsid w:val="277836E8"/>
    <w:rsid w:val="27A03D38"/>
    <w:rsid w:val="27A11277"/>
    <w:rsid w:val="27BB6190"/>
    <w:rsid w:val="27E62B83"/>
    <w:rsid w:val="27E97FD3"/>
    <w:rsid w:val="282A3100"/>
    <w:rsid w:val="28327F9F"/>
    <w:rsid w:val="2842075B"/>
    <w:rsid w:val="28665E9B"/>
    <w:rsid w:val="28814A83"/>
    <w:rsid w:val="28E53263"/>
    <w:rsid w:val="28F306CC"/>
    <w:rsid w:val="290E1802"/>
    <w:rsid w:val="29206EB8"/>
    <w:rsid w:val="29262116"/>
    <w:rsid w:val="293E0BC6"/>
    <w:rsid w:val="29595666"/>
    <w:rsid w:val="296E19F9"/>
    <w:rsid w:val="29874881"/>
    <w:rsid w:val="299E7FDD"/>
    <w:rsid w:val="29A44ECD"/>
    <w:rsid w:val="29C0782D"/>
    <w:rsid w:val="29E325E0"/>
    <w:rsid w:val="29EB0653"/>
    <w:rsid w:val="29FA689B"/>
    <w:rsid w:val="2A13795C"/>
    <w:rsid w:val="2A452503"/>
    <w:rsid w:val="2A4B5348"/>
    <w:rsid w:val="2AB82A46"/>
    <w:rsid w:val="2B6C135C"/>
    <w:rsid w:val="2BA50A88"/>
    <w:rsid w:val="2BA936A8"/>
    <w:rsid w:val="2BB3219A"/>
    <w:rsid w:val="2BFF357E"/>
    <w:rsid w:val="2C034BD6"/>
    <w:rsid w:val="2C183950"/>
    <w:rsid w:val="2C315A5A"/>
    <w:rsid w:val="2C477D91"/>
    <w:rsid w:val="2C4B1C25"/>
    <w:rsid w:val="2C7212B2"/>
    <w:rsid w:val="2C8E47A5"/>
    <w:rsid w:val="2CC71118"/>
    <w:rsid w:val="2CD23A9F"/>
    <w:rsid w:val="2CEB2E12"/>
    <w:rsid w:val="2D3447B9"/>
    <w:rsid w:val="2D3746AF"/>
    <w:rsid w:val="2D94666F"/>
    <w:rsid w:val="2D9E359B"/>
    <w:rsid w:val="2D9E56F5"/>
    <w:rsid w:val="2DA21723"/>
    <w:rsid w:val="2DA64600"/>
    <w:rsid w:val="2DCC2B4A"/>
    <w:rsid w:val="2DDB608D"/>
    <w:rsid w:val="2DF618E3"/>
    <w:rsid w:val="2DF8167A"/>
    <w:rsid w:val="2E2528F0"/>
    <w:rsid w:val="2E291113"/>
    <w:rsid w:val="2E334A71"/>
    <w:rsid w:val="2E4E3659"/>
    <w:rsid w:val="2E667F96"/>
    <w:rsid w:val="2E8226AB"/>
    <w:rsid w:val="2EB07E70"/>
    <w:rsid w:val="2ECD6C74"/>
    <w:rsid w:val="2F3B244D"/>
    <w:rsid w:val="2F9A3C86"/>
    <w:rsid w:val="2FBE65BC"/>
    <w:rsid w:val="2FCB49B7"/>
    <w:rsid w:val="2FD065E6"/>
    <w:rsid w:val="2FD96870"/>
    <w:rsid w:val="2FE55294"/>
    <w:rsid w:val="2FF74602"/>
    <w:rsid w:val="30567BE4"/>
    <w:rsid w:val="30580BC9"/>
    <w:rsid w:val="30601421"/>
    <w:rsid w:val="30AD54D1"/>
    <w:rsid w:val="30BE3838"/>
    <w:rsid w:val="30F11DAB"/>
    <w:rsid w:val="311E2ED7"/>
    <w:rsid w:val="31433E54"/>
    <w:rsid w:val="31442AF1"/>
    <w:rsid w:val="315619EE"/>
    <w:rsid w:val="315C449C"/>
    <w:rsid w:val="3199108F"/>
    <w:rsid w:val="31A31F0E"/>
    <w:rsid w:val="31B71515"/>
    <w:rsid w:val="31B82709"/>
    <w:rsid w:val="31D05482"/>
    <w:rsid w:val="31D125D7"/>
    <w:rsid w:val="31D85FEC"/>
    <w:rsid w:val="32400B34"/>
    <w:rsid w:val="326C7146"/>
    <w:rsid w:val="329E6876"/>
    <w:rsid w:val="331A1D5C"/>
    <w:rsid w:val="333015F2"/>
    <w:rsid w:val="33397327"/>
    <w:rsid w:val="334B6320"/>
    <w:rsid w:val="33550FE6"/>
    <w:rsid w:val="335A4A9C"/>
    <w:rsid w:val="3381627F"/>
    <w:rsid w:val="338D4C23"/>
    <w:rsid w:val="33953AD8"/>
    <w:rsid w:val="33B57CD6"/>
    <w:rsid w:val="33BB353F"/>
    <w:rsid w:val="33D934D4"/>
    <w:rsid w:val="33FE2F6A"/>
    <w:rsid w:val="340E07E5"/>
    <w:rsid w:val="34140EA1"/>
    <w:rsid w:val="34235BF7"/>
    <w:rsid w:val="343E7DE6"/>
    <w:rsid w:val="34E143DE"/>
    <w:rsid w:val="34FA0097"/>
    <w:rsid w:val="3518676F"/>
    <w:rsid w:val="358C5FA8"/>
    <w:rsid w:val="35987525"/>
    <w:rsid w:val="35C15DF1"/>
    <w:rsid w:val="35C80195"/>
    <w:rsid w:val="35EF127D"/>
    <w:rsid w:val="36074A7F"/>
    <w:rsid w:val="36274EBB"/>
    <w:rsid w:val="365B6913"/>
    <w:rsid w:val="366D6C89"/>
    <w:rsid w:val="36911FB8"/>
    <w:rsid w:val="36923549"/>
    <w:rsid w:val="36B75FBF"/>
    <w:rsid w:val="36BD0C45"/>
    <w:rsid w:val="36EB413B"/>
    <w:rsid w:val="36FA5BD6"/>
    <w:rsid w:val="371579E6"/>
    <w:rsid w:val="37242D93"/>
    <w:rsid w:val="375C0B95"/>
    <w:rsid w:val="37736D6A"/>
    <w:rsid w:val="3793032E"/>
    <w:rsid w:val="37A43625"/>
    <w:rsid w:val="37A60062"/>
    <w:rsid w:val="37B81B43"/>
    <w:rsid w:val="37CB7AC8"/>
    <w:rsid w:val="37D921E5"/>
    <w:rsid w:val="37E00298"/>
    <w:rsid w:val="38107BD1"/>
    <w:rsid w:val="381E409C"/>
    <w:rsid w:val="38B302F9"/>
    <w:rsid w:val="38EE20A4"/>
    <w:rsid w:val="38F12CD3"/>
    <w:rsid w:val="38F94775"/>
    <w:rsid w:val="392971ED"/>
    <w:rsid w:val="39325651"/>
    <w:rsid w:val="39577FDD"/>
    <w:rsid w:val="39C72511"/>
    <w:rsid w:val="39D359E6"/>
    <w:rsid w:val="39FA28E7"/>
    <w:rsid w:val="3A093EF2"/>
    <w:rsid w:val="3A1967D1"/>
    <w:rsid w:val="3A5E4C24"/>
    <w:rsid w:val="3A7206CF"/>
    <w:rsid w:val="3A7461F5"/>
    <w:rsid w:val="3A7B3A28"/>
    <w:rsid w:val="3A872856"/>
    <w:rsid w:val="3AB64A60"/>
    <w:rsid w:val="3ACB5CDA"/>
    <w:rsid w:val="3AD2116E"/>
    <w:rsid w:val="3AE80991"/>
    <w:rsid w:val="3B2F036E"/>
    <w:rsid w:val="3B3763D1"/>
    <w:rsid w:val="3B580297"/>
    <w:rsid w:val="3BB50101"/>
    <w:rsid w:val="3BEA2722"/>
    <w:rsid w:val="3C1134D6"/>
    <w:rsid w:val="3C2F6E1E"/>
    <w:rsid w:val="3C4F64BA"/>
    <w:rsid w:val="3C556BA4"/>
    <w:rsid w:val="3C80719C"/>
    <w:rsid w:val="3CAC611A"/>
    <w:rsid w:val="3CDA245A"/>
    <w:rsid w:val="3D1E06B7"/>
    <w:rsid w:val="3D404E9A"/>
    <w:rsid w:val="3DAB4DD1"/>
    <w:rsid w:val="3DB17760"/>
    <w:rsid w:val="3DC47494"/>
    <w:rsid w:val="3DC52391"/>
    <w:rsid w:val="3DCC459A"/>
    <w:rsid w:val="3DD9429D"/>
    <w:rsid w:val="3E155F41"/>
    <w:rsid w:val="3EAD7CF4"/>
    <w:rsid w:val="3EC314F9"/>
    <w:rsid w:val="3EDA0523"/>
    <w:rsid w:val="3F19380F"/>
    <w:rsid w:val="40363F4D"/>
    <w:rsid w:val="403F751A"/>
    <w:rsid w:val="407707ED"/>
    <w:rsid w:val="407A6407"/>
    <w:rsid w:val="4093656F"/>
    <w:rsid w:val="4096180C"/>
    <w:rsid w:val="40DB59AA"/>
    <w:rsid w:val="410F4ECA"/>
    <w:rsid w:val="412E5DBD"/>
    <w:rsid w:val="415E7BFF"/>
    <w:rsid w:val="41CB0957"/>
    <w:rsid w:val="4200449D"/>
    <w:rsid w:val="422C5DAA"/>
    <w:rsid w:val="423A3BCC"/>
    <w:rsid w:val="423A5F76"/>
    <w:rsid w:val="424E57D2"/>
    <w:rsid w:val="42B26C49"/>
    <w:rsid w:val="42CD0B98"/>
    <w:rsid w:val="42CD2946"/>
    <w:rsid w:val="42CE0309"/>
    <w:rsid w:val="433A6FE6"/>
    <w:rsid w:val="43480868"/>
    <w:rsid w:val="4350713C"/>
    <w:rsid w:val="436653E0"/>
    <w:rsid w:val="43B77429"/>
    <w:rsid w:val="43C4431A"/>
    <w:rsid w:val="44107436"/>
    <w:rsid w:val="444A6219"/>
    <w:rsid w:val="44753296"/>
    <w:rsid w:val="44782D86"/>
    <w:rsid w:val="44B951CC"/>
    <w:rsid w:val="44CB735A"/>
    <w:rsid w:val="44CD14E0"/>
    <w:rsid w:val="44D22567"/>
    <w:rsid w:val="44DC1567"/>
    <w:rsid w:val="44F20B0B"/>
    <w:rsid w:val="452E5F4C"/>
    <w:rsid w:val="454B73C4"/>
    <w:rsid w:val="45612018"/>
    <w:rsid w:val="456E50DE"/>
    <w:rsid w:val="458946E9"/>
    <w:rsid w:val="45A47C0E"/>
    <w:rsid w:val="45E4410A"/>
    <w:rsid w:val="45F428E0"/>
    <w:rsid w:val="46577FD6"/>
    <w:rsid w:val="46B06807"/>
    <w:rsid w:val="46B274CC"/>
    <w:rsid w:val="46B4673F"/>
    <w:rsid w:val="46D955A7"/>
    <w:rsid w:val="46DF533E"/>
    <w:rsid w:val="46E7739F"/>
    <w:rsid w:val="47133957"/>
    <w:rsid w:val="47181379"/>
    <w:rsid w:val="473B3818"/>
    <w:rsid w:val="47972677"/>
    <w:rsid w:val="47A07E0C"/>
    <w:rsid w:val="47B265AF"/>
    <w:rsid w:val="4848393F"/>
    <w:rsid w:val="4870272E"/>
    <w:rsid w:val="48943F06"/>
    <w:rsid w:val="48CC10B6"/>
    <w:rsid w:val="48FF3A76"/>
    <w:rsid w:val="491C63D6"/>
    <w:rsid w:val="492D2391"/>
    <w:rsid w:val="498875C7"/>
    <w:rsid w:val="49CC7DFC"/>
    <w:rsid w:val="49DC7715"/>
    <w:rsid w:val="49E060AB"/>
    <w:rsid w:val="4A023139"/>
    <w:rsid w:val="4A3B0ADD"/>
    <w:rsid w:val="4A6F4C2B"/>
    <w:rsid w:val="4A711C9D"/>
    <w:rsid w:val="4A7B576F"/>
    <w:rsid w:val="4A8E50B1"/>
    <w:rsid w:val="4AF561A9"/>
    <w:rsid w:val="4B3E2391"/>
    <w:rsid w:val="4C215D82"/>
    <w:rsid w:val="4C4A0649"/>
    <w:rsid w:val="4C7E5ECA"/>
    <w:rsid w:val="4C876AA5"/>
    <w:rsid w:val="4CCE79E7"/>
    <w:rsid w:val="4CDF7E46"/>
    <w:rsid w:val="4D056E6D"/>
    <w:rsid w:val="4D0C69C4"/>
    <w:rsid w:val="4D0E00FB"/>
    <w:rsid w:val="4D172AAE"/>
    <w:rsid w:val="4D176606"/>
    <w:rsid w:val="4D4B4469"/>
    <w:rsid w:val="4DC40316"/>
    <w:rsid w:val="4DDE0812"/>
    <w:rsid w:val="4DEC4FB0"/>
    <w:rsid w:val="4DFD57B9"/>
    <w:rsid w:val="4E075D8A"/>
    <w:rsid w:val="4E1529F2"/>
    <w:rsid w:val="4E1720B8"/>
    <w:rsid w:val="4E6B74B7"/>
    <w:rsid w:val="4E816CDB"/>
    <w:rsid w:val="4E9015A7"/>
    <w:rsid w:val="4EA604F0"/>
    <w:rsid w:val="4EC00FAD"/>
    <w:rsid w:val="4ED17C62"/>
    <w:rsid w:val="4F6E54B1"/>
    <w:rsid w:val="4F9843DC"/>
    <w:rsid w:val="4FC62A8C"/>
    <w:rsid w:val="4FE20F0D"/>
    <w:rsid w:val="4FE51552"/>
    <w:rsid w:val="4FEC63D6"/>
    <w:rsid w:val="501778F7"/>
    <w:rsid w:val="504270F2"/>
    <w:rsid w:val="50504C4B"/>
    <w:rsid w:val="50854860"/>
    <w:rsid w:val="509C6E7C"/>
    <w:rsid w:val="50C17863"/>
    <w:rsid w:val="50C23D07"/>
    <w:rsid w:val="50F0255D"/>
    <w:rsid w:val="510C013D"/>
    <w:rsid w:val="5162104E"/>
    <w:rsid w:val="5162539C"/>
    <w:rsid w:val="517A638F"/>
    <w:rsid w:val="51863741"/>
    <w:rsid w:val="518E0F4B"/>
    <w:rsid w:val="51B30FF8"/>
    <w:rsid w:val="51BF0BDA"/>
    <w:rsid w:val="51DD3992"/>
    <w:rsid w:val="51E953B7"/>
    <w:rsid w:val="520C5719"/>
    <w:rsid w:val="527A0208"/>
    <w:rsid w:val="535D68CA"/>
    <w:rsid w:val="53784DC3"/>
    <w:rsid w:val="53A039CC"/>
    <w:rsid w:val="53A1505A"/>
    <w:rsid w:val="53A70F92"/>
    <w:rsid w:val="54063E08"/>
    <w:rsid w:val="543437E8"/>
    <w:rsid w:val="54484882"/>
    <w:rsid w:val="545F7ABE"/>
    <w:rsid w:val="54882B71"/>
    <w:rsid w:val="54A0435F"/>
    <w:rsid w:val="54E35FFA"/>
    <w:rsid w:val="54F73313"/>
    <w:rsid w:val="54F80955"/>
    <w:rsid w:val="550A7A2A"/>
    <w:rsid w:val="555170A7"/>
    <w:rsid w:val="556C5FEF"/>
    <w:rsid w:val="557F08FE"/>
    <w:rsid w:val="5587536D"/>
    <w:rsid w:val="559B174B"/>
    <w:rsid w:val="55AC288F"/>
    <w:rsid w:val="55CE0CF4"/>
    <w:rsid w:val="55CE57F7"/>
    <w:rsid w:val="55DF632A"/>
    <w:rsid w:val="56260894"/>
    <w:rsid w:val="565D002E"/>
    <w:rsid w:val="56B22A9C"/>
    <w:rsid w:val="56B77D7B"/>
    <w:rsid w:val="56E30533"/>
    <w:rsid w:val="56E75BB3"/>
    <w:rsid w:val="56EF6ED8"/>
    <w:rsid w:val="57246CA3"/>
    <w:rsid w:val="573E7E5F"/>
    <w:rsid w:val="57430FD1"/>
    <w:rsid w:val="57B72A76"/>
    <w:rsid w:val="57C3426C"/>
    <w:rsid w:val="57CE11E3"/>
    <w:rsid w:val="57CE1F93"/>
    <w:rsid w:val="57DF0482"/>
    <w:rsid w:val="57E02CC4"/>
    <w:rsid w:val="57FB7AFE"/>
    <w:rsid w:val="58073B00"/>
    <w:rsid w:val="583E6435"/>
    <w:rsid w:val="58613E05"/>
    <w:rsid w:val="588743D1"/>
    <w:rsid w:val="5887701A"/>
    <w:rsid w:val="5889510A"/>
    <w:rsid w:val="589D0BB5"/>
    <w:rsid w:val="58B903FA"/>
    <w:rsid w:val="58C230F4"/>
    <w:rsid w:val="58FE1654"/>
    <w:rsid w:val="593E4146"/>
    <w:rsid w:val="59462D70"/>
    <w:rsid w:val="597B46C2"/>
    <w:rsid w:val="59A53EB8"/>
    <w:rsid w:val="59C0439F"/>
    <w:rsid w:val="59D50C4B"/>
    <w:rsid w:val="59E40B3F"/>
    <w:rsid w:val="5A120CAA"/>
    <w:rsid w:val="5A2C21F1"/>
    <w:rsid w:val="5A613591"/>
    <w:rsid w:val="5AA77AC9"/>
    <w:rsid w:val="5ABE2233"/>
    <w:rsid w:val="5B4F56E0"/>
    <w:rsid w:val="5B5718EC"/>
    <w:rsid w:val="5BDF5D95"/>
    <w:rsid w:val="5BFE7528"/>
    <w:rsid w:val="5C046F0C"/>
    <w:rsid w:val="5CA50038"/>
    <w:rsid w:val="5CF8460C"/>
    <w:rsid w:val="5D6677C8"/>
    <w:rsid w:val="5D9C6B39"/>
    <w:rsid w:val="5E1F0C3C"/>
    <w:rsid w:val="5E2467F1"/>
    <w:rsid w:val="5E453881"/>
    <w:rsid w:val="5E677C9B"/>
    <w:rsid w:val="5EEB267A"/>
    <w:rsid w:val="5F101A21"/>
    <w:rsid w:val="5F164887"/>
    <w:rsid w:val="5F1A2B43"/>
    <w:rsid w:val="5F3758C0"/>
    <w:rsid w:val="5F3961B5"/>
    <w:rsid w:val="5F8D54E0"/>
    <w:rsid w:val="5FA42829"/>
    <w:rsid w:val="5FB07420"/>
    <w:rsid w:val="5FB33F3B"/>
    <w:rsid w:val="5FB837BB"/>
    <w:rsid w:val="5FBA2831"/>
    <w:rsid w:val="5FD17414"/>
    <w:rsid w:val="5FDA449D"/>
    <w:rsid w:val="5FF67529"/>
    <w:rsid w:val="60123AB3"/>
    <w:rsid w:val="60B46A9C"/>
    <w:rsid w:val="60C41AE2"/>
    <w:rsid w:val="60CC405A"/>
    <w:rsid w:val="61161505"/>
    <w:rsid w:val="614442C4"/>
    <w:rsid w:val="61515153"/>
    <w:rsid w:val="61E215D8"/>
    <w:rsid w:val="621B3775"/>
    <w:rsid w:val="62364782"/>
    <w:rsid w:val="624C78D4"/>
    <w:rsid w:val="626C5880"/>
    <w:rsid w:val="62952E2B"/>
    <w:rsid w:val="62C40227"/>
    <w:rsid w:val="630D505D"/>
    <w:rsid w:val="633A3BD0"/>
    <w:rsid w:val="63475689"/>
    <w:rsid w:val="6394356A"/>
    <w:rsid w:val="6397692D"/>
    <w:rsid w:val="63C61B2C"/>
    <w:rsid w:val="63D40BE9"/>
    <w:rsid w:val="63E94CAF"/>
    <w:rsid w:val="63FA3522"/>
    <w:rsid w:val="64102431"/>
    <w:rsid w:val="642108EC"/>
    <w:rsid w:val="64212548"/>
    <w:rsid w:val="64216B3E"/>
    <w:rsid w:val="64526CF8"/>
    <w:rsid w:val="64601415"/>
    <w:rsid w:val="6477050C"/>
    <w:rsid w:val="648C24DD"/>
    <w:rsid w:val="64A5243A"/>
    <w:rsid w:val="64F531DE"/>
    <w:rsid w:val="651B4B76"/>
    <w:rsid w:val="653660D7"/>
    <w:rsid w:val="65373578"/>
    <w:rsid w:val="6549183E"/>
    <w:rsid w:val="655A2308"/>
    <w:rsid w:val="65817895"/>
    <w:rsid w:val="65E46075"/>
    <w:rsid w:val="65F85971"/>
    <w:rsid w:val="664E34EF"/>
    <w:rsid w:val="66565FB4"/>
    <w:rsid w:val="665B6338"/>
    <w:rsid w:val="670631C2"/>
    <w:rsid w:val="671F124A"/>
    <w:rsid w:val="673D5A3D"/>
    <w:rsid w:val="677A33C6"/>
    <w:rsid w:val="67936507"/>
    <w:rsid w:val="67A95748"/>
    <w:rsid w:val="67BC1058"/>
    <w:rsid w:val="67BF6452"/>
    <w:rsid w:val="67C42752"/>
    <w:rsid w:val="67EB61C9"/>
    <w:rsid w:val="67F02AB0"/>
    <w:rsid w:val="68142C42"/>
    <w:rsid w:val="68150768"/>
    <w:rsid w:val="681F6961"/>
    <w:rsid w:val="68610A2F"/>
    <w:rsid w:val="686B482C"/>
    <w:rsid w:val="686E2DB2"/>
    <w:rsid w:val="68805514"/>
    <w:rsid w:val="688D4223"/>
    <w:rsid w:val="68BB130F"/>
    <w:rsid w:val="69316E2F"/>
    <w:rsid w:val="694E2071"/>
    <w:rsid w:val="69766163"/>
    <w:rsid w:val="69792EB8"/>
    <w:rsid w:val="697A3B33"/>
    <w:rsid w:val="697F20D5"/>
    <w:rsid w:val="698051A2"/>
    <w:rsid w:val="69A71894"/>
    <w:rsid w:val="69C2222A"/>
    <w:rsid w:val="69D44760"/>
    <w:rsid w:val="6A520EC7"/>
    <w:rsid w:val="6A5C442C"/>
    <w:rsid w:val="6AF87E20"/>
    <w:rsid w:val="6B0A20DA"/>
    <w:rsid w:val="6B322639"/>
    <w:rsid w:val="6B3453A9"/>
    <w:rsid w:val="6B851761"/>
    <w:rsid w:val="6C005149"/>
    <w:rsid w:val="6C2D0BE7"/>
    <w:rsid w:val="6C463D7C"/>
    <w:rsid w:val="6C636C38"/>
    <w:rsid w:val="6C6E0447"/>
    <w:rsid w:val="6C7517D5"/>
    <w:rsid w:val="6C7635BD"/>
    <w:rsid w:val="6D2A77A4"/>
    <w:rsid w:val="6D4A4AD8"/>
    <w:rsid w:val="6D6D4BA2"/>
    <w:rsid w:val="6DA75198"/>
    <w:rsid w:val="6DB34098"/>
    <w:rsid w:val="6DB545B6"/>
    <w:rsid w:val="6DE02FB4"/>
    <w:rsid w:val="6E514CED"/>
    <w:rsid w:val="6EB563D5"/>
    <w:rsid w:val="6EBF142E"/>
    <w:rsid w:val="6EC960FB"/>
    <w:rsid w:val="6ED92677"/>
    <w:rsid w:val="6F0D2199"/>
    <w:rsid w:val="6F225983"/>
    <w:rsid w:val="6FD66A2F"/>
    <w:rsid w:val="6FFC5590"/>
    <w:rsid w:val="702A0B29"/>
    <w:rsid w:val="70336091"/>
    <w:rsid w:val="706D1DD0"/>
    <w:rsid w:val="70856B87"/>
    <w:rsid w:val="70C77600"/>
    <w:rsid w:val="70D527EE"/>
    <w:rsid w:val="712437CA"/>
    <w:rsid w:val="714C1FB3"/>
    <w:rsid w:val="71573B9F"/>
    <w:rsid w:val="715B5300"/>
    <w:rsid w:val="71786970"/>
    <w:rsid w:val="71AB5C99"/>
    <w:rsid w:val="71D27F8A"/>
    <w:rsid w:val="7236678D"/>
    <w:rsid w:val="72553024"/>
    <w:rsid w:val="72834520"/>
    <w:rsid w:val="72966949"/>
    <w:rsid w:val="73122968"/>
    <w:rsid w:val="731F5D5E"/>
    <w:rsid w:val="73364D98"/>
    <w:rsid w:val="73697BBA"/>
    <w:rsid w:val="73C51AD5"/>
    <w:rsid w:val="73D43285"/>
    <w:rsid w:val="741E793C"/>
    <w:rsid w:val="74217CE3"/>
    <w:rsid w:val="74230FA3"/>
    <w:rsid w:val="743326A2"/>
    <w:rsid w:val="744A709B"/>
    <w:rsid w:val="744C3132"/>
    <w:rsid w:val="745E3944"/>
    <w:rsid w:val="7487654A"/>
    <w:rsid w:val="74921A08"/>
    <w:rsid w:val="74D06143"/>
    <w:rsid w:val="74D55507"/>
    <w:rsid w:val="74DF6717"/>
    <w:rsid w:val="74E7523A"/>
    <w:rsid w:val="75812F99"/>
    <w:rsid w:val="75EA6D90"/>
    <w:rsid w:val="7635099D"/>
    <w:rsid w:val="765112DA"/>
    <w:rsid w:val="7657175F"/>
    <w:rsid w:val="766A7ED1"/>
    <w:rsid w:val="768371E5"/>
    <w:rsid w:val="76AE6010"/>
    <w:rsid w:val="76E539FB"/>
    <w:rsid w:val="76EF6628"/>
    <w:rsid w:val="76F81981"/>
    <w:rsid w:val="770B16B4"/>
    <w:rsid w:val="7711659E"/>
    <w:rsid w:val="77163BB5"/>
    <w:rsid w:val="776A2058"/>
    <w:rsid w:val="77762421"/>
    <w:rsid w:val="77B56B1F"/>
    <w:rsid w:val="780A196C"/>
    <w:rsid w:val="780F09F4"/>
    <w:rsid w:val="78315CDE"/>
    <w:rsid w:val="78A03989"/>
    <w:rsid w:val="78A90480"/>
    <w:rsid w:val="78F543CA"/>
    <w:rsid w:val="793A002E"/>
    <w:rsid w:val="79A90D10"/>
    <w:rsid w:val="79C6470B"/>
    <w:rsid w:val="79E166FC"/>
    <w:rsid w:val="79F04B91"/>
    <w:rsid w:val="7A097A01"/>
    <w:rsid w:val="7A364017"/>
    <w:rsid w:val="7A8265E1"/>
    <w:rsid w:val="7A8650E9"/>
    <w:rsid w:val="7A910122"/>
    <w:rsid w:val="7AB2465E"/>
    <w:rsid w:val="7AB36300"/>
    <w:rsid w:val="7B09415C"/>
    <w:rsid w:val="7B256A6E"/>
    <w:rsid w:val="7B387A32"/>
    <w:rsid w:val="7B564EC8"/>
    <w:rsid w:val="7B686D42"/>
    <w:rsid w:val="7B722EFA"/>
    <w:rsid w:val="7B7F7F7B"/>
    <w:rsid w:val="7B841746"/>
    <w:rsid w:val="7BC50F7C"/>
    <w:rsid w:val="7C2B3C5E"/>
    <w:rsid w:val="7C390FD8"/>
    <w:rsid w:val="7C6C5AC7"/>
    <w:rsid w:val="7C93039A"/>
    <w:rsid w:val="7CC6544B"/>
    <w:rsid w:val="7CD13F34"/>
    <w:rsid w:val="7D006E99"/>
    <w:rsid w:val="7D0239FF"/>
    <w:rsid w:val="7D11554A"/>
    <w:rsid w:val="7D175450"/>
    <w:rsid w:val="7D4112FE"/>
    <w:rsid w:val="7D4C0330"/>
    <w:rsid w:val="7D5E40CD"/>
    <w:rsid w:val="7DCD56F2"/>
    <w:rsid w:val="7E977CD1"/>
    <w:rsid w:val="7EBB39C0"/>
    <w:rsid w:val="7F001CE7"/>
    <w:rsid w:val="7F517E80"/>
    <w:rsid w:val="7F8B5997"/>
    <w:rsid w:val="7F930498"/>
    <w:rsid w:val="7F932247"/>
    <w:rsid w:val="7F9F503D"/>
    <w:rsid w:val="7FAE333E"/>
    <w:rsid w:val="7FE47E50"/>
    <w:rsid w:val="7FF151BF"/>
    <w:rsid w:val="7FF30F37"/>
    <w:rsid w:val="7FF8654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ocked="1"/>
    <w:lsdException w:unhideWhenUsed="0" w:uiPriority="0" w:semiHidden="0" w:name="footnote text" w:locked="1"/>
    <w:lsdException w:qFormat="1" w:unhideWhenUsed="0" w:uiPriority="0" w:name="annotation text"/>
    <w:lsdException w:unhideWhenUsed="0" w:uiPriority="0" w:semiHidden="0" w:name="header"/>
    <w:lsdException w:qFormat="1" w:unhideWhenUsed="0" w:uiPriority="99" w:semiHidden="0" w:name="footer"/>
    <w:lsdException w:unhideWhenUsed="0" w:uiPriority="0" w:semiHidden="0" w:name="index heading" w:locked="1"/>
    <w:lsdException w:qFormat="1" w:unhideWhenUsed="0" w:uiPriority="35" w:semiHidden="0" w:name="caption" w:locked="1"/>
    <w:lsdException w:qFormat="1"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unhideWhenUsed="0" w:uiPriority="0" w:name="annotation reference"/>
    <w:lsdException w:unhideWhenUsed="0" w:uiPriority="0" w:semiHidden="0" w:name="line number" w:locked="1"/>
    <w:lsdException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iPriority="99"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unhideWhenUsed="0" w:uiPriority="0" w:semiHidden="0" w:name="Date"/>
    <w:lsdException w:unhideWhenUsed="0" w:uiPriority="0" w:semiHidden="0" w:name="Body Text First Indent" w:locked="1"/>
    <w:lsdException w:qFormat="1" w:uiPriority="99"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line="360" w:lineRule="auto"/>
      <w:ind w:left="0" w:firstLine="0"/>
      <w:outlineLvl w:val="0"/>
    </w:pPr>
    <w:rPr>
      <w:rFonts w:ascii="Times New Roman" w:hAnsi="Times New Roman" w:eastAsia="宋体"/>
      <w:b/>
      <w:bCs/>
      <w:color w:val="000000"/>
      <w:kern w:val="44"/>
      <w:sz w:val="24"/>
      <w:szCs w:val="30"/>
    </w:rPr>
  </w:style>
  <w:style w:type="paragraph" w:styleId="2">
    <w:name w:val="heading 2"/>
    <w:basedOn w:val="1"/>
    <w:next w:val="1"/>
    <w:qFormat/>
    <w:locked/>
    <w:uiPriority w:val="0"/>
    <w:pPr>
      <w:keepNext/>
      <w:spacing w:line="360" w:lineRule="auto"/>
      <w:outlineLvl w:val="1"/>
    </w:pPr>
    <w:rPr>
      <w:sz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4">
    <w:name w:val="Normal Indent"/>
    <w:basedOn w:val="1"/>
    <w:next w:val="1"/>
    <w:qFormat/>
    <w:locked/>
    <w:uiPriority w:val="99"/>
    <w:pPr>
      <w:ind w:firstLine="420"/>
    </w:pPr>
    <w:rPr>
      <w:sz w:val="24"/>
      <w:szCs w:val="20"/>
    </w:rPr>
  </w:style>
  <w:style w:type="paragraph" w:styleId="5">
    <w:name w:val="caption"/>
    <w:basedOn w:val="1"/>
    <w:next w:val="1"/>
    <w:qFormat/>
    <w:locked/>
    <w:uiPriority w:val="35"/>
    <w:rPr>
      <w:rFonts w:ascii="Arial" w:hAnsi="Arial" w:eastAsia="黑体"/>
      <w:sz w:val="20"/>
    </w:rPr>
  </w:style>
  <w:style w:type="paragraph" w:styleId="6">
    <w:name w:val="annotation text"/>
    <w:basedOn w:val="1"/>
    <w:semiHidden/>
    <w:qFormat/>
    <w:uiPriority w:val="0"/>
    <w:pPr>
      <w:jc w:val="left"/>
    </w:pPr>
  </w:style>
  <w:style w:type="paragraph" w:styleId="7">
    <w:name w:val="Body Text"/>
    <w:basedOn w:val="1"/>
    <w:qFormat/>
    <w:uiPriority w:val="0"/>
    <w:pPr>
      <w:widowControl/>
      <w:snapToGrid w:val="0"/>
      <w:spacing w:before="60" w:after="160" w:line="259" w:lineRule="auto"/>
      <w:ind w:right="113"/>
    </w:pPr>
    <w:rPr>
      <w:kern w:val="0"/>
      <w:sz w:val="18"/>
      <w:szCs w:val="20"/>
    </w:rPr>
  </w:style>
  <w:style w:type="paragraph" w:styleId="8">
    <w:name w:val="Body Text Indent"/>
    <w:basedOn w:val="1"/>
    <w:link w:val="20"/>
    <w:qFormat/>
    <w:uiPriority w:val="0"/>
    <w:pPr>
      <w:spacing w:after="120"/>
      <w:ind w:left="420" w:leftChars="200"/>
    </w:pPr>
    <w:rPr>
      <w:kern w:val="0"/>
      <w:sz w:val="24"/>
      <w:szCs w:val="20"/>
    </w:rPr>
  </w:style>
  <w:style w:type="paragraph" w:styleId="9">
    <w:name w:val="Plain Text"/>
    <w:basedOn w:val="1"/>
    <w:unhideWhenUsed/>
    <w:qFormat/>
    <w:locked/>
    <w:uiPriority w:val="0"/>
    <w:rPr>
      <w:rFonts w:ascii="宋体" w:hAnsi="Courier New"/>
      <w:szCs w:val="20"/>
    </w:rPr>
  </w:style>
  <w:style w:type="paragraph" w:styleId="10">
    <w:name w:val="footer"/>
    <w:basedOn w:val="1"/>
    <w:qFormat/>
    <w:uiPriority w:val="99"/>
    <w:pPr>
      <w:tabs>
        <w:tab w:val="center" w:pos="4153"/>
        <w:tab w:val="right" w:pos="8306"/>
      </w:tabs>
      <w:snapToGrid w:val="0"/>
      <w:jc w:val="left"/>
    </w:pPr>
    <w:rPr>
      <w:kern w:val="0"/>
      <w:sz w:val="18"/>
      <w:szCs w:val="20"/>
    </w:rPr>
  </w:style>
  <w:style w:type="paragraph" w:styleId="11">
    <w:name w:val="List"/>
    <w:basedOn w:val="1"/>
    <w:unhideWhenUsed/>
    <w:qFormat/>
    <w:locked/>
    <w:uiPriority w:val="99"/>
    <w:pPr>
      <w:snapToGrid/>
      <w:spacing w:before="60" w:after="240" w:line="240" w:lineRule="atLeast"/>
      <w:ind w:left="360" w:hanging="360" w:firstLineChars="0"/>
      <w:textAlignment w:val="baseline"/>
    </w:pPr>
    <w:rPr>
      <w:b/>
      <w:spacing w:val="20"/>
      <w:kern w:val="0"/>
      <w:sz w:val="28"/>
      <w:szCs w:val="20"/>
    </w:rPr>
  </w:style>
  <w:style w:type="paragraph" w:styleId="12">
    <w:name w:val="table of figures"/>
    <w:basedOn w:val="1"/>
    <w:next w:val="1"/>
    <w:qFormat/>
    <w:locked/>
    <w:uiPriority w:val="0"/>
    <w:pPr>
      <w:ind w:left="200" w:leftChars="200"/>
    </w:pPr>
    <w:rPr>
      <w:rFonts w:eastAsia="华文宋体"/>
      <w:sz w:val="27"/>
      <w:szCs w:val="20"/>
    </w:rPr>
  </w:style>
  <w:style w:type="paragraph" w:styleId="13">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14">
    <w:name w:val="Body Text First Indent 2"/>
    <w:basedOn w:val="8"/>
    <w:next w:val="1"/>
    <w:unhideWhenUsed/>
    <w:qFormat/>
    <w:locked/>
    <w:uiPriority w:val="99"/>
    <w:pPr>
      <w:ind w:firstLine="420" w:firstLineChars="200"/>
    </w:pPr>
    <w:rPr>
      <w:kern w:val="2"/>
      <w:sz w:val="21"/>
    </w:rPr>
  </w:style>
  <w:style w:type="table" w:styleId="16">
    <w:name w:val="Table Grid"/>
    <w:basedOn w:val="15"/>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表头"/>
    <w:basedOn w:val="11"/>
    <w:next w:val="1"/>
    <w:qFormat/>
    <w:uiPriority w:val="0"/>
    <w:pPr>
      <w:tabs>
        <w:tab w:val="left" w:pos="280"/>
      </w:tabs>
      <w:adjustRightInd w:val="0"/>
      <w:spacing w:before="80" w:after="80"/>
      <w:textAlignment w:val="baseline"/>
    </w:pPr>
    <w:rPr>
      <w:rFonts w:ascii="仿宋_GB2312" w:eastAsia="仿宋_GB2312"/>
      <w:kern w:val="0"/>
      <w:sz w:val="24"/>
      <w:szCs w:val="20"/>
    </w:rPr>
  </w:style>
  <w:style w:type="paragraph" w:customStyle="1" w:styleId="19">
    <w:name w:val="表格"/>
    <w:basedOn w:val="1"/>
    <w:next w:val="1"/>
    <w:qFormat/>
    <w:uiPriority w:val="0"/>
    <w:pPr>
      <w:adjustRightInd w:val="0"/>
      <w:snapToGrid w:val="0"/>
      <w:spacing w:beforeLines="10" w:afterLines="10" w:line="259" w:lineRule="auto"/>
      <w:jc w:val="center"/>
    </w:pPr>
    <w:rPr>
      <w:rFonts w:ascii="宋体"/>
      <w:kern w:val="0"/>
      <w:szCs w:val="20"/>
    </w:rPr>
  </w:style>
  <w:style w:type="character" w:customStyle="1" w:styleId="20">
    <w:name w:val="捣文攇本缩迻 Chš聲"/>
    <w:link w:val="8"/>
    <w:semiHidden/>
    <w:qFormat/>
    <w:locked/>
    <w:uiPriority w:val="0"/>
    <w:rPr>
      <w:rFonts w:ascii="Times New Roman" w:hAnsi="Times New Roman" w:eastAsia="宋体"/>
      <w:sz w:val="24"/>
    </w:rPr>
  </w:style>
  <w:style w:type="paragraph" w:customStyle="1" w:styleId="21">
    <w:name w:val="惠泽表格"/>
    <w:basedOn w:val="1"/>
    <w:qFormat/>
    <w:uiPriority w:val="0"/>
    <w:pPr>
      <w:spacing w:line="480" w:lineRule="exact"/>
      <w:jc w:val="center"/>
    </w:pPr>
    <w:rPr>
      <w:rFonts w:ascii="黑体" w:hAnsi="黑体" w:eastAsia="黑体" w:cs="宋体"/>
      <w:sz w:val="24"/>
      <w:szCs w:val="20"/>
    </w:rPr>
  </w:style>
  <w:style w:type="paragraph" w:customStyle="1" w:styleId="22">
    <w:name w:val="正文文字"/>
    <w:basedOn w:val="1"/>
    <w:qFormat/>
    <w:uiPriority w:val="0"/>
    <w:pPr>
      <w:spacing w:line="360" w:lineRule="auto"/>
      <w:ind w:firstLine="880" w:firstLineChars="200"/>
    </w:pPr>
    <w:rPr>
      <w:rFonts w:hint="eastAsia" w:ascii="Times New Roman" w:hAnsi="Times New Roman"/>
      <w:sz w:val="24"/>
    </w:rPr>
  </w:style>
  <w:style w:type="paragraph" w:customStyle="1" w:styleId="23">
    <w:name w:val="表标题"/>
    <w:basedOn w:val="1"/>
    <w:qFormat/>
    <w:uiPriority w:val="0"/>
    <w:pPr>
      <w:widowControl/>
      <w:snapToGrid w:val="0"/>
      <w:spacing w:before="120" w:afterLines="50"/>
      <w:ind w:firstLine="482"/>
      <w:jc w:val="center"/>
    </w:pPr>
    <w:rPr>
      <w:rFonts w:ascii="黑体" w:hAnsi="Gloucester MT Extra Condensed" w:eastAsia="黑体"/>
      <w:bCs/>
      <w:szCs w:val="21"/>
    </w:rPr>
  </w:style>
  <w:style w:type="paragraph" w:customStyle="1" w:styleId="24">
    <w:name w:val="惠泽正文"/>
    <w:basedOn w:val="1"/>
    <w:qFormat/>
    <w:uiPriority w:val="0"/>
    <w:pPr>
      <w:spacing w:line="480" w:lineRule="exact"/>
      <w:ind w:firstLine="480" w:firstLineChars="200"/>
    </w:pPr>
    <w:rPr>
      <w:rFonts w:hAnsi="宋体" w:cs="宋体"/>
      <w:sz w:val="24"/>
      <w:szCs w:val="20"/>
    </w:rPr>
  </w:style>
  <w:style w:type="paragraph" w:customStyle="1" w:styleId="25">
    <w:name w:val="Table Paragraph"/>
    <w:basedOn w:val="1"/>
    <w:qFormat/>
    <w:uiPriority w:val="1"/>
    <w:rPr>
      <w:rFonts w:ascii="宋体" w:hAnsi="宋体" w:cs="宋体"/>
      <w:lang w:val="zh-CN" w:bidi="zh-CN"/>
    </w:rPr>
  </w:style>
  <w:style w:type="paragraph" w:customStyle="1" w:styleId="26">
    <w:name w:val="Table Text"/>
    <w:basedOn w:val="1"/>
    <w:semiHidden/>
    <w:qFormat/>
    <w:uiPriority w:val="0"/>
    <w:rPr>
      <w:rFonts w:ascii="宋体" w:hAnsi="宋体" w:eastAsia="宋体" w:cs="宋体"/>
      <w:sz w:val="20"/>
      <w:szCs w:val="20"/>
      <w:lang w:val="en-US" w:eastAsia="en-US" w:bidi="ar-SA"/>
    </w:rPr>
  </w:style>
  <w:style w:type="table" w:customStyle="1" w:styleId="27">
    <w:name w:val="Table Normal"/>
    <w:unhideWhenUsed/>
    <w:qFormat/>
    <w:uiPriority w:val="0"/>
    <w:tblPr>
      <w:tblCellMar>
        <w:top w:w="0" w:type="dxa"/>
        <w:left w:w="0" w:type="dxa"/>
        <w:bottom w:w="0" w:type="dxa"/>
        <w:right w:w="0" w:type="dxa"/>
      </w:tblCellMar>
    </w:tblPr>
  </w:style>
  <w:style w:type="paragraph" w:customStyle="1" w:styleId="28">
    <w:name w:val="样式 首行缩进:  2 字符"/>
    <w:basedOn w:val="1"/>
    <w:qFormat/>
    <w:uiPriority w:val="0"/>
    <w:pPr>
      <w:snapToGrid w:val="0"/>
      <w:spacing w:line="360" w:lineRule="auto"/>
      <w:ind w:firstLine="200" w:firstLineChars="200"/>
    </w:pPr>
    <w:rPr>
      <w:rFonts w:ascii="宋体" w:cs="宋体"/>
      <w:sz w:val="28"/>
      <w:szCs w:val="20"/>
    </w:rPr>
  </w:style>
  <w:style w:type="paragraph" w:customStyle="1" w:styleId="29">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30">
    <w:name w:val="报告正文"/>
    <w:basedOn w:val="1"/>
    <w:qFormat/>
    <w:uiPriority w:val="0"/>
    <w:pPr>
      <w:adjustRightInd w:val="0"/>
      <w:snapToGrid w:val="0"/>
      <w:spacing w:line="360" w:lineRule="auto"/>
      <w:ind w:firstLine="720" w:firstLineChars="200"/>
    </w:pPr>
    <w:rPr>
      <w:rFonts w:ascii="Times New Roman" w:hAnsi="Times New Roman"/>
      <w:sz w:val="24"/>
    </w:rPr>
  </w:style>
  <w:style w:type="paragraph" w:customStyle="1" w:styleId="31">
    <w:name w:val="正文(首行缩进)"/>
    <w:basedOn w:val="1"/>
    <w:qFormat/>
    <w:uiPriority w:val="0"/>
    <w:pPr>
      <w:tabs>
        <w:tab w:val="left" w:pos="4584"/>
      </w:tabs>
      <w:adjustRightInd w:val="0"/>
      <w:snapToGrid w:val="0"/>
      <w:spacing w:line="360" w:lineRule="auto"/>
      <w:ind w:firstLine="200" w:firstLineChars="200"/>
    </w:pPr>
    <w:rPr>
      <w:bCs/>
      <w:snapToGrid w:val="0"/>
      <w:kern w:val="0"/>
      <w:sz w:val="24"/>
      <w:szCs w:val="24"/>
    </w:rPr>
  </w:style>
  <w:style w:type="paragraph" w:customStyle="1" w:styleId="32">
    <w:name w:val="表格文字"/>
    <w:basedOn w:val="1"/>
    <w:qFormat/>
    <w:uiPriority w:val="0"/>
    <w:pPr>
      <w:autoSpaceDE w:val="0"/>
      <w:autoSpaceDN w:val="0"/>
      <w:adjustRightInd w:val="0"/>
      <w:snapToGrid w:val="0"/>
      <w:spacing w:beforeLines="20" w:afterLines="20"/>
      <w:jc w:val="center"/>
    </w:pPr>
    <w:rPr>
      <w:rFonts w:ascii="宋体" w:hAnsi="宋体" w:cs="宋体"/>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1.bin"/><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6.jpeg"/><Relationship Id="rId14" Type="http://schemas.openxmlformats.org/officeDocument/2006/relationships/image" Target="media/image5.png"/><Relationship Id="rId13" Type="http://schemas.openxmlformats.org/officeDocument/2006/relationships/image" Target="media/image4.emf"/><Relationship Id="rId12" Type="http://schemas.openxmlformats.org/officeDocument/2006/relationships/oleObject" Target="embeddings/oleObject3.bin"/><Relationship Id="rId11" Type="http://schemas.openxmlformats.org/officeDocument/2006/relationships/image" Target="media/image3.e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51</Pages>
  <Words>29267</Words>
  <Characters>32527</Characters>
  <Lines>13</Lines>
  <Paragraphs>3</Paragraphs>
  <TotalTime>9</TotalTime>
  <ScaleCrop>false</ScaleCrop>
  <LinksUpToDate>false</LinksUpToDate>
  <CharactersWithSpaces>32693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富贵</cp:lastModifiedBy>
  <cp:lastPrinted>2020-12-29T02:43:00Z</cp:lastPrinted>
  <dcterms:modified xsi:type="dcterms:W3CDTF">2025-03-27T03:11:40Z</dcterms:modified>
  <dc:title>附件2</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A92CBACB96B94056B569ACDE5C4B62BC_13</vt:lpwstr>
  </property>
  <property fmtid="{D5CDD505-2E9C-101B-9397-08002B2CF9AE}" pid="4" name="KSOTemplateDocerSaveRecord">
    <vt:lpwstr>eyJoZGlkIjoiMjY5YmZlOTk4NGVjNDM3MDZlMmM5MmY3YTY1NzI1NWYiLCJ1c2VySWQiOiI2OTczMDAxMTgifQ==</vt:lpwstr>
  </property>
</Properties>
</file>